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5009" w14:textId="77777777" w:rsidR="00F004BF" w:rsidRPr="00627A1C" w:rsidRDefault="00F004BF" w:rsidP="00F004BF">
      <w:pPr>
        <w:rPr>
          <w:b/>
        </w:rPr>
      </w:pPr>
    </w:p>
    <w:p w14:paraId="68571DCB" w14:textId="5FA623DF" w:rsidR="00F004BF" w:rsidRPr="00136BFF" w:rsidRDefault="00F004BF" w:rsidP="008C2A1F">
      <w:pPr>
        <w:numPr>
          <w:ilvl w:val="12"/>
          <w:numId w:val="0"/>
        </w:numPr>
        <w:tabs>
          <w:tab w:val="left" w:pos="0"/>
        </w:tabs>
        <w:suppressAutoHyphens/>
        <w:jc w:val="center"/>
        <w:rPr>
          <w:b/>
          <w:bCs/>
          <w:caps/>
          <w:lang w:val="fr-FR"/>
        </w:rPr>
      </w:pPr>
      <w:r w:rsidRPr="00136BFF">
        <w:rPr>
          <w:b/>
          <w:lang w:val="fr-FR"/>
        </w:rPr>
        <w:t>RAPPORT DE PROGRES DE PROJET PBF</w:t>
      </w:r>
    </w:p>
    <w:p w14:paraId="711EDB3F" w14:textId="77777777" w:rsidR="00F004BF" w:rsidRPr="00136BFF" w:rsidRDefault="00825948" w:rsidP="00F004BF">
      <w:pPr>
        <w:jc w:val="center"/>
        <w:rPr>
          <w:b/>
          <w:bCs/>
          <w:caps/>
          <w:lang w:val="fr-FR"/>
        </w:rPr>
      </w:pPr>
      <w:r w:rsidRPr="00136BFF">
        <w:rPr>
          <w:b/>
          <w:bCs/>
          <w:caps/>
          <w:lang w:val="fr-FR"/>
        </w:rPr>
        <w:t>PAYS :</w:t>
      </w:r>
      <w:r w:rsidR="00F004BF" w:rsidRPr="00136BFF">
        <w:rPr>
          <w:bCs/>
          <w:iCs/>
          <w:snapToGrid w:val="0"/>
          <w:szCs w:val="28"/>
          <w:lang w:val="fr-FR"/>
        </w:rPr>
        <w:t xml:space="preserve"> </w:t>
      </w:r>
      <w:r w:rsidR="00F004BF" w:rsidRPr="00753190">
        <w:rPr>
          <w:lang w:val="fr-FR"/>
        </w:rPr>
        <w:t>REPUBLIQUE CENTRAFRICAINE</w:t>
      </w:r>
    </w:p>
    <w:p w14:paraId="47CDEC4F" w14:textId="70F94D9D" w:rsidR="00F004BF" w:rsidRPr="00126D9D" w:rsidRDefault="00F004BF" w:rsidP="00F004BF">
      <w:pPr>
        <w:jc w:val="center"/>
        <w:rPr>
          <w:b/>
          <w:bCs/>
          <w:caps/>
          <w:sz w:val="22"/>
          <w:szCs w:val="22"/>
          <w:lang w:val="fr-FR"/>
        </w:rPr>
      </w:pPr>
      <w:r w:rsidRPr="001948EA">
        <w:rPr>
          <w:b/>
          <w:bCs/>
          <w:caps/>
          <w:sz w:val="22"/>
          <w:szCs w:val="22"/>
          <w:lang w:val="fr-FR"/>
        </w:rPr>
        <w:t>TYPE DE RAPPORT : SEMESTRIEL, annuEl OU FINAL </w:t>
      </w:r>
      <w:r w:rsidR="00126D9D" w:rsidRPr="001948EA">
        <w:rPr>
          <w:b/>
          <w:bCs/>
          <w:caps/>
          <w:sz w:val="22"/>
          <w:szCs w:val="22"/>
          <w:lang w:val="fr-FR"/>
        </w:rPr>
        <w:t>:</w:t>
      </w:r>
      <w:r w:rsidR="007A6D61">
        <w:rPr>
          <w:b/>
          <w:sz w:val="22"/>
          <w:szCs w:val="22"/>
          <w:lang w:val="fr-FR"/>
        </w:rPr>
        <w:t xml:space="preserve"> </w:t>
      </w:r>
      <w:r w:rsidR="00217DD5">
        <w:rPr>
          <w:b/>
          <w:sz w:val="22"/>
          <w:szCs w:val="22"/>
          <w:lang w:val="fr-FR"/>
        </w:rPr>
        <w:t>ANNUEL</w:t>
      </w:r>
    </w:p>
    <w:p w14:paraId="41EF663F" w14:textId="56715A11" w:rsidR="00F004BF" w:rsidRDefault="00F004BF" w:rsidP="00F004BF">
      <w:pPr>
        <w:jc w:val="center"/>
        <w:rPr>
          <w:bCs/>
          <w:iCs/>
          <w:snapToGrid w:val="0"/>
          <w:szCs w:val="28"/>
        </w:rPr>
      </w:pPr>
      <w:r>
        <w:rPr>
          <w:b/>
          <w:bCs/>
          <w:caps/>
        </w:rPr>
        <w:t xml:space="preserve">ANNEE DE RAPPORT: </w:t>
      </w:r>
      <w:r w:rsidRPr="00636E71">
        <w:rPr>
          <w:b/>
          <w:iCs/>
          <w:snapToGrid w:val="0"/>
          <w:szCs w:val="28"/>
        </w:rPr>
        <w:t>202</w:t>
      </w:r>
      <w:r w:rsidR="007A6D61">
        <w:rPr>
          <w:b/>
          <w:iCs/>
          <w:snapToGrid w:val="0"/>
          <w:szCs w:val="28"/>
        </w:rPr>
        <w:t>1</w:t>
      </w:r>
    </w:p>
    <w:tbl>
      <w:tblPr>
        <w:tblpPr w:leftFromText="141" w:rightFromText="141" w:vertAnchor="text" w:horzAnchor="margin" w:tblpXSpec="center" w:tblpY="14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0"/>
        <w:gridCol w:w="6868"/>
      </w:tblGrid>
      <w:tr w:rsidR="008F684C" w:rsidRPr="002E41B3" w14:paraId="55867723" w14:textId="77777777" w:rsidTr="00EE01B0">
        <w:trPr>
          <w:trHeight w:val="403"/>
        </w:trPr>
        <w:tc>
          <w:tcPr>
            <w:tcW w:w="10768" w:type="dxa"/>
            <w:gridSpan w:val="2"/>
          </w:tcPr>
          <w:p w14:paraId="68F9C93B" w14:textId="77777777" w:rsidR="006C5937" w:rsidRDefault="008F684C" w:rsidP="006C5937">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 </w:t>
            </w:r>
            <w:r w:rsidRPr="00636E71">
              <w:rPr>
                <w:rFonts w:ascii="Times New Roman" w:hAnsi="Times New Roman" w:cs="Times New Roman"/>
                <w:b/>
                <w:sz w:val="24"/>
                <w:szCs w:val="24"/>
                <w:lang w:val="fr-FR"/>
              </w:rPr>
              <w:t xml:space="preserve">PROJET D’APPUI AUX VICTIMES ET AUX POPULATIONS </w:t>
            </w:r>
            <w:r w:rsidR="006C5937">
              <w:rPr>
                <w:rFonts w:ascii="Times New Roman" w:hAnsi="Times New Roman" w:cs="Times New Roman"/>
                <w:b/>
                <w:sz w:val="24"/>
                <w:szCs w:val="24"/>
                <w:lang w:val="fr-FR"/>
              </w:rPr>
              <w:t xml:space="preserve">  </w:t>
            </w:r>
          </w:p>
          <w:p w14:paraId="63B0B9E8" w14:textId="158728BF" w:rsidR="008F684C" w:rsidRPr="00136BFF" w:rsidRDefault="006C5937" w:rsidP="00636E71">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8F684C" w:rsidRPr="00636E71">
              <w:rPr>
                <w:rFonts w:ascii="Times New Roman" w:hAnsi="Times New Roman" w:cs="Times New Roman"/>
                <w:b/>
                <w:sz w:val="24"/>
                <w:szCs w:val="24"/>
                <w:lang w:val="fr-FR"/>
              </w:rPr>
              <w:t>CENTRAFRICAINES POUR ACCEDER A LA JUSTICE ET A LA VERITE</w:t>
            </w:r>
          </w:p>
          <w:p w14:paraId="0DD8E99A" w14:textId="77777777" w:rsidR="008F684C" w:rsidRPr="000E4E78" w:rsidRDefault="008F684C" w:rsidP="008F684C">
            <w:pPr>
              <w:rPr>
                <w:b/>
                <w:lang w:val="en-CA"/>
              </w:rPr>
            </w:pPr>
            <w:proofErr w:type="spellStart"/>
            <w:r w:rsidRPr="000E4E78">
              <w:rPr>
                <w:b/>
                <w:lang w:val="en-CA"/>
              </w:rPr>
              <w:t>Numéro</w:t>
            </w:r>
            <w:proofErr w:type="spellEnd"/>
            <w:r w:rsidRPr="000E4E78">
              <w:rPr>
                <w:b/>
                <w:lang w:val="en-CA"/>
              </w:rPr>
              <w:t xml:space="preserve"> </w:t>
            </w:r>
            <w:proofErr w:type="spellStart"/>
            <w:r w:rsidRPr="000E4E78">
              <w:rPr>
                <w:b/>
                <w:lang w:val="en-CA"/>
              </w:rPr>
              <w:t>Projet</w:t>
            </w:r>
            <w:proofErr w:type="spellEnd"/>
            <w:r w:rsidRPr="000E4E78">
              <w:rPr>
                <w:b/>
                <w:lang w:val="en-CA"/>
              </w:rPr>
              <w:t xml:space="preserve"> / MPTF Gateway: PBF-CA</w:t>
            </w:r>
            <w:r>
              <w:rPr>
                <w:b/>
                <w:lang w:val="en-CA"/>
              </w:rPr>
              <w:t>F-A9/</w:t>
            </w:r>
            <w:r>
              <w:rPr>
                <w:b/>
              </w:rPr>
              <w:t>00116887</w:t>
            </w:r>
          </w:p>
        </w:tc>
      </w:tr>
      <w:tr w:rsidR="008F684C" w:rsidRPr="00EE01B0" w14:paraId="2A2F502B" w14:textId="77777777" w:rsidTr="00EE01B0">
        <w:trPr>
          <w:trHeight w:val="403"/>
        </w:trPr>
        <w:tc>
          <w:tcPr>
            <w:tcW w:w="3900" w:type="dxa"/>
          </w:tcPr>
          <w:p w14:paraId="22954A6A" w14:textId="77777777" w:rsidR="008F684C" w:rsidRPr="0069221B"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 </w:t>
            </w:r>
          </w:p>
          <w:p w14:paraId="54549009" w14:textId="77777777" w:rsidR="008F684C" w:rsidRPr="0069221B" w:rsidRDefault="008F684C" w:rsidP="008F684C">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85C8E">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4B2686B4" w14:textId="77777777" w:rsidR="008F684C" w:rsidRDefault="008F684C" w:rsidP="008F684C">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85C8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200A94A3" w14:textId="77777777" w:rsidR="008F684C" w:rsidRPr="0069221B" w:rsidRDefault="008F684C" w:rsidP="008F684C">
            <w:pPr>
              <w:tabs>
                <w:tab w:val="left" w:pos="0"/>
              </w:tabs>
              <w:suppressAutoHyphens/>
              <w:rPr>
                <w:b/>
                <w:lang w:val="fr-FR"/>
              </w:rPr>
            </w:pPr>
          </w:p>
          <w:p w14:paraId="62BEB4E1" w14:textId="34E7AA51" w:rsidR="008F684C" w:rsidRPr="00627A1C" w:rsidRDefault="008F684C" w:rsidP="00EE01B0">
            <w:pPr>
              <w:pStyle w:val="BalloonText"/>
              <w:numPr>
                <w:ilvl w:val="12"/>
                <w:numId w:val="0"/>
              </w:numPr>
              <w:tabs>
                <w:tab w:val="left" w:pos="-720"/>
                <w:tab w:val="left" w:pos="4500"/>
              </w:tabs>
              <w:rPr>
                <w:b/>
              </w:rPr>
            </w:pPr>
            <w:r w:rsidRPr="0069221B">
              <w:rPr>
                <w:rFonts w:ascii="Times New Roman" w:hAnsi="Times New Roman" w:cs="Times New Roman"/>
                <w:b/>
                <w:sz w:val="24"/>
                <w:szCs w:val="24"/>
                <w:lang w:val="fr-FR"/>
              </w:rPr>
              <w:t xml:space="preserve">Nom du fonds fiduciaire :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snapToGrid w:val="0"/>
                <w:szCs w:val="28"/>
              </w:rPr>
              <w:fldChar w:fldCharType="end"/>
            </w:r>
            <w:bookmarkStart w:id="0" w:name="_GoBack"/>
            <w:bookmarkEnd w:id="0"/>
          </w:p>
        </w:tc>
        <w:tc>
          <w:tcPr>
            <w:tcW w:w="6868" w:type="dxa"/>
          </w:tcPr>
          <w:p w14:paraId="492DFE45" w14:textId="77777777" w:rsidR="008F684C" w:rsidRPr="000F43A8" w:rsidRDefault="008F684C" w:rsidP="008F684C">
            <w:pPr>
              <w:rPr>
                <w:b/>
                <w:bCs/>
                <w:iCs/>
                <w:lang w:val="fr-FR"/>
              </w:rPr>
            </w:pPr>
            <w:r w:rsidRPr="000F43A8">
              <w:rPr>
                <w:b/>
                <w:bCs/>
                <w:iCs/>
                <w:lang w:val="fr-FR"/>
              </w:rPr>
              <w:t xml:space="preserve">Type et nom d’agence récipiendaire : </w:t>
            </w:r>
          </w:p>
          <w:p w14:paraId="04807171" w14:textId="77777777" w:rsidR="008F684C" w:rsidRPr="000F43A8" w:rsidRDefault="008F684C" w:rsidP="008F684C">
            <w:pPr>
              <w:rPr>
                <w:b/>
                <w:bCs/>
                <w:iCs/>
                <w:lang w:val="fr-FR"/>
              </w:rPr>
            </w:pPr>
          </w:p>
          <w:p w14:paraId="4E8C9D65" w14:textId="77777777" w:rsidR="008F684C" w:rsidRPr="00825948" w:rsidRDefault="008F684C" w:rsidP="008F684C">
            <w:pPr>
              <w:pStyle w:val="BalloonText"/>
              <w:numPr>
                <w:ilvl w:val="12"/>
                <w:numId w:val="0"/>
              </w:numPr>
              <w:tabs>
                <w:tab w:val="left" w:pos="-720"/>
                <w:tab w:val="left" w:pos="4500"/>
              </w:tabs>
              <w:ind w:left="5760" w:hanging="5760"/>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C85C8E">
              <w:rPr>
                <w:rFonts w:ascii="Times New Roman" w:hAnsi="Times New Roman" w:cs="Times New Roman"/>
                <w:b/>
                <w:sz w:val="24"/>
                <w:szCs w:val="24"/>
              </w:rPr>
            </w:r>
            <w:r w:rsidR="00C85C8E">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PNUD (Agence coordinatrice)</w:t>
            </w:r>
          </w:p>
          <w:p w14:paraId="037EFF04"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C85C8E">
              <w:rPr>
                <w:rFonts w:ascii="Times New Roman" w:hAnsi="Times New Roman" w:cs="Times New Roman"/>
                <w:b/>
                <w:sz w:val="24"/>
                <w:szCs w:val="24"/>
              </w:rPr>
            </w:r>
            <w:r w:rsidR="00C85C8E">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ONU Femmes</w:t>
            </w:r>
          </w:p>
          <w:p w14:paraId="3A09EF55"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p>
        </w:tc>
      </w:tr>
      <w:tr w:rsidR="008F684C" w:rsidRPr="004666BD" w14:paraId="5FBCD540" w14:textId="77777777" w:rsidTr="00EE01B0">
        <w:trPr>
          <w:trHeight w:val="351"/>
        </w:trPr>
        <w:tc>
          <w:tcPr>
            <w:tcW w:w="10768" w:type="dxa"/>
            <w:gridSpan w:val="2"/>
          </w:tcPr>
          <w:p w14:paraId="7423559D" w14:textId="250CF2FE" w:rsidR="008F684C" w:rsidRPr="000F43A8" w:rsidRDefault="008F684C" w:rsidP="008F684C">
            <w:pPr>
              <w:rPr>
                <w:b/>
                <w:bCs/>
                <w:iCs/>
                <w:lang w:val="fr-FR"/>
              </w:rPr>
            </w:pPr>
            <w:r w:rsidRPr="001D7A66">
              <w:rPr>
                <w:b/>
                <w:bCs/>
                <w:iCs/>
                <w:lang w:val="fr-FR"/>
              </w:rPr>
              <w:t xml:space="preserve">Date du premier transfert de fonds : </w:t>
            </w:r>
            <w:r>
              <w:rPr>
                <w:bCs/>
                <w:iCs/>
                <w:lang w:val="fr-FR"/>
              </w:rPr>
              <w:t>2</w:t>
            </w:r>
            <w:r w:rsidR="00316200">
              <w:rPr>
                <w:bCs/>
                <w:iCs/>
                <w:lang w:val="fr-FR"/>
              </w:rPr>
              <w:t>3</w:t>
            </w:r>
            <w:r w:rsidRPr="001D7A66">
              <w:rPr>
                <w:bCs/>
                <w:iCs/>
                <w:lang w:val="fr-FR"/>
              </w:rPr>
              <w:t xml:space="preserve"> juillet 2019</w:t>
            </w:r>
          </w:p>
          <w:p w14:paraId="0A9859A1" w14:textId="25EF5588" w:rsidR="008F684C" w:rsidRPr="000F43A8" w:rsidRDefault="008F684C" w:rsidP="008F684C">
            <w:pPr>
              <w:rPr>
                <w:bCs/>
                <w:iCs/>
                <w:snapToGrid w:val="0"/>
                <w:lang w:val="fr-FR"/>
              </w:rPr>
            </w:pPr>
            <w:r w:rsidRPr="000F43A8">
              <w:rPr>
                <w:b/>
                <w:bCs/>
                <w:iCs/>
                <w:lang w:val="fr-FR"/>
              </w:rPr>
              <w:t xml:space="preserve">Date de fin de projet : </w:t>
            </w:r>
            <w:r w:rsidR="00170CD8">
              <w:rPr>
                <w:b/>
                <w:bCs/>
                <w:iCs/>
                <w:lang w:val="fr-FR"/>
              </w:rPr>
              <w:t>(</w:t>
            </w:r>
            <w:r w:rsidR="00316200">
              <w:rPr>
                <w:bCs/>
                <w:iCs/>
                <w:snapToGrid w:val="0"/>
                <w:lang w:val="fr-FR"/>
              </w:rPr>
              <w:t>22</w:t>
            </w:r>
            <w:r w:rsidRPr="00D53328">
              <w:rPr>
                <w:bCs/>
                <w:iCs/>
                <w:snapToGrid w:val="0"/>
                <w:lang w:val="fr-FR"/>
              </w:rPr>
              <w:t xml:space="preserve"> juillet 2021</w:t>
            </w:r>
            <w:r w:rsidR="00170CD8">
              <w:rPr>
                <w:bCs/>
                <w:iCs/>
                <w:snapToGrid w:val="0"/>
                <w:lang w:val="fr-FR"/>
              </w:rPr>
              <w:t xml:space="preserve">) </w:t>
            </w:r>
            <w:r w:rsidR="00B56140">
              <w:rPr>
                <w:bCs/>
                <w:iCs/>
                <w:snapToGrid w:val="0"/>
                <w:lang w:val="fr-FR"/>
              </w:rPr>
              <w:t>19 Juillet 2021</w:t>
            </w:r>
            <w:r w:rsidR="004666BD">
              <w:rPr>
                <w:bCs/>
                <w:iCs/>
                <w:snapToGrid w:val="0"/>
                <w:lang w:val="fr-FR"/>
              </w:rPr>
              <w:t xml:space="preserve"> + Extension sans cout de 6 mois (21 Janvier 2021)</w:t>
            </w:r>
          </w:p>
          <w:p w14:paraId="11B3370E" w14:textId="233366C0" w:rsidR="008F684C" w:rsidRPr="00BF4E1E" w:rsidRDefault="008F684C" w:rsidP="008F684C">
            <w:pPr>
              <w:rPr>
                <w:bCs/>
                <w:iCs/>
                <w:snapToGrid w:val="0"/>
                <w:lang w:val="fr-FR"/>
              </w:rPr>
            </w:pPr>
            <w:r w:rsidRPr="000F43A8">
              <w:rPr>
                <w:b/>
                <w:iCs/>
                <w:snapToGrid w:val="0"/>
                <w:lang w:val="fr-FR"/>
              </w:rPr>
              <w:t>Le projet est-il dans ces six derniers mois de mise en œuvre ?</w:t>
            </w:r>
            <w:r w:rsidRPr="000F43A8">
              <w:rPr>
                <w:bCs/>
                <w:iCs/>
                <w:snapToGrid w:val="0"/>
                <w:lang w:val="fr-FR"/>
              </w:rPr>
              <w:t xml:space="preserve"> </w:t>
            </w:r>
            <w:r w:rsidR="00217DD5">
              <w:rPr>
                <w:bCs/>
                <w:iCs/>
                <w:snapToGrid w:val="0"/>
                <w:lang w:val="fr-FR"/>
              </w:rPr>
              <w:t>Oui</w:t>
            </w:r>
          </w:p>
          <w:p w14:paraId="2353C517" w14:textId="77777777" w:rsidR="008F684C" w:rsidRPr="000F43A8" w:rsidRDefault="008F684C" w:rsidP="008F684C">
            <w:pPr>
              <w:rPr>
                <w:b/>
                <w:bCs/>
                <w:iCs/>
                <w:lang w:val="fr-FR"/>
              </w:rPr>
            </w:pPr>
          </w:p>
        </w:tc>
      </w:tr>
      <w:tr w:rsidR="008F684C" w:rsidRPr="00627A1C" w14:paraId="033326AA" w14:textId="77777777" w:rsidTr="00EE01B0">
        <w:trPr>
          <w:trHeight w:val="351"/>
        </w:trPr>
        <w:tc>
          <w:tcPr>
            <w:tcW w:w="10768" w:type="dxa"/>
            <w:gridSpan w:val="2"/>
          </w:tcPr>
          <w:p w14:paraId="6A4DE68B" w14:textId="77777777" w:rsidR="008F684C" w:rsidRPr="005D721B" w:rsidRDefault="008F684C" w:rsidP="008F684C">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 xml:space="preserve"> :</w:t>
            </w:r>
          </w:p>
          <w:p w14:paraId="49924AB9" w14:textId="735167E6" w:rsidR="008F684C" w:rsidRPr="005D721B" w:rsidRDefault="00EC7EA0" w:rsidP="008F684C">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C85C8E">
              <w:rPr>
                <w:lang w:val="fr-FR"/>
              </w:rPr>
            </w:r>
            <w:r w:rsidR="00C85C8E">
              <w:rPr>
                <w:lang w:val="fr-FR"/>
              </w:rPr>
              <w:fldChar w:fldCharType="separate"/>
            </w:r>
            <w:r>
              <w:rPr>
                <w:lang w:val="fr-FR"/>
              </w:rPr>
              <w:fldChar w:fldCharType="end"/>
            </w:r>
            <w:r w:rsidR="008F684C" w:rsidRPr="005D721B">
              <w:rPr>
                <w:lang w:val="fr-FR"/>
              </w:rPr>
              <w:t xml:space="preserve"> Initiative de promotion du genre</w:t>
            </w:r>
          </w:p>
          <w:p w14:paraId="0C496816" w14:textId="77777777" w:rsidR="008F684C" w:rsidRPr="005D721B"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5C8E">
              <w:rPr>
                <w:lang w:val="fr-FR"/>
              </w:rPr>
            </w:r>
            <w:r w:rsidR="00C85C8E">
              <w:rPr>
                <w:lang w:val="fr-FR"/>
              </w:rPr>
              <w:fldChar w:fldCharType="separate"/>
            </w:r>
            <w:r w:rsidRPr="005D721B">
              <w:rPr>
                <w:lang w:val="fr-FR"/>
              </w:rPr>
              <w:fldChar w:fldCharType="end"/>
            </w:r>
            <w:r w:rsidRPr="005D721B">
              <w:rPr>
                <w:lang w:val="fr-FR"/>
              </w:rPr>
              <w:t xml:space="preserve"> Initiative de promotion de la jeunesse</w:t>
            </w:r>
          </w:p>
          <w:p w14:paraId="772AD567" w14:textId="77777777" w:rsidR="008F684C" w:rsidRPr="005D721B" w:rsidRDefault="008F684C" w:rsidP="008F684C">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5C8E">
              <w:rPr>
                <w:lang w:val="fr-FR"/>
              </w:rPr>
            </w:r>
            <w:r w:rsidR="00C85C8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149C036" w14:textId="77777777" w:rsidR="008F684C"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5C8E">
              <w:rPr>
                <w:lang w:val="fr-FR"/>
              </w:rPr>
            </w:r>
            <w:r w:rsidR="00C85C8E">
              <w:rPr>
                <w:lang w:val="fr-FR"/>
              </w:rPr>
              <w:fldChar w:fldCharType="separate"/>
            </w:r>
            <w:r w:rsidRPr="005D721B">
              <w:rPr>
                <w:lang w:val="fr-FR"/>
              </w:rPr>
              <w:fldChar w:fldCharType="end"/>
            </w:r>
            <w:r w:rsidRPr="005D721B">
              <w:rPr>
                <w:lang w:val="fr-FR"/>
              </w:rPr>
              <w:t xml:space="preserve"> Projet transfrontalier ou régional</w:t>
            </w:r>
          </w:p>
          <w:p w14:paraId="455FB1C2" w14:textId="77777777" w:rsidR="008F684C" w:rsidRPr="00627A1C" w:rsidRDefault="008F684C" w:rsidP="008F684C">
            <w:pPr>
              <w:rPr>
                <w:b/>
                <w:bCs/>
                <w:iCs/>
              </w:rPr>
            </w:pPr>
          </w:p>
        </w:tc>
      </w:tr>
      <w:tr w:rsidR="008F684C" w:rsidRPr="00EE01B0" w14:paraId="7422ECD6" w14:textId="77777777" w:rsidTr="00EE01B0">
        <w:trPr>
          <w:trHeight w:val="1074"/>
        </w:trPr>
        <w:tc>
          <w:tcPr>
            <w:tcW w:w="10768" w:type="dxa"/>
            <w:gridSpan w:val="2"/>
          </w:tcPr>
          <w:p w14:paraId="5C5EEA4C" w14:textId="77777777" w:rsidR="008F684C" w:rsidRPr="000F43A8" w:rsidRDefault="008F684C" w:rsidP="008F684C">
            <w:pPr>
              <w:rPr>
                <w:b/>
                <w:bCs/>
                <w:iCs/>
                <w:lang w:val="fr-FR"/>
              </w:rPr>
            </w:pPr>
            <w:r w:rsidRPr="000F43A8">
              <w:rPr>
                <w:b/>
                <w:bCs/>
                <w:iCs/>
                <w:lang w:val="fr-FR"/>
              </w:rPr>
              <w:t>Budget PBF total approuvé (par agence récipiendaire</w:t>
            </w:r>
            <w:proofErr w:type="gramStart"/>
            <w:r w:rsidRPr="000F43A8">
              <w:rPr>
                <w:b/>
                <w:bCs/>
                <w:iCs/>
                <w:lang w:val="fr-FR"/>
              </w:rPr>
              <w:t>):</w:t>
            </w:r>
            <w:proofErr w:type="gramEnd"/>
            <w:r w:rsidRPr="000F43A8">
              <w:rPr>
                <w:b/>
                <w:bCs/>
                <w:iCs/>
                <w:lang w:val="fr-FR"/>
              </w:rPr>
              <w:t xml:space="preserve"> </w:t>
            </w:r>
          </w:p>
          <w:p w14:paraId="404F5BB3" w14:textId="77777777" w:rsidR="008F684C" w:rsidRPr="007C7B57" w:rsidRDefault="008F684C" w:rsidP="008F684C">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  </w:t>
            </w:r>
          </w:p>
          <w:bookmarkEnd w:id="1"/>
          <w:p w14:paraId="3F7DB6B2" w14:textId="77777777" w:rsidR="008F684C" w:rsidRPr="007C7B57" w:rsidRDefault="008F684C" w:rsidP="008F684C">
            <w:pPr>
              <w:rPr>
                <w:iCs/>
                <w:lang w:val="fr-FR"/>
              </w:rPr>
            </w:pPr>
            <w:r w:rsidRPr="00D53328">
              <w:rPr>
                <w:bCs/>
                <w:iCs/>
                <w:snapToGrid w:val="0"/>
                <w:lang w:val="fr-FR"/>
              </w:rPr>
              <w:t>PNUD</w:t>
            </w:r>
            <w:r w:rsidRPr="007C7B57">
              <w:rPr>
                <w:bCs/>
                <w:iCs/>
                <w:snapToGrid w:val="0"/>
                <w:lang w:val="fr-FR"/>
              </w:rPr>
              <w:t xml:space="preserve">   </w:t>
            </w:r>
            <w:r w:rsidRPr="007C7B57">
              <w:rPr>
                <w:b/>
                <w:bCs/>
                <w:iCs/>
                <w:lang w:val="fr-FR"/>
              </w:rPr>
              <w:t xml:space="preserve">                                                     </w:t>
            </w:r>
            <w:r w:rsidRPr="007C7B57">
              <w:rPr>
                <w:iCs/>
                <w:lang w:val="fr-FR"/>
              </w:rPr>
              <w:t xml:space="preserve">$ </w:t>
            </w:r>
            <w:r w:rsidRPr="008206E4">
              <w:rPr>
                <w:lang w:val="fr-FR"/>
              </w:rPr>
              <w:t>3,467,900</w:t>
            </w:r>
          </w:p>
          <w:p w14:paraId="54D6AE3E" w14:textId="77777777" w:rsidR="008F684C" w:rsidRPr="007C7B57"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53328">
              <w:rPr>
                <w:rFonts w:ascii="Times New Roman" w:hAnsi="Times New Roman" w:cs="Times New Roman"/>
                <w:bCs/>
                <w:iCs/>
                <w:snapToGrid w:val="0"/>
                <w:sz w:val="24"/>
                <w:szCs w:val="24"/>
                <w:lang w:val="fr-FR"/>
              </w:rPr>
              <w:t>ONU Femmes</w:t>
            </w:r>
            <w:r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2C1683">
              <w:rPr>
                <w:rFonts w:ascii="Times New Roman" w:hAnsi="Times New Roman" w:cs="Times New Roman"/>
                <w:sz w:val="24"/>
                <w:szCs w:val="24"/>
                <w:lang w:val="fr-FR"/>
              </w:rPr>
              <w:t>1,032,100</w:t>
            </w:r>
          </w:p>
          <w:p w14:paraId="4AE769B9" w14:textId="2C1BA724" w:rsidR="008F684C" w:rsidRPr="008F2372" w:rsidRDefault="008F684C"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4364B2">
              <w:rPr>
                <w:rFonts w:ascii="Times New Roman" w:hAnsi="Times New Roman" w:cs="Times New Roman"/>
                <w:sz w:val="24"/>
                <w:szCs w:val="24"/>
                <w:lang w:val="fr-FR"/>
              </w:rPr>
              <w:t xml:space="preserve">Total : $ </w:t>
            </w:r>
            <w:r w:rsidRPr="008F2372">
              <w:rPr>
                <w:rFonts w:ascii="Times New Roman" w:hAnsi="Times New Roman" w:cs="Times New Roman"/>
                <w:bCs/>
                <w:iCs/>
                <w:snapToGrid w:val="0"/>
                <w:sz w:val="24"/>
                <w:szCs w:val="24"/>
                <w:lang w:val="fr-FR"/>
              </w:rPr>
              <w:t xml:space="preserve">4,500,000 </w:t>
            </w:r>
          </w:p>
          <w:p w14:paraId="1423AC5F" w14:textId="77777777" w:rsidR="00217DD5" w:rsidRDefault="00217DD5"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2ACFB8F2" w14:textId="3AE90300" w:rsidR="008F684C" w:rsidRPr="00A55FE1" w:rsidRDefault="008F684C" w:rsidP="008C2A1F">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8F2372">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8F2372">
              <w:rPr>
                <w:rFonts w:ascii="Times New Roman" w:hAnsi="Times New Roman" w:cs="Times New Roman"/>
                <w:bCs/>
                <w:iCs/>
                <w:snapToGrid w:val="0"/>
                <w:sz w:val="24"/>
                <w:szCs w:val="24"/>
                <w:lang w:val="fr-FR"/>
              </w:rPr>
              <w:t>projet:</w:t>
            </w:r>
            <w:proofErr w:type="gramEnd"/>
            <w:r w:rsidRPr="008F2372">
              <w:rPr>
                <w:rFonts w:ascii="Times New Roman" w:hAnsi="Times New Roman" w:cs="Times New Roman"/>
                <w:bCs/>
                <w:iCs/>
                <w:snapToGrid w:val="0"/>
                <w:sz w:val="24"/>
                <w:szCs w:val="24"/>
                <w:lang w:val="fr-FR"/>
              </w:rPr>
              <w:t xml:space="preserve"> </w:t>
            </w:r>
            <w:r w:rsidR="005F12AA" w:rsidRPr="008C2A1F">
              <w:rPr>
                <w:rFonts w:ascii="Times New Roman" w:hAnsi="Times New Roman" w:cs="Times New Roman"/>
                <w:b/>
                <w:iCs/>
                <w:snapToGrid w:val="0"/>
                <w:sz w:val="24"/>
                <w:szCs w:val="24"/>
                <w:lang w:val="fr-FR"/>
              </w:rPr>
              <w:t>60</w:t>
            </w:r>
            <w:r w:rsidR="009B7922" w:rsidRPr="008C2A1F">
              <w:rPr>
                <w:rFonts w:ascii="Times New Roman" w:hAnsi="Times New Roman" w:cs="Times New Roman"/>
                <w:b/>
                <w:iCs/>
                <w:snapToGrid w:val="0"/>
                <w:sz w:val="24"/>
                <w:szCs w:val="24"/>
                <w:lang w:val="fr-FR"/>
              </w:rPr>
              <w:t>%</w:t>
            </w:r>
            <w:r w:rsidR="005F12AA" w:rsidRPr="008C2A1F">
              <w:rPr>
                <w:rFonts w:ascii="Times New Roman" w:hAnsi="Times New Roman" w:cs="Times New Roman"/>
                <w:bCs/>
                <w:iCs/>
                <w:snapToGrid w:val="0"/>
                <w:sz w:val="24"/>
                <w:szCs w:val="24"/>
                <w:lang w:val="fr-FR"/>
              </w:rPr>
              <w:t xml:space="preserve"> (2 538 108,78 USD)</w:t>
            </w:r>
            <w:r w:rsidR="00225FC2" w:rsidRPr="008C2A1F">
              <w:rPr>
                <w:rFonts w:ascii="Times New Roman" w:hAnsi="Times New Roman" w:cs="Times New Roman"/>
                <w:bCs/>
                <w:iCs/>
                <w:snapToGrid w:val="0"/>
                <w:sz w:val="24"/>
                <w:szCs w:val="24"/>
                <w:lang w:val="fr-FR"/>
              </w:rPr>
              <w:t xml:space="preserve"> ; </w:t>
            </w:r>
            <w:r w:rsidR="00225FC2" w:rsidRPr="008C2A1F">
              <w:rPr>
                <w:lang w:val="fr-FR"/>
              </w:rPr>
              <w:t xml:space="preserve"> </w:t>
            </w:r>
            <w:r w:rsidR="00445E6B" w:rsidRPr="008C2A1F">
              <w:rPr>
                <w:rFonts w:ascii="Times New Roman" w:hAnsi="Times New Roman" w:cs="Times New Roman"/>
                <w:bCs/>
                <w:iCs/>
                <w:snapToGrid w:val="0"/>
                <w:sz w:val="24"/>
                <w:szCs w:val="24"/>
                <w:lang w:val="fr-FR"/>
              </w:rPr>
              <w:t>87</w:t>
            </w:r>
            <w:r w:rsidR="00225FC2" w:rsidRPr="008C2A1F">
              <w:rPr>
                <w:rFonts w:ascii="Times New Roman" w:hAnsi="Times New Roman" w:cs="Times New Roman"/>
                <w:bCs/>
                <w:iCs/>
                <w:snapToGrid w:val="0"/>
                <w:sz w:val="24"/>
                <w:szCs w:val="24"/>
                <w:lang w:val="fr-FR"/>
              </w:rPr>
              <w:t xml:space="preserve">% sur </w:t>
            </w:r>
            <w:r w:rsidR="00E65EED" w:rsidRPr="008C2A1F">
              <w:rPr>
                <w:rFonts w:ascii="Times New Roman" w:hAnsi="Times New Roman" w:cs="Times New Roman"/>
                <w:bCs/>
                <w:iCs/>
                <w:snapToGrid w:val="0"/>
                <w:sz w:val="24"/>
                <w:szCs w:val="24"/>
                <w:lang w:val="fr-FR"/>
              </w:rPr>
              <w:t xml:space="preserve">les </w:t>
            </w:r>
            <w:r w:rsidR="00225FC2" w:rsidRPr="008C2A1F">
              <w:rPr>
                <w:rFonts w:ascii="Times New Roman" w:hAnsi="Times New Roman" w:cs="Times New Roman"/>
                <w:bCs/>
                <w:iCs/>
                <w:snapToGrid w:val="0"/>
                <w:sz w:val="24"/>
                <w:szCs w:val="24"/>
                <w:lang w:val="fr-FR"/>
              </w:rPr>
              <w:t>deux tranches reçues</w:t>
            </w:r>
          </w:p>
          <w:p w14:paraId="7DF6F47A" w14:textId="77777777" w:rsidR="008F684C" w:rsidRPr="00BF4E1E"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60DE0FD" w14:textId="77777777" w:rsidR="008F684C" w:rsidRPr="000F43A8" w:rsidRDefault="008F684C" w:rsidP="008F684C">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 sensible au genre :</w:t>
            </w:r>
          </w:p>
          <w:p w14:paraId="5D7CF657" w14:textId="4FD7BC38" w:rsidR="008F684C" w:rsidRPr="00A55FE1" w:rsidRDefault="008F684C" w:rsidP="008F684C">
            <w:pPr>
              <w:rPr>
                <w:lang w:val="fr-FR"/>
              </w:rPr>
            </w:pPr>
            <w:r w:rsidRPr="00DD2FC8">
              <w:rPr>
                <w:lang w:val="fr-FR"/>
              </w:rPr>
              <w:t xml:space="preserve">Indiquez le montant ($) du budget dans le document de projet alloué aux activités dédiées à l’égalité des sexes ou à </w:t>
            </w:r>
            <w:r w:rsidRPr="00A55FE1">
              <w:rPr>
                <w:lang w:val="fr-FR"/>
              </w:rPr>
              <w:t xml:space="preserve">l’autonomisation des femmes : </w:t>
            </w:r>
            <w:r w:rsidRPr="00126D9D">
              <w:rPr>
                <w:bCs/>
                <w:lang w:val="fr-FR"/>
              </w:rPr>
              <w:t>37.50% soit $ 1,687,448.94</w:t>
            </w:r>
            <w:r w:rsidRPr="00A55FE1">
              <w:rPr>
                <w:bCs/>
                <w:lang w:val="fr-FR"/>
              </w:rPr>
              <w:t xml:space="preserve"> </w:t>
            </w:r>
          </w:p>
          <w:p w14:paraId="1E035CCC" w14:textId="77777777" w:rsidR="008F684C" w:rsidRPr="00A55FE1" w:rsidRDefault="008F684C" w:rsidP="008F684C">
            <w:pPr>
              <w:rPr>
                <w:lang w:val="fr-FR"/>
              </w:rPr>
            </w:pPr>
          </w:p>
          <w:p w14:paraId="1627137A" w14:textId="0E04E5DD" w:rsidR="008F684C" w:rsidRPr="000F43A8" w:rsidRDefault="008F684C" w:rsidP="008F684C">
            <w:pPr>
              <w:rPr>
                <w:lang w:val="fr-FR"/>
              </w:rPr>
            </w:pPr>
            <w:r w:rsidRPr="00B132A0">
              <w:rPr>
                <w:lang w:val="fr-FR"/>
              </w:rPr>
              <w:t xml:space="preserve">Indiquez le montant ($) du budget dépensé jusqu’à maintenant pour les activités dédiées à l’égalité des sexes ou à l’autonomisation des femmes : </w:t>
            </w:r>
            <w:r w:rsidR="00445E6B">
              <w:rPr>
                <w:lang w:val="fr-FR"/>
              </w:rPr>
              <w:t>1 081 828,69 USD</w:t>
            </w:r>
            <w:r w:rsidR="003C5E37">
              <w:rPr>
                <w:lang w:val="fr-FR"/>
              </w:rPr>
              <w:t xml:space="preserve"> </w:t>
            </w:r>
          </w:p>
        </w:tc>
      </w:tr>
      <w:tr w:rsidR="008F684C" w:rsidRPr="00EE01B0" w14:paraId="348DBEB4" w14:textId="77777777" w:rsidTr="00EE01B0">
        <w:trPr>
          <w:trHeight w:val="1074"/>
        </w:trPr>
        <w:tc>
          <w:tcPr>
            <w:tcW w:w="10768" w:type="dxa"/>
            <w:gridSpan w:val="2"/>
          </w:tcPr>
          <w:p w14:paraId="7AE4C374" w14:textId="77777777" w:rsidR="008F684C" w:rsidRPr="000F43A8" w:rsidRDefault="008F684C" w:rsidP="008F684C">
            <w:pPr>
              <w:rPr>
                <w:b/>
                <w:bCs/>
                <w:iCs/>
                <w:lang w:val="fr-FR"/>
              </w:rPr>
            </w:pPr>
            <w:r w:rsidRPr="00DD2FC8">
              <w:rPr>
                <w:b/>
                <w:bCs/>
                <w:iCs/>
                <w:lang w:val="fr-FR"/>
              </w:rPr>
              <w:t>Marquer de genre du projet :</w:t>
            </w:r>
            <w:r w:rsidRPr="000F43A8">
              <w:rPr>
                <w:b/>
                <w:bCs/>
                <w:iCs/>
                <w:lang w:val="fr-FR"/>
              </w:rPr>
              <w:t xml:space="preserve"> </w:t>
            </w:r>
            <w:r>
              <w:rPr>
                <w:b/>
                <w:bCs/>
                <w:iCs/>
              </w:rPr>
              <w:fldChar w:fldCharType="begin">
                <w:ffData>
                  <w:name w:val="gendermarker"/>
                  <w:enabled/>
                  <w:calcOnExit w:val="0"/>
                  <w:ddList>
                    <w:listEntry w:val="GM2"/>
                    <w:listEntry w:val="Veuillez sélectionner"/>
                    <w:listEntry w:val="GM3"/>
                    <w:listEntry w:val="GM1"/>
                  </w:ddList>
                </w:ffData>
              </w:fldChar>
            </w:r>
            <w:bookmarkStart w:id="2" w:name="gendermarker"/>
            <w:r w:rsidRPr="00D53328">
              <w:rPr>
                <w:b/>
                <w:bCs/>
                <w:iCs/>
                <w:lang w:val="fr-FR"/>
              </w:rPr>
              <w:instrText xml:space="preserve"> FORMDROPDOWN </w:instrText>
            </w:r>
            <w:r w:rsidR="00C85C8E">
              <w:rPr>
                <w:b/>
                <w:bCs/>
                <w:iCs/>
              </w:rPr>
            </w:r>
            <w:r w:rsidR="00C85C8E">
              <w:rPr>
                <w:b/>
                <w:bCs/>
                <w:iCs/>
              </w:rPr>
              <w:fldChar w:fldCharType="separate"/>
            </w:r>
            <w:r>
              <w:rPr>
                <w:b/>
                <w:bCs/>
                <w:iCs/>
              </w:rPr>
              <w:fldChar w:fldCharType="end"/>
            </w:r>
            <w:bookmarkEnd w:id="2"/>
          </w:p>
          <w:p w14:paraId="352B20C4" w14:textId="77777777" w:rsidR="008F684C" w:rsidRPr="000F43A8" w:rsidRDefault="008F684C" w:rsidP="008F684C">
            <w:pPr>
              <w:rPr>
                <w:b/>
                <w:bCs/>
                <w:iCs/>
                <w:lang w:val="fr-FR"/>
              </w:rPr>
            </w:pPr>
            <w:r w:rsidRPr="000F43A8">
              <w:rPr>
                <w:b/>
                <w:bCs/>
                <w:iCs/>
                <w:lang w:val="fr-FR"/>
              </w:rPr>
              <w:t xml:space="preserve">Marquer de risque du projet : </w:t>
            </w:r>
            <w:r>
              <w:rPr>
                <w:b/>
                <w:bCs/>
                <w:iCs/>
              </w:rPr>
              <w:fldChar w:fldCharType="begin">
                <w:ffData>
                  <w:name w:val="riskmarker"/>
                  <w:enabled/>
                  <w:calcOnExit w:val="0"/>
                  <w:ddList>
                    <w:listEntry w:val="Élevé"/>
                    <w:listEntry w:val="Moyen"/>
                    <w:listEntry w:val="Veuillez sélectionner"/>
                    <w:listEntry w:val="Faible"/>
                  </w:ddList>
                </w:ffData>
              </w:fldChar>
            </w:r>
            <w:bookmarkStart w:id="3" w:name="riskmarker"/>
            <w:r w:rsidRPr="00D53328">
              <w:rPr>
                <w:b/>
                <w:bCs/>
                <w:iCs/>
                <w:lang w:val="fr-FR"/>
              </w:rPr>
              <w:instrText xml:space="preserve"> FORMDROPDOWN </w:instrText>
            </w:r>
            <w:r w:rsidR="00C85C8E">
              <w:rPr>
                <w:b/>
                <w:bCs/>
                <w:iCs/>
              </w:rPr>
            </w:r>
            <w:r w:rsidR="00C85C8E">
              <w:rPr>
                <w:b/>
                <w:bCs/>
                <w:iCs/>
              </w:rPr>
              <w:fldChar w:fldCharType="separate"/>
            </w:r>
            <w:r>
              <w:rPr>
                <w:b/>
                <w:bCs/>
                <w:iCs/>
              </w:rPr>
              <w:fldChar w:fldCharType="end"/>
            </w:r>
            <w:bookmarkEnd w:id="3"/>
          </w:p>
          <w:p w14:paraId="5294E122" w14:textId="77777777" w:rsidR="008F684C" w:rsidRPr="000F43A8" w:rsidRDefault="008F684C" w:rsidP="008F684C">
            <w:pPr>
              <w:rPr>
                <w:b/>
                <w:bCs/>
                <w:iCs/>
                <w:lang w:val="fr-FR"/>
              </w:rPr>
            </w:pPr>
            <w:r w:rsidRPr="0018069C">
              <w:rPr>
                <w:b/>
                <w:bCs/>
                <w:szCs w:val="22"/>
                <w:lang w:val="fr-FR"/>
              </w:rPr>
              <w:t xml:space="preserve">Domaine de priorité de l’intervention PBF (« PBF </w:t>
            </w:r>
            <w:r w:rsidRPr="0018069C">
              <w:rPr>
                <w:b/>
                <w:bCs/>
                <w:iCs/>
                <w:lang w:val="fr-FR"/>
              </w:rPr>
              <w:t>focus area ») :</w:t>
            </w:r>
            <w:r w:rsidRPr="000F43A8">
              <w:rPr>
                <w:b/>
                <w:bCs/>
                <w:iCs/>
                <w:lang w:val="fr-FR"/>
              </w:rPr>
              <w:t xml:space="preserve"> </w:t>
            </w:r>
            <w:r>
              <w:rPr>
                <w:b/>
                <w:bCs/>
                <w:iCs/>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4" w:name="focusarea"/>
            <w:r w:rsidRPr="00D53328">
              <w:rPr>
                <w:b/>
                <w:bCs/>
                <w:iCs/>
                <w:lang w:val="fr-FR"/>
              </w:rPr>
              <w:instrText xml:space="preserve"> FORMDROPDOWN </w:instrText>
            </w:r>
            <w:r w:rsidR="00C85C8E">
              <w:rPr>
                <w:b/>
                <w:bCs/>
                <w:iCs/>
              </w:rPr>
            </w:r>
            <w:r w:rsidR="00C85C8E">
              <w:rPr>
                <w:b/>
                <w:bCs/>
                <w:iCs/>
              </w:rPr>
              <w:fldChar w:fldCharType="separate"/>
            </w:r>
            <w:r>
              <w:rPr>
                <w:b/>
                <w:bCs/>
                <w:iCs/>
              </w:rPr>
              <w:fldChar w:fldCharType="end"/>
            </w:r>
            <w:bookmarkEnd w:id="4"/>
          </w:p>
        </w:tc>
      </w:tr>
      <w:tr w:rsidR="008F684C" w:rsidRPr="00EE01B0" w14:paraId="202D3B01" w14:textId="77777777" w:rsidTr="00EE01B0">
        <w:trPr>
          <w:trHeight w:val="70"/>
        </w:trPr>
        <w:tc>
          <w:tcPr>
            <w:tcW w:w="10768" w:type="dxa"/>
            <w:gridSpan w:val="2"/>
          </w:tcPr>
          <w:p w14:paraId="3CD9C1B4" w14:textId="77777777" w:rsidR="008F684C" w:rsidRPr="00136BFF" w:rsidRDefault="008F684C" w:rsidP="008F684C">
            <w:pPr>
              <w:rPr>
                <w:b/>
                <w:bCs/>
                <w:sz w:val="22"/>
                <w:lang w:val="fr-FR"/>
              </w:rPr>
            </w:pPr>
            <w:r w:rsidRPr="00136BFF">
              <w:rPr>
                <w:b/>
                <w:bCs/>
                <w:sz w:val="22"/>
                <w:lang w:val="fr-FR"/>
              </w:rPr>
              <w:t>Préparation du rapport :</w:t>
            </w:r>
          </w:p>
          <w:p w14:paraId="08E8E6B8" w14:textId="3FA4B3A2" w:rsidR="008F684C" w:rsidRPr="00EC7EA0" w:rsidRDefault="008F684C" w:rsidP="00EC7EA0">
            <w:pPr>
              <w:rPr>
                <w:lang w:val="fr-FR"/>
              </w:rPr>
            </w:pPr>
            <w:r w:rsidRPr="00826923">
              <w:rPr>
                <w:lang w:val="fr-FR"/>
              </w:rPr>
              <w:t xml:space="preserve">Rapport préparé par : </w:t>
            </w:r>
            <w:r w:rsidR="00EC7EA0" w:rsidRPr="00EC7EA0">
              <w:rPr>
                <w:lang w:val="fr-FR"/>
              </w:rPr>
              <w:t>Solène Berthelier, Spécialiste Justice et S&amp;E PNUD </w:t>
            </w:r>
            <w:proofErr w:type="gramStart"/>
            <w:r w:rsidR="00EC7EA0" w:rsidRPr="00EC7EA0">
              <w:rPr>
                <w:lang w:val="fr-FR"/>
              </w:rPr>
              <w:t>;  Antje</w:t>
            </w:r>
            <w:proofErr w:type="gramEnd"/>
            <w:r w:rsidR="00EC7EA0" w:rsidRPr="00EC7EA0">
              <w:rPr>
                <w:lang w:val="fr-FR"/>
              </w:rPr>
              <w:t xml:space="preserve"> Kraft, Conseillère Technique Principale Etat de Droit PNUD</w:t>
            </w:r>
            <w:r w:rsidR="00B56140" w:rsidRPr="00EC7EA0">
              <w:rPr>
                <w:lang w:val="fr-FR"/>
              </w:rPr>
              <w:t>;</w:t>
            </w:r>
            <w:r w:rsidR="007A6D61" w:rsidRPr="00EC7EA0">
              <w:rPr>
                <w:lang w:val="fr-FR"/>
              </w:rPr>
              <w:t xml:space="preserve"> </w:t>
            </w:r>
            <w:r w:rsidR="00670C6C" w:rsidRPr="00EC7EA0">
              <w:rPr>
                <w:lang w:val="fr-FR"/>
              </w:rPr>
              <w:t>Mansoura Yamssa</w:t>
            </w:r>
            <w:r w:rsidR="00B56140" w:rsidRPr="00EC7EA0">
              <w:rPr>
                <w:lang w:val="fr-FR"/>
              </w:rPr>
              <w:t>,</w:t>
            </w:r>
            <w:r w:rsidR="00670C6C" w:rsidRPr="00EC7EA0">
              <w:rPr>
                <w:lang w:val="fr-FR"/>
              </w:rPr>
              <w:t xml:space="preserve"> Experte en Justice Transitionnelle</w:t>
            </w:r>
            <w:r w:rsidR="00B56140" w:rsidRPr="00EC7EA0">
              <w:rPr>
                <w:lang w:val="fr-FR"/>
              </w:rPr>
              <w:t> ;</w:t>
            </w:r>
            <w:r w:rsidR="00670C6C" w:rsidRPr="00EC7EA0">
              <w:rPr>
                <w:lang w:val="fr-FR"/>
              </w:rPr>
              <w:t xml:space="preserve"> </w:t>
            </w:r>
            <w:r w:rsidR="00FC6762" w:rsidRPr="00EC7EA0">
              <w:rPr>
                <w:lang w:val="fr-FR"/>
              </w:rPr>
              <w:t>Ulrich Sandy</w:t>
            </w:r>
            <w:r w:rsidR="006631BB" w:rsidRPr="00EC7EA0">
              <w:rPr>
                <w:lang w:val="fr-FR"/>
              </w:rPr>
              <w:t>, Chargé de Programme ONU Femmes</w:t>
            </w:r>
            <w:r w:rsidR="00B56140" w:rsidRPr="00EC7EA0">
              <w:rPr>
                <w:lang w:val="fr-FR"/>
              </w:rPr>
              <w:t> ;</w:t>
            </w:r>
          </w:p>
          <w:p w14:paraId="69E7C987" w14:textId="502A6ABF" w:rsidR="008F684C" w:rsidRPr="00826923" w:rsidRDefault="008F684C" w:rsidP="008F684C">
            <w:pPr>
              <w:rPr>
                <w:lang w:val="fr-FR"/>
              </w:rPr>
            </w:pPr>
            <w:r w:rsidRPr="00EC7EA0">
              <w:rPr>
                <w:lang w:val="fr-FR"/>
              </w:rPr>
              <w:t xml:space="preserve">Rapport approuvé par : </w:t>
            </w:r>
            <w:r w:rsidR="004B6BC2" w:rsidRPr="00EC7EA0">
              <w:rPr>
                <w:lang w:val="fr-FR"/>
              </w:rPr>
              <w:t xml:space="preserve"> </w:t>
            </w:r>
            <w:r w:rsidR="00EC7EA0" w:rsidRPr="00EC7EA0">
              <w:rPr>
                <w:lang w:val="fr-FR"/>
              </w:rPr>
              <w:t xml:space="preserve">Laurent </w:t>
            </w:r>
            <w:proofErr w:type="spellStart"/>
            <w:r w:rsidR="00EC7EA0" w:rsidRPr="00EC7EA0">
              <w:rPr>
                <w:lang w:val="fr-FR"/>
              </w:rPr>
              <w:t>Rudasinwga</w:t>
            </w:r>
            <w:proofErr w:type="spellEnd"/>
            <w:r w:rsidR="00EC7EA0" w:rsidRPr="00EC7EA0">
              <w:rPr>
                <w:lang w:val="fr-FR"/>
              </w:rPr>
              <w:t>, DRR-P</w:t>
            </w:r>
            <w:r w:rsidR="006631BB" w:rsidRPr="00EC7EA0">
              <w:rPr>
                <w:lang w:val="fr-FR"/>
              </w:rPr>
              <w:t xml:space="preserve"> </w:t>
            </w:r>
            <w:r w:rsidRPr="00EC7EA0">
              <w:rPr>
                <w:lang w:val="fr-FR"/>
              </w:rPr>
              <w:t>PNUD</w:t>
            </w:r>
            <w:r w:rsidR="00EC7EA0" w:rsidRPr="00EC7EA0">
              <w:rPr>
                <w:lang w:val="fr-FR"/>
              </w:rPr>
              <w:t xml:space="preserve"> </w:t>
            </w:r>
          </w:p>
          <w:p w14:paraId="7C2B3215" w14:textId="32F9A403" w:rsidR="008F684C" w:rsidRPr="004364B2" w:rsidRDefault="008F684C" w:rsidP="008F684C">
            <w:pPr>
              <w:rPr>
                <w:lang w:val="fr-FR"/>
              </w:rPr>
            </w:pPr>
            <w:r w:rsidRPr="00826923">
              <w:rPr>
                <w:lang w:val="fr-FR"/>
              </w:rPr>
              <w:t>Le Secrétariat PBF a-t-il revu le rapport</w:t>
            </w:r>
            <w:r w:rsidRPr="00136BFF">
              <w:rPr>
                <w:sz w:val="22"/>
                <w:lang w:val="fr-FR"/>
              </w:rPr>
              <w:t xml:space="preserve"> : </w:t>
            </w:r>
            <w:r w:rsidR="00B56140" w:rsidRPr="004B6BC2">
              <w:rPr>
                <w:b/>
                <w:bCs/>
                <w:lang w:val="fr-FR"/>
              </w:rPr>
              <w:t>Oui</w:t>
            </w:r>
          </w:p>
        </w:tc>
      </w:tr>
    </w:tbl>
    <w:p w14:paraId="183246AC" w14:textId="77777777" w:rsidR="00F004BF" w:rsidRPr="008F2372" w:rsidRDefault="00F004BF" w:rsidP="00F004BF">
      <w:pPr>
        <w:jc w:val="center"/>
        <w:rPr>
          <w:b/>
          <w:bCs/>
          <w:caps/>
          <w:lang w:val="fr-FR"/>
        </w:rPr>
      </w:pPr>
    </w:p>
    <w:p w14:paraId="10E550C7" w14:textId="77777777" w:rsidR="00F004BF" w:rsidRPr="00F778A1" w:rsidRDefault="00F004BF" w:rsidP="008516E9">
      <w:pPr>
        <w:jc w:val="both"/>
        <w:rPr>
          <w:b/>
          <w:i/>
          <w:iCs/>
          <w:lang w:val="fr-FR"/>
        </w:rPr>
      </w:pPr>
      <w:r w:rsidRPr="00F778A1">
        <w:rPr>
          <w:b/>
          <w:i/>
          <w:iCs/>
          <w:lang w:val="fr-FR"/>
        </w:rPr>
        <w:t xml:space="preserve">NOTES POUR REMPLIR LE </w:t>
      </w:r>
      <w:r w:rsidR="00825948" w:rsidRPr="00F778A1">
        <w:rPr>
          <w:b/>
          <w:i/>
          <w:iCs/>
          <w:lang w:val="fr-FR"/>
        </w:rPr>
        <w:t>RAPPORT :</w:t>
      </w:r>
    </w:p>
    <w:p w14:paraId="4858A44E" w14:textId="77777777" w:rsidR="00F004BF" w:rsidRPr="00F778A1" w:rsidRDefault="00F004BF" w:rsidP="008516E9">
      <w:pPr>
        <w:numPr>
          <w:ilvl w:val="0"/>
          <w:numId w:val="44"/>
        </w:numPr>
        <w:ind w:left="0" w:firstLine="0"/>
        <w:jc w:val="both"/>
        <w:rPr>
          <w:i/>
          <w:iCs/>
          <w:lang w:val="fr-FR"/>
        </w:rPr>
      </w:pPr>
      <w:r w:rsidRPr="00F778A1">
        <w:rPr>
          <w:i/>
          <w:iCs/>
          <w:lang w:val="fr-FR"/>
        </w:rPr>
        <w:t>Évitez les acronymes et le jargon des Nations Unies, utilisez un langage général / commun.</w:t>
      </w:r>
    </w:p>
    <w:p w14:paraId="0BA41F27" w14:textId="77777777" w:rsidR="00F004BF" w:rsidRPr="00F778A1" w:rsidRDefault="00F004BF" w:rsidP="008516E9">
      <w:pPr>
        <w:numPr>
          <w:ilvl w:val="0"/>
          <w:numId w:val="44"/>
        </w:numPr>
        <w:ind w:left="0" w:firstLine="0"/>
        <w:jc w:val="both"/>
        <w:rPr>
          <w:i/>
          <w:iCs/>
          <w:lang w:val="fr-FR"/>
        </w:rPr>
      </w:pPr>
      <w:r w:rsidRPr="00F778A1">
        <w:rPr>
          <w:i/>
          <w:iCs/>
          <w:lang w:val="fr-FR"/>
        </w:rPr>
        <w:t>Décrivez ce que le projet a fait dans la période de rapport, plutôt que les intentions du projet.</w:t>
      </w:r>
    </w:p>
    <w:p w14:paraId="324BD457" w14:textId="77777777" w:rsidR="00F004BF" w:rsidRPr="00BF4E1E" w:rsidRDefault="00F004BF" w:rsidP="008516E9">
      <w:pPr>
        <w:numPr>
          <w:ilvl w:val="0"/>
          <w:numId w:val="44"/>
        </w:numPr>
        <w:ind w:left="0" w:firstLine="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21DD7C9" w14:textId="77777777" w:rsidR="00F004BF" w:rsidRPr="00F778A1" w:rsidRDefault="00F004BF" w:rsidP="008516E9">
      <w:pPr>
        <w:numPr>
          <w:ilvl w:val="0"/>
          <w:numId w:val="44"/>
        </w:numPr>
        <w:ind w:left="0" w:firstLine="0"/>
        <w:jc w:val="both"/>
        <w:rPr>
          <w:i/>
          <w:iCs/>
          <w:lang w:val="fr-FR"/>
        </w:rPr>
      </w:pPr>
      <w:r>
        <w:rPr>
          <w:i/>
          <w:iCs/>
          <w:lang w:val="fr-FR"/>
        </w:rPr>
        <w:t xml:space="preserve">    </w:t>
      </w:r>
      <w:r w:rsidRPr="00F778A1">
        <w:rPr>
          <w:i/>
          <w:iCs/>
          <w:lang w:val="fr-FR"/>
        </w:rPr>
        <w:t>Veillez à ce que l'analyse et l'évaluation des progrès du projet tiennent compte des spécificités du sexe et de l'âge.</w:t>
      </w:r>
    </w:p>
    <w:p w14:paraId="6DEC0D1D" w14:textId="77777777" w:rsidR="00F004BF" w:rsidRDefault="00F004BF" w:rsidP="00F004BF">
      <w:pPr>
        <w:rPr>
          <w:b/>
          <w:lang w:val="fr-FR"/>
        </w:rPr>
      </w:pPr>
    </w:p>
    <w:p w14:paraId="13BFFC3C" w14:textId="77777777" w:rsidR="00F004BF" w:rsidRDefault="00F004BF" w:rsidP="00F004BF">
      <w:pPr>
        <w:rPr>
          <w:b/>
          <w:lang w:val="fr-FR"/>
        </w:rPr>
      </w:pPr>
    </w:p>
    <w:p w14:paraId="473C5673" w14:textId="77777777" w:rsidR="00F004BF" w:rsidRPr="00476758" w:rsidRDefault="00F004BF" w:rsidP="00F004BF">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70CD4CA5" w14:textId="77777777" w:rsidR="00F004BF" w:rsidRPr="00F778A1" w:rsidRDefault="00F004BF" w:rsidP="00F004BF">
      <w:pPr>
        <w:rPr>
          <w:b/>
          <w:lang w:val="fr-FR"/>
        </w:rPr>
      </w:pPr>
    </w:p>
    <w:p w14:paraId="0F02521A" w14:textId="77777777" w:rsidR="001225A8" w:rsidRPr="00ED3C25" w:rsidRDefault="00F004BF" w:rsidP="008516E9">
      <w:pPr>
        <w:jc w:val="both"/>
        <w:rPr>
          <w:b/>
          <w:lang w:val="fr-FR"/>
        </w:rPr>
      </w:pPr>
      <w:r w:rsidRPr="00250C0A">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C7EA0">
        <w:rPr>
          <w:b/>
          <w:lang w:val="fr-FR"/>
        </w:rPr>
        <w:t>(limite de 1500 caractères</w:t>
      </w:r>
      <w:proofErr w:type="gramStart"/>
      <w:r w:rsidRPr="00EC7EA0">
        <w:rPr>
          <w:b/>
          <w:lang w:val="fr-FR"/>
        </w:rPr>
        <w:t>):</w:t>
      </w:r>
      <w:proofErr w:type="gramEnd"/>
      <w:r w:rsidRPr="00D53328">
        <w:rPr>
          <w:b/>
          <w:lang w:val="fr-FR"/>
        </w:rPr>
        <w:t xml:space="preserve"> </w:t>
      </w:r>
    </w:p>
    <w:p w14:paraId="2F8F5B84" w14:textId="77777777" w:rsidR="00287988" w:rsidRDefault="00287988" w:rsidP="00E67FDE">
      <w:pPr>
        <w:spacing w:line="276" w:lineRule="auto"/>
        <w:jc w:val="both"/>
        <w:rPr>
          <w:lang w:val="fr-FR"/>
        </w:rPr>
      </w:pPr>
    </w:p>
    <w:p w14:paraId="3BE549A8" w14:textId="2B2DA64E" w:rsidR="00C63044" w:rsidRPr="00EC7EA0" w:rsidRDefault="00287988" w:rsidP="00EC7EA0">
      <w:pPr>
        <w:jc w:val="both"/>
        <w:rPr>
          <w:lang w:val="fr-FR"/>
        </w:rPr>
      </w:pPr>
      <w:r w:rsidRPr="00EC7EA0">
        <w:rPr>
          <w:lang w:val="fr-FR"/>
        </w:rPr>
        <w:t>L</w:t>
      </w:r>
      <w:r w:rsidR="00D02040" w:rsidRPr="00EC7EA0">
        <w:rPr>
          <w:lang w:val="fr-FR"/>
        </w:rPr>
        <w:t xml:space="preserve">a prestation de serment des 11 Commissaires, le 2 Juillet 2021, </w:t>
      </w:r>
      <w:r w:rsidR="009B201B">
        <w:rPr>
          <w:lang w:val="fr-FR"/>
        </w:rPr>
        <w:t>est</w:t>
      </w:r>
      <w:r w:rsidR="00D02040" w:rsidRPr="00EC7EA0">
        <w:rPr>
          <w:lang w:val="fr-FR"/>
        </w:rPr>
        <w:t xml:space="preserve"> une avancée majeure </w:t>
      </w:r>
      <w:r w:rsidR="009B201B">
        <w:rPr>
          <w:lang w:val="fr-FR"/>
        </w:rPr>
        <w:t>pour</w:t>
      </w:r>
      <w:r w:rsidR="00D02040" w:rsidRPr="00EC7EA0">
        <w:rPr>
          <w:lang w:val="fr-FR"/>
        </w:rPr>
        <w:t xml:space="preserve"> l</w:t>
      </w:r>
      <w:r w:rsidRPr="00EC7EA0">
        <w:rPr>
          <w:lang w:val="fr-FR"/>
        </w:rPr>
        <w:t>’</w:t>
      </w:r>
      <w:proofErr w:type="spellStart"/>
      <w:r w:rsidRPr="00EC7EA0">
        <w:rPr>
          <w:lang w:val="fr-FR"/>
        </w:rPr>
        <w:t>opérationalisation</w:t>
      </w:r>
      <w:proofErr w:type="spellEnd"/>
      <w:r w:rsidRPr="00EC7EA0">
        <w:rPr>
          <w:lang w:val="fr-FR"/>
        </w:rPr>
        <w:t xml:space="preserve"> de la Commission Vérité, Justice, Réparation et Réconciliation (CVJRR)</w:t>
      </w:r>
      <w:r w:rsidR="001B10A9" w:rsidRPr="00EC7EA0">
        <w:rPr>
          <w:lang w:val="fr-FR"/>
        </w:rPr>
        <w:t>.</w:t>
      </w:r>
      <w:r w:rsidR="00EC7EA0">
        <w:rPr>
          <w:lang w:val="fr-FR"/>
        </w:rPr>
        <w:t xml:space="preserve"> Le projet </w:t>
      </w:r>
      <w:r w:rsidR="009B201B">
        <w:rPr>
          <w:lang w:val="fr-FR"/>
        </w:rPr>
        <w:t>appuie</w:t>
      </w:r>
      <w:r w:rsidR="004A4DF3">
        <w:rPr>
          <w:lang w:val="fr-FR"/>
        </w:rPr>
        <w:t xml:space="preserve"> techniquement et </w:t>
      </w:r>
      <w:proofErr w:type="gramStart"/>
      <w:r w:rsidR="004A4DF3">
        <w:rPr>
          <w:lang w:val="fr-FR"/>
        </w:rPr>
        <w:t xml:space="preserve">opérationnellement </w:t>
      </w:r>
      <w:r w:rsidR="00EC7EA0">
        <w:rPr>
          <w:lang w:val="fr-FR"/>
        </w:rPr>
        <w:t xml:space="preserve"> </w:t>
      </w:r>
      <w:r w:rsidR="004666BD">
        <w:rPr>
          <w:lang w:val="fr-FR"/>
        </w:rPr>
        <w:t>la</w:t>
      </w:r>
      <w:proofErr w:type="gramEnd"/>
      <w:r w:rsidR="004666BD">
        <w:rPr>
          <w:lang w:val="fr-FR"/>
        </w:rPr>
        <w:t xml:space="preserve"> CVJRR, notamment via l’organisation de </w:t>
      </w:r>
      <w:r w:rsidR="004A090A">
        <w:rPr>
          <w:lang w:val="fr-FR"/>
        </w:rPr>
        <w:t>2</w:t>
      </w:r>
      <w:r w:rsidR="004666BD">
        <w:rPr>
          <w:lang w:val="fr-FR"/>
        </w:rPr>
        <w:t xml:space="preserve"> </w:t>
      </w:r>
      <w:r w:rsidR="00DD5053" w:rsidRPr="00EC7EA0">
        <w:rPr>
          <w:lang w:val="fr-FR"/>
        </w:rPr>
        <w:t xml:space="preserve">retraites </w:t>
      </w:r>
      <w:r w:rsidR="004666BD">
        <w:rPr>
          <w:lang w:val="fr-FR"/>
        </w:rPr>
        <w:t>pour a</w:t>
      </w:r>
      <w:r w:rsidR="002D500A" w:rsidRPr="00EC7EA0">
        <w:rPr>
          <w:lang w:val="fr-FR"/>
        </w:rPr>
        <w:t>ssurer</w:t>
      </w:r>
      <w:r w:rsidR="00DD5053" w:rsidRPr="00EC7EA0">
        <w:rPr>
          <w:lang w:val="fr-FR"/>
        </w:rPr>
        <w:t xml:space="preserve"> une compréhension commune d</w:t>
      </w:r>
      <w:r w:rsidR="004A090A">
        <w:rPr>
          <w:lang w:val="fr-FR"/>
        </w:rPr>
        <w:t>u</w:t>
      </w:r>
      <w:r w:rsidR="00DD5053" w:rsidRPr="00EC7EA0">
        <w:rPr>
          <w:lang w:val="fr-FR"/>
        </w:rPr>
        <w:t xml:space="preserve"> mandat et </w:t>
      </w:r>
      <w:r w:rsidR="004A090A">
        <w:rPr>
          <w:lang w:val="fr-FR"/>
        </w:rPr>
        <w:t>définir les</w:t>
      </w:r>
      <w:r w:rsidR="004666BD">
        <w:rPr>
          <w:lang w:val="fr-FR"/>
        </w:rPr>
        <w:t xml:space="preserve"> </w:t>
      </w:r>
      <w:r w:rsidR="00EA2340" w:rsidRPr="00EC7EA0">
        <w:rPr>
          <w:lang w:val="fr-FR"/>
        </w:rPr>
        <w:t xml:space="preserve">étapes </w:t>
      </w:r>
      <w:proofErr w:type="spellStart"/>
      <w:r w:rsidR="00EA2340" w:rsidRPr="00EC7EA0">
        <w:rPr>
          <w:lang w:val="fr-FR"/>
        </w:rPr>
        <w:t>clées</w:t>
      </w:r>
      <w:proofErr w:type="spellEnd"/>
      <w:r w:rsidR="004A090A">
        <w:rPr>
          <w:lang w:val="fr-FR"/>
        </w:rPr>
        <w:t xml:space="preserve"> de son </w:t>
      </w:r>
      <w:proofErr w:type="spellStart"/>
      <w:r w:rsidR="004A090A">
        <w:rPr>
          <w:lang w:val="fr-FR"/>
        </w:rPr>
        <w:t>opérationalisation</w:t>
      </w:r>
      <w:proofErr w:type="spellEnd"/>
      <w:r w:rsidR="00EA2340" w:rsidRPr="00EC7EA0">
        <w:rPr>
          <w:lang w:val="fr-FR"/>
        </w:rPr>
        <w:t xml:space="preserve">. </w:t>
      </w:r>
      <w:r w:rsidR="004A090A">
        <w:rPr>
          <w:lang w:val="fr-FR"/>
        </w:rPr>
        <w:t>Via un contrat avec le</w:t>
      </w:r>
      <w:r w:rsidR="006B561F">
        <w:rPr>
          <w:lang w:val="fr-FR"/>
        </w:rPr>
        <w:t xml:space="preserve"> Centre International </w:t>
      </w:r>
      <w:r w:rsidR="004F5AD3">
        <w:rPr>
          <w:lang w:val="fr-FR"/>
        </w:rPr>
        <w:t>pour la Justice Transitionnelle</w:t>
      </w:r>
      <w:r w:rsidR="008C2A1F">
        <w:rPr>
          <w:lang w:val="fr-FR"/>
        </w:rPr>
        <w:t xml:space="preserve"> </w:t>
      </w:r>
      <w:r w:rsidR="004F5AD3">
        <w:rPr>
          <w:lang w:val="fr-FR"/>
        </w:rPr>
        <w:t>(</w:t>
      </w:r>
      <w:r w:rsidR="00EA2340" w:rsidRPr="00EC7EA0">
        <w:rPr>
          <w:lang w:val="fr-FR"/>
        </w:rPr>
        <w:t>ICTJ</w:t>
      </w:r>
      <w:r w:rsidR="004F5AD3">
        <w:rPr>
          <w:lang w:val="fr-FR"/>
        </w:rPr>
        <w:t>)</w:t>
      </w:r>
      <w:r w:rsidR="00EA2340" w:rsidRPr="00EC7EA0">
        <w:rPr>
          <w:lang w:val="fr-FR"/>
        </w:rPr>
        <w:t xml:space="preserve">, </w:t>
      </w:r>
      <w:r w:rsidR="00EC7EA0">
        <w:rPr>
          <w:lang w:val="fr-FR"/>
        </w:rPr>
        <w:t xml:space="preserve">des Commissaires et experts </w:t>
      </w:r>
      <w:r w:rsidR="009B201B">
        <w:rPr>
          <w:lang w:val="fr-FR"/>
        </w:rPr>
        <w:t>sont</w:t>
      </w:r>
      <w:r w:rsidR="00B2274E" w:rsidRPr="00EC7EA0">
        <w:rPr>
          <w:lang w:val="fr-FR"/>
        </w:rPr>
        <w:t xml:space="preserve"> déployés pour accompagner la CVJRR </w:t>
      </w:r>
      <w:r w:rsidR="004A090A">
        <w:rPr>
          <w:lang w:val="fr-FR"/>
        </w:rPr>
        <w:t xml:space="preserve">dans ses réflexions et </w:t>
      </w:r>
      <w:r w:rsidR="00B2274E" w:rsidRPr="00EC7EA0">
        <w:rPr>
          <w:lang w:val="fr-FR"/>
        </w:rPr>
        <w:t>l’élaboration de sa stratégie d’intervention, de communication et d’investigation.</w:t>
      </w:r>
      <w:r w:rsidR="00756A08" w:rsidRPr="00EC7EA0">
        <w:rPr>
          <w:lang w:val="fr-FR"/>
        </w:rPr>
        <w:t xml:space="preserve"> </w:t>
      </w:r>
      <w:r w:rsidR="00EC7EA0">
        <w:rPr>
          <w:lang w:val="fr-FR"/>
        </w:rPr>
        <w:t>L</w:t>
      </w:r>
      <w:r w:rsidR="00756A08" w:rsidRPr="00EC7EA0">
        <w:rPr>
          <w:lang w:val="fr-FR"/>
        </w:rPr>
        <w:t xml:space="preserve">’étude sur les modalités de réparations présentée </w:t>
      </w:r>
      <w:r w:rsidR="004A090A">
        <w:rPr>
          <w:lang w:val="fr-FR"/>
        </w:rPr>
        <w:t>à</w:t>
      </w:r>
      <w:r w:rsidR="00756A08" w:rsidRPr="00EC7EA0">
        <w:rPr>
          <w:lang w:val="fr-FR"/>
        </w:rPr>
        <w:t xml:space="preserve"> la retraite </w:t>
      </w:r>
      <w:r w:rsidR="009B201B">
        <w:rPr>
          <w:lang w:val="fr-FR"/>
        </w:rPr>
        <w:t>stratégique permet d’</w:t>
      </w:r>
      <w:r w:rsidR="00756A08" w:rsidRPr="00EC7EA0">
        <w:rPr>
          <w:lang w:val="fr-FR"/>
        </w:rPr>
        <w:t xml:space="preserve">initier des réflexions </w:t>
      </w:r>
      <w:r w:rsidR="009B201B">
        <w:rPr>
          <w:lang w:val="fr-FR"/>
        </w:rPr>
        <w:t>pour</w:t>
      </w:r>
      <w:r w:rsidR="00756A08" w:rsidRPr="00EC7EA0">
        <w:rPr>
          <w:lang w:val="fr-FR"/>
        </w:rPr>
        <w:t xml:space="preserve"> la définition d’un programme national de réparation.</w:t>
      </w:r>
    </w:p>
    <w:p w14:paraId="5D19793D" w14:textId="77777777" w:rsidR="00756A08" w:rsidRPr="00EC7EA0" w:rsidRDefault="00756A08" w:rsidP="00EC7EA0">
      <w:pPr>
        <w:jc w:val="both"/>
        <w:rPr>
          <w:lang w:val="fr-FR"/>
        </w:rPr>
      </w:pPr>
    </w:p>
    <w:p w14:paraId="365DC2F2" w14:textId="789FA4A3" w:rsidR="00756A08" w:rsidRPr="00EC7EA0" w:rsidRDefault="00C63044" w:rsidP="00EC7EA0">
      <w:pPr>
        <w:jc w:val="both"/>
        <w:rPr>
          <w:lang w:val="fr-FR"/>
        </w:rPr>
      </w:pPr>
      <w:r w:rsidRPr="00EC7EA0">
        <w:rPr>
          <w:lang w:val="fr-FR"/>
        </w:rPr>
        <w:t>Le 6</w:t>
      </w:r>
      <w:r w:rsidRPr="00EC7EA0">
        <w:rPr>
          <w:vertAlign w:val="superscript"/>
          <w:lang w:val="fr-FR"/>
        </w:rPr>
        <w:t>ème</w:t>
      </w:r>
      <w:r w:rsidRPr="00EC7EA0">
        <w:rPr>
          <w:lang w:val="fr-FR"/>
        </w:rPr>
        <w:t xml:space="preserve"> sondage </w:t>
      </w:r>
      <w:r w:rsidR="00756A08" w:rsidRPr="00EC7EA0">
        <w:rPr>
          <w:lang w:val="fr-FR"/>
        </w:rPr>
        <w:t xml:space="preserve">de perception </w:t>
      </w:r>
      <w:r w:rsidR="0012006C">
        <w:rPr>
          <w:lang w:val="fr-FR"/>
        </w:rPr>
        <w:t xml:space="preserve">sur la paix, la justice et la sécurité (publiée en aout 2021) </w:t>
      </w:r>
      <w:r w:rsidR="00450D82" w:rsidRPr="00EC7EA0">
        <w:rPr>
          <w:lang w:val="fr-FR"/>
        </w:rPr>
        <w:t xml:space="preserve">montre </w:t>
      </w:r>
      <w:r w:rsidR="002D05C2" w:rsidRPr="00EC7EA0">
        <w:rPr>
          <w:lang w:val="fr-FR"/>
        </w:rPr>
        <w:t>une forte demande de la population pour la justice</w:t>
      </w:r>
      <w:r w:rsidR="004A090A">
        <w:rPr>
          <w:lang w:val="fr-FR"/>
        </w:rPr>
        <w:t xml:space="preserve">. </w:t>
      </w:r>
      <w:r w:rsidR="002D05C2" w:rsidRPr="00EC7EA0">
        <w:rPr>
          <w:lang w:val="fr-FR"/>
        </w:rPr>
        <w:t xml:space="preserve">57% </w:t>
      </w:r>
      <w:r w:rsidR="00756A08" w:rsidRPr="00EC7EA0">
        <w:rPr>
          <w:lang w:val="fr-FR"/>
        </w:rPr>
        <w:t>veulent que les responsables des violences soient jugés et condamnés</w:t>
      </w:r>
      <w:r w:rsidR="00803396" w:rsidRPr="00EC7EA0">
        <w:rPr>
          <w:lang w:val="fr-FR"/>
        </w:rPr>
        <w:t xml:space="preserve"> et 70% estiment que l’établissement de la vérité contribue à la consolidation de la paix</w:t>
      </w:r>
      <w:r w:rsidR="00A5137E" w:rsidRPr="00EC7EA0">
        <w:rPr>
          <w:lang w:val="fr-FR"/>
        </w:rPr>
        <w:t xml:space="preserve">. </w:t>
      </w:r>
      <w:r w:rsidR="009B201B">
        <w:rPr>
          <w:lang w:val="fr-FR"/>
        </w:rPr>
        <w:t>Pareil</w:t>
      </w:r>
      <w:r w:rsidR="00D16CEC" w:rsidRPr="00EC7EA0">
        <w:rPr>
          <w:lang w:val="fr-FR"/>
        </w:rPr>
        <w:t xml:space="preserve"> à la C</w:t>
      </w:r>
      <w:r w:rsidR="005F4996">
        <w:rPr>
          <w:lang w:val="fr-FR"/>
        </w:rPr>
        <w:t xml:space="preserve">our </w:t>
      </w:r>
      <w:r w:rsidR="00D16CEC" w:rsidRPr="00EC7EA0">
        <w:rPr>
          <w:lang w:val="fr-FR"/>
        </w:rPr>
        <w:t>P</w:t>
      </w:r>
      <w:r w:rsidR="005F4996">
        <w:rPr>
          <w:lang w:val="fr-FR"/>
        </w:rPr>
        <w:t xml:space="preserve">énale </w:t>
      </w:r>
      <w:r w:rsidR="00D16CEC" w:rsidRPr="00EC7EA0">
        <w:rPr>
          <w:lang w:val="fr-FR"/>
        </w:rPr>
        <w:t>S</w:t>
      </w:r>
      <w:r w:rsidR="005F4996">
        <w:rPr>
          <w:lang w:val="fr-FR"/>
        </w:rPr>
        <w:t>péciale (CPS)</w:t>
      </w:r>
      <w:r w:rsidR="00D16CEC" w:rsidRPr="00EC7EA0">
        <w:rPr>
          <w:lang w:val="fr-FR"/>
        </w:rPr>
        <w:t xml:space="preserve"> (45%) et aux juridictions ordinaires (47%), 40% déclare avoir confiance dans la CVJRR </w:t>
      </w:r>
      <w:r w:rsidR="009B201B">
        <w:rPr>
          <w:lang w:val="fr-FR"/>
        </w:rPr>
        <w:t>et même 7</w:t>
      </w:r>
      <w:r w:rsidR="00D16CEC" w:rsidRPr="00EC7EA0">
        <w:rPr>
          <w:lang w:val="fr-FR"/>
        </w:rPr>
        <w:t xml:space="preserve">1% parmi les personnes ayant une bonne connaissance de la CVJRR. </w:t>
      </w:r>
    </w:p>
    <w:p w14:paraId="0EF125AD" w14:textId="543F1226" w:rsidR="002D500A" w:rsidRPr="00EC7EA0" w:rsidRDefault="002D500A" w:rsidP="00EC7EA0">
      <w:pPr>
        <w:jc w:val="both"/>
        <w:rPr>
          <w:lang w:val="fr-FR"/>
        </w:rPr>
      </w:pPr>
    </w:p>
    <w:p w14:paraId="71B5F3BA" w14:textId="0765A801" w:rsidR="00DC0F52" w:rsidRDefault="00B11877" w:rsidP="00EC7EA0">
      <w:pPr>
        <w:jc w:val="both"/>
        <w:rPr>
          <w:lang w:val="fr-FR"/>
        </w:rPr>
      </w:pPr>
      <w:bookmarkStart w:id="5" w:name="_Hlk76051138"/>
      <w:r w:rsidRPr="00EC7EA0">
        <w:rPr>
          <w:lang w:val="fr-FR"/>
        </w:rPr>
        <w:t>Malgré le contexte sécuritaire volatile et l</w:t>
      </w:r>
      <w:r w:rsidR="00D16CEC" w:rsidRPr="00EC7EA0">
        <w:rPr>
          <w:lang w:val="fr-FR"/>
        </w:rPr>
        <w:t>e décès</w:t>
      </w:r>
      <w:r w:rsidRPr="00EC7EA0">
        <w:rPr>
          <w:lang w:val="fr-FR"/>
        </w:rPr>
        <w:t xml:space="preserve"> de la </w:t>
      </w:r>
      <w:r w:rsidR="00D16CEC" w:rsidRPr="00EC7EA0">
        <w:rPr>
          <w:lang w:val="fr-FR"/>
        </w:rPr>
        <w:t>p</w:t>
      </w:r>
      <w:r w:rsidRPr="00EC7EA0">
        <w:rPr>
          <w:lang w:val="fr-FR"/>
        </w:rPr>
        <w:t>résidente de l</w:t>
      </w:r>
      <w:r w:rsidR="00DC0F52" w:rsidRPr="00EC7EA0">
        <w:rPr>
          <w:lang w:val="fr-FR"/>
        </w:rPr>
        <w:t xml:space="preserve">’Association des </w:t>
      </w:r>
      <w:r w:rsidR="00E36F5D">
        <w:rPr>
          <w:lang w:val="fr-FR"/>
        </w:rPr>
        <w:t>F</w:t>
      </w:r>
      <w:r w:rsidR="00DC0F52" w:rsidRPr="00EC7EA0">
        <w:rPr>
          <w:lang w:val="fr-FR"/>
        </w:rPr>
        <w:t xml:space="preserve">emmes </w:t>
      </w:r>
      <w:r w:rsidR="00E36F5D">
        <w:rPr>
          <w:lang w:val="fr-FR"/>
        </w:rPr>
        <w:t>J</w:t>
      </w:r>
      <w:r w:rsidR="00DC0F52" w:rsidRPr="00EC7EA0">
        <w:rPr>
          <w:lang w:val="fr-FR"/>
        </w:rPr>
        <w:t>uristes</w:t>
      </w:r>
      <w:r w:rsidR="00D16CEC" w:rsidRPr="00EC7EA0">
        <w:rPr>
          <w:lang w:val="fr-FR"/>
        </w:rPr>
        <w:t xml:space="preserve"> (AFJ</w:t>
      </w:r>
      <w:r w:rsidR="00E36F5D">
        <w:rPr>
          <w:lang w:val="fr-FR"/>
        </w:rPr>
        <w:t>C</w:t>
      </w:r>
      <w:r w:rsidR="00D16CEC" w:rsidRPr="00EC7EA0">
        <w:rPr>
          <w:lang w:val="fr-FR"/>
        </w:rPr>
        <w:t>)</w:t>
      </w:r>
      <w:r w:rsidR="00DC0F52" w:rsidRPr="00EC7EA0">
        <w:rPr>
          <w:lang w:val="fr-FR"/>
        </w:rPr>
        <w:t xml:space="preserve">, les </w:t>
      </w:r>
      <w:r w:rsidR="00511C9F" w:rsidRPr="00EC7EA0">
        <w:rPr>
          <w:lang w:val="fr-FR"/>
        </w:rPr>
        <w:t xml:space="preserve">9 </w:t>
      </w:r>
      <w:r w:rsidR="00DC0F52" w:rsidRPr="00EC7EA0">
        <w:rPr>
          <w:lang w:val="fr-FR"/>
        </w:rPr>
        <w:t xml:space="preserve">cliniques juridiques </w:t>
      </w:r>
      <w:r w:rsidR="00A27FF5" w:rsidRPr="00EC7EA0">
        <w:rPr>
          <w:lang w:val="fr-FR"/>
        </w:rPr>
        <w:t xml:space="preserve">et </w:t>
      </w:r>
      <w:r w:rsidR="007F1C8E" w:rsidRPr="00EC7EA0">
        <w:rPr>
          <w:lang w:val="fr-FR"/>
        </w:rPr>
        <w:t>c</w:t>
      </w:r>
      <w:r w:rsidR="00A27FF5" w:rsidRPr="00EC7EA0">
        <w:rPr>
          <w:lang w:val="fr-FR"/>
        </w:rPr>
        <w:t>entres d’</w:t>
      </w:r>
      <w:r w:rsidR="007F1C8E" w:rsidRPr="00EC7EA0">
        <w:rPr>
          <w:lang w:val="fr-FR"/>
        </w:rPr>
        <w:t>é</w:t>
      </w:r>
      <w:r w:rsidR="00A27FF5" w:rsidRPr="00EC7EA0">
        <w:rPr>
          <w:lang w:val="fr-FR"/>
        </w:rPr>
        <w:t xml:space="preserve">coute </w:t>
      </w:r>
      <w:r w:rsidR="00511C9F" w:rsidRPr="00EC7EA0">
        <w:rPr>
          <w:lang w:val="fr-FR"/>
        </w:rPr>
        <w:t xml:space="preserve">ont permis à </w:t>
      </w:r>
      <w:r w:rsidR="0078246D">
        <w:rPr>
          <w:lang w:val="fr-FR"/>
        </w:rPr>
        <w:t>11</w:t>
      </w:r>
      <w:r w:rsidR="00EF4EED">
        <w:rPr>
          <w:lang w:val="fr-FR"/>
        </w:rPr>
        <w:t>431</w:t>
      </w:r>
      <w:r w:rsidR="00F04F1E" w:rsidRPr="00EC7EA0">
        <w:rPr>
          <w:lang w:val="fr-FR"/>
        </w:rPr>
        <w:t xml:space="preserve"> </w:t>
      </w:r>
      <w:r w:rsidR="00511C9F" w:rsidRPr="00EC7EA0">
        <w:rPr>
          <w:lang w:val="fr-FR"/>
        </w:rPr>
        <w:t xml:space="preserve">personnes </w:t>
      </w:r>
      <w:r w:rsidR="00F04F1E">
        <w:rPr>
          <w:lang w:val="fr-FR"/>
        </w:rPr>
        <w:t>(</w:t>
      </w:r>
      <w:r w:rsidR="004A090A">
        <w:rPr>
          <w:lang w:val="fr-FR"/>
        </w:rPr>
        <w:t xml:space="preserve">dont </w:t>
      </w:r>
      <w:r w:rsidR="00EF4EED">
        <w:rPr>
          <w:lang w:val="fr-FR"/>
        </w:rPr>
        <w:t>9602</w:t>
      </w:r>
      <w:r w:rsidR="004F20B3">
        <w:rPr>
          <w:lang w:val="fr-FR"/>
        </w:rPr>
        <w:t xml:space="preserve"> femmes et filles</w:t>
      </w:r>
      <w:r w:rsidR="0012006C">
        <w:rPr>
          <w:lang w:val="fr-FR"/>
        </w:rPr>
        <w:t xml:space="preserve"> pour la période de janvier à octobre 2021</w:t>
      </w:r>
      <w:r w:rsidR="004F20B3">
        <w:rPr>
          <w:lang w:val="fr-FR"/>
        </w:rPr>
        <w:t xml:space="preserve">) </w:t>
      </w:r>
      <w:r w:rsidR="00511C9F" w:rsidRPr="00EC7EA0">
        <w:rPr>
          <w:lang w:val="fr-FR"/>
        </w:rPr>
        <w:t>de bénéficier de services d’aide légale</w:t>
      </w:r>
      <w:r w:rsidR="00E36F5D">
        <w:rPr>
          <w:lang w:val="fr-FR"/>
        </w:rPr>
        <w:t xml:space="preserve">, </w:t>
      </w:r>
      <w:r w:rsidR="009B201B">
        <w:rPr>
          <w:lang w:val="fr-FR"/>
        </w:rPr>
        <w:t>grâce à</w:t>
      </w:r>
      <w:r w:rsidR="00E36F5D">
        <w:rPr>
          <w:lang w:val="fr-FR"/>
        </w:rPr>
        <w:t xml:space="preserve"> un appui </w:t>
      </w:r>
      <w:r w:rsidR="009B201B">
        <w:rPr>
          <w:lang w:val="fr-FR"/>
        </w:rPr>
        <w:t xml:space="preserve">spécifique </w:t>
      </w:r>
      <w:r w:rsidR="00E36F5D">
        <w:rPr>
          <w:lang w:val="fr-FR"/>
        </w:rPr>
        <w:t>sur l</w:t>
      </w:r>
      <w:r w:rsidR="004666BD">
        <w:rPr>
          <w:lang w:val="fr-FR"/>
        </w:rPr>
        <w:t>a gestion du traumatisme</w:t>
      </w:r>
      <w:r w:rsidR="004A090A">
        <w:rPr>
          <w:lang w:val="fr-FR"/>
        </w:rPr>
        <w:t xml:space="preserve"> </w:t>
      </w:r>
      <w:r w:rsidR="00E36F5D">
        <w:rPr>
          <w:lang w:val="fr-FR"/>
        </w:rPr>
        <w:t>du personnel</w:t>
      </w:r>
      <w:r w:rsidR="004A090A">
        <w:rPr>
          <w:lang w:val="fr-FR"/>
        </w:rPr>
        <w:t xml:space="preserve"> et</w:t>
      </w:r>
      <w:r w:rsidR="004666BD">
        <w:rPr>
          <w:lang w:val="fr-FR"/>
        </w:rPr>
        <w:t xml:space="preserve"> la planification. </w:t>
      </w:r>
      <w:r w:rsidR="0012006C">
        <w:rPr>
          <w:lang w:val="fr-FR"/>
        </w:rPr>
        <w:t>A noter qu’une enquête est en cours sur le possible assassinat de la présidente de l’AFJC et de ses enfants, personnage clé en RCA pour la société civile, la justice et la consolidation de la paix, et les droits humains des femmes</w:t>
      </w:r>
    </w:p>
    <w:p w14:paraId="3ED281C6" w14:textId="77777777" w:rsidR="009B201B" w:rsidRPr="00EC7EA0" w:rsidRDefault="009B201B" w:rsidP="00EC7EA0">
      <w:pPr>
        <w:jc w:val="both"/>
        <w:rPr>
          <w:lang w:val="fr-FR"/>
        </w:rPr>
      </w:pPr>
    </w:p>
    <w:p w14:paraId="57F88A44" w14:textId="2953E245" w:rsidR="00C0312E" w:rsidRPr="00EC7EA0" w:rsidRDefault="00511C9F" w:rsidP="00EC7EA0">
      <w:pPr>
        <w:jc w:val="both"/>
        <w:rPr>
          <w:lang w:val="fr-FR"/>
        </w:rPr>
      </w:pPr>
      <w:r w:rsidRPr="00EC7EA0">
        <w:rPr>
          <w:lang w:val="fr-FR"/>
        </w:rPr>
        <w:t xml:space="preserve">Dans le cadre </w:t>
      </w:r>
      <w:r w:rsidR="00E36F5D">
        <w:rPr>
          <w:lang w:val="fr-FR"/>
        </w:rPr>
        <w:t xml:space="preserve">de </w:t>
      </w:r>
      <w:r w:rsidR="004A090A">
        <w:rPr>
          <w:lang w:val="fr-FR"/>
        </w:rPr>
        <w:t xml:space="preserve">l’exécution </w:t>
      </w:r>
      <w:r w:rsidRPr="00EC7EA0">
        <w:rPr>
          <w:lang w:val="fr-FR"/>
        </w:rPr>
        <w:t>de la Politique Sectorielle de la Justice</w:t>
      </w:r>
      <w:r w:rsidR="00A36636">
        <w:rPr>
          <w:lang w:val="fr-FR"/>
        </w:rPr>
        <w:t xml:space="preserve"> (PSJ)</w:t>
      </w:r>
      <w:r w:rsidRPr="00EC7EA0">
        <w:rPr>
          <w:lang w:val="fr-FR"/>
        </w:rPr>
        <w:t xml:space="preserve">, </w:t>
      </w:r>
      <w:r w:rsidR="00C53F95" w:rsidRPr="00EC7EA0">
        <w:rPr>
          <w:lang w:val="fr-FR"/>
        </w:rPr>
        <w:t xml:space="preserve">la complémentarité entre les </w:t>
      </w:r>
      <w:r w:rsidR="00C53F95" w:rsidRPr="00E12C3A">
        <w:rPr>
          <w:lang w:val="fr-FR"/>
        </w:rPr>
        <w:t xml:space="preserve">mécanismes </w:t>
      </w:r>
      <w:r w:rsidR="009B201B" w:rsidRPr="00E12C3A">
        <w:rPr>
          <w:lang w:val="fr-FR"/>
        </w:rPr>
        <w:t>et</w:t>
      </w:r>
      <w:r w:rsidR="004A090A" w:rsidRPr="00E12C3A">
        <w:rPr>
          <w:lang w:val="fr-FR"/>
        </w:rPr>
        <w:t xml:space="preserve"> l’offre de justice, via l’appui à 8 audiences </w:t>
      </w:r>
      <w:r w:rsidR="004A090A" w:rsidRPr="00E12C3A">
        <w:rPr>
          <w:lang w:val="fr-FR"/>
        </w:rPr>
        <w:lastRenderedPageBreak/>
        <w:t xml:space="preserve">foraines, </w:t>
      </w:r>
      <w:r w:rsidR="009B201B" w:rsidRPr="00E12C3A">
        <w:rPr>
          <w:lang w:val="fr-FR"/>
        </w:rPr>
        <w:t>sont</w:t>
      </w:r>
      <w:r w:rsidR="00C53F95" w:rsidRPr="00E12C3A">
        <w:rPr>
          <w:lang w:val="fr-FR"/>
        </w:rPr>
        <w:t xml:space="preserve"> renforcée</w:t>
      </w:r>
      <w:r w:rsidR="004A090A" w:rsidRPr="00E12C3A">
        <w:rPr>
          <w:lang w:val="fr-FR"/>
        </w:rPr>
        <w:t>s</w:t>
      </w:r>
      <w:r w:rsidR="00B704A4" w:rsidRPr="00E12C3A">
        <w:rPr>
          <w:lang w:val="fr-FR"/>
        </w:rPr>
        <w:t xml:space="preserve"> pour une meilleure </w:t>
      </w:r>
      <w:r w:rsidR="002C66B0" w:rsidRPr="00E12C3A">
        <w:rPr>
          <w:lang w:val="fr-FR"/>
        </w:rPr>
        <w:t>réponse</w:t>
      </w:r>
      <w:r w:rsidR="002C66B0">
        <w:rPr>
          <w:lang w:val="fr-FR"/>
        </w:rPr>
        <w:t xml:space="preserve"> </w:t>
      </w:r>
      <w:r w:rsidR="004A090A">
        <w:rPr>
          <w:lang w:val="fr-FR"/>
        </w:rPr>
        <w:t>à la demande de justice des populations.</w:t>
      </w:r>
      <w:r w:rsidR="00C53F95" w:rsidRPr="00EC7EA0">
        <w:rPr>
          <w:lang w:val="fr-FR"/>
        </w:rPr>
        <w:t xml:space="preserve"> </w:t>
      </w:r>
    </w:p>
    <w:bookmarkEnd w:id="5"/>
    <w:p w14:paraId="0A89D598" w14:textId="77777777" w:rsidR="00C0312E" w:rsidRDefault="00C0312E" w:rsidP="00F004BF">
      <w:pPr>
        <w:ind w:left="-810"/>
        <w:jc w:val="both"/>
        <w:rPr>
          <w:b/>
          <w:color w:val="000000"/>
          <w:lang w:val="fr-FR" w:eastAsia="en-US"/>
        </w:rPr>
      </w:pPr>
    </w:p>
    <w:p w14:paraId="45294B0B" w14:textId="34A3CA04" w:rsidR="00F004BF" w:rsidRDefault="00F004BF" w:rsidP="008516E9">
      <w:pPr>
        <w:jc w:val="both"/>
        <w:rPr>
          <w:b/>
          <w:lang w:val="fr-FR"/>
        </w:rPr>
      </w:pPr>
      <w:r w:rsidRPr="00C77BEF">
        <w:rPr>
          <w:b/>
          <w:color w:val="000000"/>
          <w:lang w:val="fr-FR" w:eastAsia="en-US"/>
        </w:rPr>
        <w:t xml:space="preserve">Veuillez indiquer tout événement important lié au projet prévu au cours des six prochains mois, </w:t>
      </w:r>
      <w:r w:rsidRPr="000E5A51">
        <w:rPr>
          <w:b/>
          <w:color w:val="000000"/>
          <w:lang w:val="fr-FR" w:eastAsia="en-US"/>
        </w:rPr>
        <w:t xml:space="preserve">par exemple : les dialogues nationaux, les congrès des jeunes, les projections de films </w:t>
      </w:r>
      <w:r w:rsidRPr="000E5A51">
        <w:rPr>
          <w:b/>
          <w:lang w:val="fr-FR"/>
        </w:rPr>
        <w:t>(limite de 1000 caractères</w:t>
      </w:r>
      <w:r w:rsidR="003C6732" w:rsidRPr="000E5A51">
        <w:rPr>
          <w:b/>
          <w:lang w:val="fr-FR"/>
        </w:rPr>
        <w:t>) :</w:t>
      </w:r>
      <w:r w:rsidRPr="00250C0A">
        <w:rPr>
          <w:b/>
          <w:lang w:val="fr-FR"/>
        </w:rPr>
        <w:t xml:space="preserve"> </w:t>
      </w:r>
    </w:p>
    <w:p w14:paraId="155D941D" w14:textId="77777777" w:rsidR="008516E9" w:rsidRDefault="008516E9" w:rsidP="008516E9">
      <w:pPr>
        <w:spacing w:line="276" w:lineRule="auto"/>
        <w:jc w:val="both"/>
        <w:rPr>
          <w:color w:val="002060"/>
          <w:lang w:val="fr-CD"/>
        </w:rPr>
      </w:pPr>
    </w:p>
    <w:p w14:paraId="65BA2D38" w14:textId="0299929B" w:rsidR="008516E9" w:rsidRPr="000E5A51" w:rsidRDefault="008516E9" w:rsidP="008516E9">
      <w:pPr>
        <w:pStyle w:val="ListParagraph"/>
        <w:numPr>
          <w:ilvl w:val="0"/>
          <w:numId w:val="59"/>
        </w:numPr>
        <w:spacing w:line="276" w:lineRule="auto"/>
        <w:jc w:val="both"/>
        <w:rPr>
          <w:lang w:val="fr-FR"/>
        </w:rPr>
      </w:pPr>
      <w:r w:rsidRPr="000E5A51">
        <w:rPr>
          <w:lang w:val="fr-FR"/>
        </w:rPr>
        <w:t>A</w:t>
      </w:r>
      <w:r w:rsidR="00C538DB" w:rsidRPr="000E5A51">
        <w:rPr>
          <w:lang w:val="fr-FR"/>
        </w:rPr>
        <w:t>ppui</w:t>
      </w:r>
      <w:r w:rsidR="000E5A51">
        <w:rPr>
          <w:lang w:val="fr-FR"/>
        </w:rPr>
        <w:t xml:space="preserve"> </w:t>
      </w:r>
      <w:r w:rsidR="00C538DB" w:rsidRPr="000E5A51">
        <w:rPr>
          <w:lang w:val="fr-FR"/>
        </w:rPr>
        <w:t>technique</w:t>
      </w:r>
      <w:r w:rsidR="00997281">
        <w:rPr>
          <w:lang w:val="fr-FR"/>
        </w:rPr>
        <w:t xml:space="preserve"> et opérationnel</w:t>
      </w:r>
      <w:r w:rsidR="00C538DB" w:rsidRPr="000E5A51">
        <w:rPr>
          <w:lang w:val="fr-FR"/>
        </w:rPr>
        <w:t xml:space="preserve"> à </w:t>
      </w:r>
      <w:r w:rsidRPr="000E5A51">
        <w:rPr>
          <w:lang w:val="fr-FR"/>
        </w:rPr>
        <w:t xml:space="preserve">la CVJRR </w:t>
      </w:r>
      <w:r w:rsidR="00C538DB" w:rsidRPr="000E5A51">
        <w:rPr>
          <w:lang w:val="fr-FR"/>
        </w:rPr>
        <w:t>pour</w:t>
      </w:r>
      <w:r w:rsidRPr="000E5A51">
        <w:rPr>
          <w:lang w:val="fr-FR"/>
        </w:rPr>
        <w:t xml:space="preserve"> </w:t>
      </w:r>
      <w:r w:rsidR="00FC7A31">
        <w:rPr>
          <w:lang w:val="fr-FR"/>
        </w:rPr>
        <w:t xml:space="preserve">son </w:t>
      </w:r>
      <w:proofErr w:type="spellStart"/>
      <w:r w:rsidR="00FC7A31">
        <w:rPr>
          <w:lang w:val="fr-FR"/>
        </w:rPr>
        <w:t>opérationalisation</w:t>
      </w:r>
      <w:proofErr w:type="spellEnd"/>
      <w:r w:rsidR="00FC7A31">
        <w:rPr>
          <w:lang w:val="fr-FR"/>
        </w:rPr>
        <w:t xml:space="preserve"> (</w:t>
      </w:r>
      <w:r w:rsidRPr="000E5A51">
        <w:rPr>
          <w:lang w:val="fr-FR"/>
        </w:rPr>
        <w:t>élaboration de documents stratégiques</w:t>
      </w:r>
      <w:proofErr w:type="gramStart"/>
      <w:r w:rsidR="00FC7A31">
        <w:rPr>
          <w:lang w:val="fr-FR"/>
        </w:rPr>
        <w:t> ;</w:t>
      </w:r>
      <w:r w:rsidR="00997281">
        <w:rPr>
          <w:lang w:val="fr-FR"/>
        </w:rPr>
        <w:t>équipements</w:t>
      </w:r>
      <w:proofErr w:type="gramEnd"/>
      <w:r w:rsidR="00FC7A31">
        <w:rPr>
          <w:lang w:val="fr-FR"/>
        </w:rPr>
        <w:t xml:space="preserve"> ; </w:t>
      </w:r>
      <w:r w:rsidR="000E5A51">
        <w:rPr>
          <w:lang w:val="fr-FR"/>
        </w:rPr>
        <w:t>plaidoyer politique pour l’o</w:t>
      </w:r>
      <w:r w:rsidR="00FC7A31">
        <w:rPr>
          <w:lang w:val="fr-FR"/>
        </w:rPr>
        <w:t xml:space="preserve">ctroi de </w:t>
      </w:r>
      <w:r w:rsidR="000E5A51">
        <w:rPr>
          <w:lang w:val="fr-FR"/>
        </w:rPr>
        <w:t>locaux et budget</w:t>
      </w:r>
      <w:r w:rsidR="00FC7A31">
        <w:rPr>
          <w:lang w:val="fr-FR"/>
        </w:rPr>
        <w:t>)</w:t>
      </w:r>
      <w:r w:rsidRPr="000E5A51">
        <w:rPr>
          <w:lang w:val="fr-FR"/>
        </w:rPr>
        <w:t xml:space="preserve"> ; </w:t>
      </w:r>
    </w:p>
    <w:p w14:paraId="1CED536B" w14:textId="202D6933" w:rsidR="00E32930" w:rsidRPr="000E5A51" w:rsidRDefault="006505D4" w:rsidP="008516E9">
      <w:pPr>
        <w:pStyle w:val="ListParagraph"/>
        <w:numPr>
          <w:ilvl w:val="0"/>
          <w:numId w:val="59"/>
        </w:numPr>
        <w:spacing w:line="276" w:lineRule="auto"/>
        <w:jc w:val="both"/>
        <w:rPr>
          <w:lang w:val="fr-FR"/>
        </w:rPr>
      </w:pPr>
      <w:r w:rsidRPr="000E5A51">
        <w:rPr>
          <w:lang w:val="fr-FR"/>
        </w:rPr>
        <w:t>Appui au renforcement de la complémentarité</w:t>
      </w:r>
      <w:r w:rsidR="00E32930" w:rsidRPr="000E5A51">
        <w:rPr>
          <w:lang w:val="fr-FR"/>
        </w:rPr>
        <w:t xml:space="preserve"> entre </w:t>
      </w:r>
      <w:r w:rsidR="000E0534" w:rsidRPr="000E5A51">
        <w:rPr>
          <w:lang w:val="fr-FR"/>
        </w:rPr>
        <w:t>les juridictions ordinaires, la CPS et la CVJRR</w:t>
      </w:r>
      <w:r w:rsidR="00CA6DDA">
        <w:rPr>
          <w:lang w:val="fr-FR"/>
        </w:rPr>
        <w:t xml:space="preserve">, notamment sur le </w:t>
      </w:r>
      <w:proofErr w:type="spellStart"/>
      <w:r w:rsidR="00CA6DDA">
        <w:rPr>
          <w:lang w:val="fr-FR"/>
        </w:rPr>
        <w:t>MoU</w:t>
      </w:r>
      <w:proofErr w:type="spellEnd"/>
      <w:r w:rsidR="00CA6DDA">
        <w:rPr>
          <w:lang w:val="fr-FR"/>
        </w:rPr>
        <w:t xml:space="preserve"> entre la CPS et la CVJRR</w:t>
      </w:r>
      <w:r w:rsidR="006B094E" w:rsidRPr="000E5A51">
        <w:rPr>
          <w:lang w:val="fr-FR"/>
        </w:rPr>
        <w:t> </w:t>
      </w:r>
      <w:r w:rsidR="00FC7A31">
        <w:rPr>
          <w:lang w:val="fr-FR"/>
        </w:rPr>
        <w:t xml:space="preserve">et sur la protection des victimes et des </w:t>
      </w:r>
      <w:proofErr w:type="gramStart"/>
      <w:r w:rsidR="00FC7A31">
        <w:rPr>
          <w:lang w:val="fr-FR"/>
        </w:rPr>
        <w:t>témoins</w:t>
      </w:r>
      <w:r w:rsidR="006B094E" w:rsidRPr="000E5A51">
        <w:rPr>
          <w:lang w:val="fr-FR"/>
        </w:rPr>
        <w:t>;</w:t>
      </w:r>
      <w:proofErr w:type="gramEnd"/>
      <w:r w:rsidR="006B094E" w:rsidRPr="000E5A51">
        <w:rPr>
          <w:lang w:val="fr-FR"/>
        </w:rPr>
        <w:t xml:space="preserve"> </w:t>
      </w:r>
    </w:p>
    <w:p w14:paraId="5460D58B" w14:textId="7C811064" w:rsidR="006505D4" w:rsidRPr="000E5A51" w:rsidRDefault="000F77DD" w:rsidP="008516E9">
      <w:pPr>
        <w:pStyle w:val="ListParagraph"/>
        <w:numPr>
          <w:ilvl w:val="0"/>
          <w:numId w:val="59"/>
        </w:numPr>
        <w:spacing w:line="276" w:lineRule="auto"/>
        <w:jc w:val="both"/>
        <w:rPr>
          <w:lang w:val="fr-FR"/>
        </w:rPr>
      </w:pPr>
      <w:r w:rsidRPr="000E5A51">
        <w:rPr>
          <w:lang w:val="fr-FR"/>
        </w:rPr>
        <w:t>Renforcement des capacités de l’UMIRR</w:t>
      </w:r>
      <w:r w:rsidR="0052604B" w:rsidRPr="000E5A51">
        <w:rPr>
          <w:lang w:val="fr-FR"/>
        </w:rPr>
        <w:t xml:space="preserve"> pour la prise en charge des </w:t>
      </w:r>
      <w:proofErr w:type="gramStart"/>
      <w:r w:rsidR="0052604B" w:rsidRPr="000E5A51">
        <w:rPr>
          <w:lang w:val="fr-FR"/>
        </w:rPr>
        <w:t>victimes;</w:t>
      </w:r>
      <w:proofErr w:type="gramEnd"/>
    </w:p>
    <w:p w14:paraId="5C30C7C0" w14:textId="67667F20" w:rsidR="002A7E08" w:rsidRDefault="00074EDB" w:rsidP="00997281">
      <w:pPr>
        <w:pStyle w:val="ListParagraph"/>
        <w:numPr>
          <w:ilvl w:val="0"/>
          <w:numId w:val="59"/>
        </w:numPr>
        <w:spacing w:line="276" w:lineRule="auto"/>
        <w:jc w:val="both"/>
        <w:rPr>
          <w:lang w:val="fr-FR"/>
        </w:rPr>
      </w:pPr>
      <w:r w:rsidRPr="000E5A51">
        <w:rPr>
          <w:lang w:val="fr-FR"/>
        </w:rPr>
        <w:t xml:space="preserve">Sensibilisation des </w:t>
      </w:r>
      <w:r w:rsidR="00C538DB" w:rsidRPr="000E5A51">
        <w:rPr>
          <w:lang w:val="fr-FR"/>
        </w:rPr>
        <w:t>organisations de la société civile</w:t>
      </w:r>
      <w:r w:rsidRPr="000E5A51">
        <w:rPr>
          <w:lang w:val="fr-FR"/>
        </w:rPr>
        <w:t xml:space="preserve"> pour leur participation aux travaux de la CVJRR</w:t>
      </w:r>
      <w:r w:rsidR="00997281">
        <w:rPr>
          <w:lang w:val="fr-FR"/>
        </w:rPr>
        <w:t>.</w:t>
      </w:r>
    </w:p>
    <w:p w14:paraId="6227C9F6" w14:textId="77777777" w:rsidR="00997281" w:rsidRPr="00997281" w:rsidRDefault="00997281" w:rsidP="00997281">
      <w:pPr>
        <w:pStyle w:val="ListParagraph"/>
        <w:spacing w:line="276" w:lineRule="auto"/>
        <w:ind w:left="786"/>
        <w:jc w:val="both"/>
        <w:rPr>
          <w:lang w:val="fr-FR"/>
        </w:rPr>
      </w:pPr>
    </w:p>
    <w:p w14:paraId="0A2020AF" w14:textId="77777777" w:rsidR="00F004BF" w:rsidRPr="00250C0A" w:rsidRDefault="00F004BF" w:rsidP="00A658D1">
      <w:pPr>
        <w:ind w:right="-154"/>
        <w:jc w:val="both"/>
        <w:rPr>
          <w:b/>
          <w:lang w:val="fr-FR"/>
        </w:rPr>
      </w:pPr>
      <w:r w:rsidRPr="00250C0A">
        <w:rPr>
          <w:b/>
          <w:lang w:val="fr-FR"/>
        </w:rPr>
        <w:t>POUR LES PROJETS DANS LES SIX DERNIERS MOIS DE MISE EN ŒUVRE :</w:t>
      </w:r>
    </w:p>
    <w:p w14:paraId="4ABDF8EF" w14:textId="0062A3F1" w:rsidR="008B155C" w:rsidRDefault="00F004BF" w:rsidP="00A658D1">
      <w:pPr>
        <w:ind w:right="-154"/>
        <w:jc w:val="both"/>
        <w:rPr>
          <w:lang w:val="fr-FR"/>
        </w:rPr>
      </w:pPr>
      <w:r w:rsidRPr="00250C0A">
        <w:rPr>
          <w:b/>
          <w:lang w:val="fr-FR"/>
        </w:rPr>
        <w:t xml:space="preserve">Résumez le principal changement structurel, institutionnel ou sociétal auquel le projet a approuvé. Ceci n’est pas une anecdote ou une liste des activités individuelles </w:t>
      </w:r>
      <w:r w:rsidRPr="00551DDF">
        <w:rPr>
          <w:b/>
          <w:lang w:val="fr-FR"/>
        </w:rPr>
        <w:t>accomplies, mais une description de progrès fait vers l’objectif principal du projet. (</w:t>
      </w:r>
      <w:r w:rsidR="00825948" w:rsidRPr="00551DDF">
        <w:rPr>
          <w:b/>
          <w:lang w:val="fr-FR"/>
        </w:rPr>
        <w:t>Limite</w:t>
      </w:r>
      <w:r w:rsidRPr="00551DDF">
        <w:rPr>
          <w:b/>
          <w:lang w:val="fr-FR"/>
        </w:rPr>
        <w:t xml:space="preserve"> de 1500 caractères</w:t>
      </w:r>
      <w:r w:rsidR="00825948" w:rsidRPr="00551DDF">
        <w:rPr>
          <w:b/>
          <w:lang w:val="fr-FR"/>
        </w:rPr>
        <w:t>) :</w:t>
      </w:r>
      <w:r w:rsidRPr="000E4E78">
        <w:rPr>
          <w:b/>
          <w:lang w:val="fr-FR"/>
        </w:rPr>
        <w:t xml:space="preserve"> </w:t>
      </w:r>
    </w:p>
    <w:p w14:paraId="2E3E2F30" w14:textId="77777777" w:rsidR="008B155C" w:rsidRPr="000E4E78" w:rsidRDefault="008B155C" w:rsidP="00F004BF">
      <w:pPr>
        <w:ind w:left="-810" w:right="-154"/>
        <w:jc w:val="both"/>
        <w:rPr>
          <w:b/>
          <w:lang w:val="fr-FR"/>
        </w:rPr>
      </w:pPr>
    </w:p>
    <w:p w14:paraId="2BD21937" w14:textId="7DFD841D" w:rsidR="00C36D7D" w:rsidRPr="00551DDF" w:rsidRDefault="0012006C" w:rsidP="00551DDF">
      <w:pPr>
        <w:jc w:val="both"/>
        <w:rPr>
          <w:lang w:val="fr-FR"/>
        </w:rPr>
      </w:pPr>
      <w:r>
        <w:rPr>
          <w:lang w:val="fr-FR"/>
        </w:rPr>
        <w:t xml:space="preserve">La prestation de serment des </w:t>
      </w:r>
      <w:r w:rsidR="00A658D1" w:rsidRPr="00551DDF">
        <w:rPr>
          <w:lang w:val="fr-FR"/>
        </w:rPr>
        <w:t>11 Commissaires</w:t>
      </w:r>
      <w:r w:rsidR="00DC3507" w:rsidRPr="00551DDF">
        <w:rPr>
          <w:lang w:val="fr-FR"/>
        </w:rPr>
        <w:t xml:space="preserve"> </w:t>
      </w:r>
      <w:r>
        <w:rPr>
          <w:lang w:val="fr-FR"/>
        </w:rPr>
        <w:t>(</w:t>
      </w:r>
      <w:r w:rsidR="00551DDF">
        <w:rPr>
          <w:lang w:val="fr-FR"/>
        </w:rPr>
        <w:t>donc 5 femmes</w:t>
      </w:r>
      <w:r>
        <w:rPr>
          <w:lang w:val="fr-FR"/>
        </w:rPr>
        <w:t xml:space="preserve">) de </w:t>
      </w:r>
      <w:proofErr w:type="gramStart"/>
      <w:r>
        <w:rPr>
          <w:lang w:val="fr-FR"/>
        </w:rPr>
        <w:t xml:space="preserve">la  </w:t>
      </w:r>
      <w:r w:rsidR="00E9140F" w:rsidRPr="00551DDF">
        <w:rPr>
          <w:lang w:val="fr-FR"/>
        </w:rPr>
        <w:t>CVJRR</w:t>
      </w:r>
      <w:proofErr w:type="gramEnd"/>
      <w:r>
        <w:rPr>
          <w:lang w:val="fr-FR"/>
        </w:rPr>
        <w:t xml:space="preserve"> es</w:t>
      </w:r>
      <w:r w:rsidR="007445EA" w:rsidRPr="00551DDF">
        <w:rPr>
          <w:lang w:val="fr-FR"/>
        </w:rPr>
        <w:t xml:space="preserve">t </w:t>
      </w:r>
      <w:r w:rsidR="00A80895" w:rsidRPr="00551DDF">
        <w:rPr>
          <w:lang w:val="fr-FR"/>
        </w:rPr>
        <w:t xml:space="preserve">une avancée majeure </w:t>
      </w:r>
      <w:r>
        <w:rPr>
          <w:lang w:val="fr-FR"/>
        </w:rPr>
        <w:t>pour la</w:t>
      </w:r>
      <w:r w:rsidR="004C3FEC" w:rsidRPr="00551DDF">
        <w:rPr>
          <w:lang w:val="fr-FR"/>
        </w:rPr>
        <w:t xml:space="preserve"> justice transitionnelle</w:t>
      </w:r>
      <w:r>
        <w:rPr>
          <w:lang w:val="fr-FR"/>
        </w:rPr>
        <w:t xml:space="preserve"> en RCA</w:t>
      </w:r>
      <w:r w:rsidR="004C3FEC" w:rsidRPr="00551DDF">
        <w:rPr>
          <w:lang w:val="fr-FR"/>
        </w:rPr>
        <w:t>,</w:t>
      </w:r>
      <w:r>
        <w:rPr>
          <w:lang w:val="fr-FR"/>
        </w:rPr>
        <w:t xml:space="preserve"> commission</w:t>
      </w:r>
      <w:r w:rsidR="004C3FEC" w:rsidRPr="00551DDF">
        <w:rPr>
          <w:lang w:val="fr-FR"/>
        </w:rPr>
        <w:t xml:space="preserve"> qui s’inscrit </w:t>
      </w:r>
      <w:r>
        <w:rPr>
          <w:lang w:val="fr-FR"/>
        </w:rPr>
        <w:t xml:space="preserve">dans la </w:t>
      </w:r>
      <w:r w:rsidR="004C3FEC" w:rsidRPr="00551DDF">
        <w:rPr>
          <w:lang w:val="fr-FR"/>
        </w:rPr>
        <w:t>complémentarité de la CPS et des juridictions ordi</w:t>
      </w:r>
      <w:r w:rsidR="00551DDF">
        <w:rPr>
          <w:lang w:val="fr-FR"/>
        </w:rPr>
        <w:t>naire</w:t>
      </w:r>
      <w:r w:rsidR="004C3FEC" w:rsidRPr="00551DDF">
        <w:rPr>
          <w:lang w:val="fr-FR"/>
        </w:rPr>
        <w:t>s</w:t>
      </w:r>
      <w:r w:rsidR="009C6423" w:rsidRPr="00551DDF">
        <w:rPr>
          <w:lang w:val="fr-FR"/>
        </w:rPr>
        <w:t xml:space="preserve">, et </w:t>
      </w:r>
      <w:r>
        <w:rPr>
          <w:lang w:val="fr-FR"/>
        </w:rPr>
        <w:t xml:space="preserve">dans </w:t>
      </w:r>
      <w:r w:rsidR="009C6423" w:rsidRPr="00551DDF">
        <w:rPr>
          <w:lang w:val="fr-FR"/>
        </w:rPr>
        <w:t>la mise en œuvre de l’A</w:t>
      </w:r>
      <w:r w:rsidR="0063741E">
        <w:rPr>
          <w:lang w:val="fr-FR"/>
        </w:rPr>
        <w:t xml:space="preserve">ccord </w:t>
      </w:r>
      <w:r w:rsidR="00551DDF">
        <w:rPr>
          <w:lang w:val="fr-FR"/>
        </w:rPr>
        <w:t>P</w:t>
      </w:r>
      <w:r w:rsidR="00A36636">
        <w:rPr>
          <w:lang w:val="fr-FR"/>
        </w:rPr>
        <w:t xml:space="preserve">olitique pour la </w:t>
      </w:r>
      <w:r w:rsidR="00551DDF">
        <w:rPr>
          <w:lang w:val="fr-FR"/>
        </w:rPr>
        <w:t>P</w:t>
      </w:r>
      <w:r w:rsidR="00A36636">
        <w:rPr>
          <w:lang w:val="fr-FR"/>
        </w:rPr>
        <w:t xml:space="preserve">aix et la </w:t>
      </w:r>
      <w:r w:rsidR="00551DDF">
        <w:rPr>
          <w:lang w:val="fr-FR"/>
        </w:rPr>
        <w:t>R</w:t>
      </w:r>
      <w:r w:rsidR="00A36636">
        <w:rPr>
          <w:lang w:val="fr-FR"/>
        </w:rPr>
        <w:t>éconciliation (APPR)</w:t>
      </w:r>
      <w:r w:rsidR="009C6423" w:rsidRPr="00551DDF">
        <w:rPr>
          <w:lang w:val="fr-FR"/>
        </w:rPr>
        <w:t>. La population Centrafricaine exprim</w:t>
      </w:r>
      <w:r>
        <w:rPr>
          <w:lang w:val="fr-FR"/>
        </w:rPr>
        <w:t>e</w:t>
      </w:r>
      <w:r w:rsidR="009C6423" w:rsidRPr="00551DDF">
        <w:rPr>
          <w:lang w:val="fr-FR"/>
        </w:rPr>
        <w:t xml:space="preserve"> de fortes attentes en matière de justic</w:t>
      </w:r>
      <w:r w:rsidR="00C36D7D" w:rsidRPr="00551DDF">
        <w:rPr>
          <w:lang w:val="fr-FR"/>
        </w:rPr>
        <w:t>e qui</w:t>
      </w:r>
      <w:r>
        <w:rPr>
          <w:lang w:val="fr-FR"/>
        </w:rPr>
        <w:t xml:space="preserve">, pour 70% d’entre </w:t>
      </w:r>
      <w:proofErr w:type="gramStart"/>
      <w:r>
        <w:rPr>
          <w:lang w:val="fr-FR"/>
        </w:rPr>
        <w:t xml:space="preserve">eux, </w:t>
      </w:r>
      <w:r w:rsidR="00C36D7D" w:rsidRPr="00551DDF">
        <w:rPr>
          <w:lang w:val="fr-FR"/>
        </w:rPr>
        <w:t xml:space="preserve"> constitue</w:t>
      </w:r>
      <w:proofErr w:type="gramEnd"/>
      <w:r w:rsidR="00C36D7D" w:rsidRPr="00551DDF">
        <w:rPr>
          <w:lang w:val="fr-FR"/>
        </w:rPr>
        <w:t xml:space="preserve"> un élément essentiel pour la construction d’une paix durable</w:t>
      </w:r>
      <w:r w:rsidR="00170DF8" w:rsidRPr="00551DDF">
        <w:rPr>
          <w:lang w:val="fr-FR"/>
        </w:rPr>
        <w:t xml:space="preserve">. </w:t>
      </w:r>
      <w:r w:rsidR="008256A6" w:rsidRPr="00551DDF">
        <w:rPr>
          <w:lang w:val="fr-FR"/>
        </w:rPr>
        <w:t xml:space="preserve">Alors que 88% de la population se considère comme victime des différents épisodes violents, les attentes vis-à-vis des mécanismes de justice transitionnelle sont particulièrement </w:t>
      </w:r>
      <w:r w:rsidR="00C64C28" w:rsidRPr="00551DDF">
        <w:rPr>
          <w:lang w:val="fr-FR"/>
        </w:rPr>
        <w:t>élevées</w:t>
      </w:r>
      <w:r w:rsidR="00A02AA0">
        <w:rPr>
          <w:lang w:val="fr-FR"/>
        </w:rPr>
        <w:t xml:space="preserve">. </w:t>
      </w:r>
      <w:r w:rsidR="00C64C28" w:rsidRPr="00551DDF">
        <w:rPr>
          <w:lang w:val="fr-FR"/>
        </w:rPr>
        <w:t> </w:t>
      </w:r>
    </w:p>
    <w:p w14:paraId="023C8660" w14:textId="66FBC792" w:rsidR="0061440A" w:rsidRPr="00551DDF" w:rsidRDefault="0061440A" w:rsidP="00551DDF">
      <w:pPr>
        <w:jc w:val="both"/>
        <w:rPr>
          <w:lang w:val="fr-FR"/>
        </w:rPr>
      </w:pPr>
    </w:p>
    <w:p w14:paraId="6376CEF2" w14:textId="221D9A58" w:rsidR="00937815" w:rsidRDefault="00937815" w:rsidP="00551DDF">
      <w:pPr>
        <w:jc w:val="both"/>
        <w:rPr>
          <w:lang w:val="fr-FR"/>
        </w:rPr>
      </w:pPr>
      <w:r>
        <w:rPr>
          <w:lang w:val="fr-FR"/>
        </w:rPr>
        <w:t>La consolidation de la réforme du secteur de la justice à travers la PSJ, ainsi que l’accès à la justice facilité directement par le projet avec l’offre de services des clinique</w:t>
      </w:r>
      <w:r w:rsidR="00FC7A31">
        <w:rPr>
          <w:lang w:val="fr-FR"/>
        </w:rPr>
        <w:t>s</w:t>
      </w:r>
      <w:r>
        <w:rPr>
          <w:lang w:val="fr-FR"/>
        </w:rPr>
        <w:t xml:space="preserve"> juridiques et la tenue d’audiences foraines, sont des évènements visibles à un impact </w:t>
      </w:r>
      <w:proofErr w:type="spellStart"/>
      <w:r>
        <w:rPr>
          <w:lang w:val="fr-FR"/>
        </w:rPr>
        <w:t>au delà</w:t>
      </w:r>
      <w:proofErr w:type="spellEnd"/>
      <w:r>
        <w:rPr>
          <w:lang w:val="fr-FR"/>
        </w:rPr>
        <w:t xml:space="preserve"> que sur les victimes immédiates, en renforçant la confiance dans la justice, la paix et l’Etat plus largeme</w:t>
      </w:r>
      <w:r w:rsidR="00FC7A31">
        <w:rPr>
          <w:lang w:val="fr-FR"/>
        </w:rPr>
        <w:t>n</w:t>
      </w:r>
      <w:r>
        <w:rPr>
          <w:lang w:val="fr-FR"/>
        </w:rPr>
        <w:t>t.</w:t>
      </w:r>
    </w:p>
    <w:p w14:paraId="4BBD6A75" w14:textId="77777777" w:rsidR="00937815" w:rsidRDefault="00937815" w:rsidP="00551DDF">
      <w:pPr>
        <w:jc w:val="both"/>
        <w:rPr>
          <w:lang w:val="fr-FR"/>
        </w:rPr>
      </w:pPr>
    </w:p>
    <w:p w14:paraId="01370A35" w14:textId="3CA9F919" w:rsidR="0061440A" w:rsidRPr="00551DDF" w:rsidRDefault="0061440A" w:rsidP="00551DDF">
      <w:pPr>
        <w:jc w:val="both"/>
        <w:rPr>
          <w:lang w:val="fr-FR"/>
        </w:rPr>
      </w:pPr>
      <w:r w:rsidRPr="00551DDF">
        <w:rPr>
          <w:lang w:val="fr-FR"/>
        </w:rPr>
        <w:t>L’étude sur les modalités de réparations</w:t>
      </w:r>
      <w:r w:rsidR="003B7CF1" w:rsidRPr="00551DDF">
        <w:rPr>
          <w:lang w:val="fr-FR"/>
        </w:rPr>
        <w:t xml:space="preserve">, qui a été conduite selon une approche participative et inclusive auprès de nombreuses associations de victimes, déplacés et retournés ainsi que d’autorités nationales, </w:t>
      </w:r>
      <w:r w:rsidRPr="00551DDF">
        <w:rPr>
          <w:lang w:val="fr-FR"/>
        </w:rPr>
        <w:t>a été présentée lors de la retraite de la CVJRR.</w:t>
      </w:r>
      <w:r w:rsidR="003B7CF1" w:rsidRPr="00551DDF">
        <w:rPr>
          <w:lang w:val="fr-FR"/>
        </w:rPr>
        <w:t xml:space="preserve"> Ces </w:t>
      </w:r>
      <w:r w:rsidR="00E37216" w:rsidRPr="00551DDF">
        <w:rPr>
          <w:lang w:val="fr-FR"/>
        </w:rPr>
        <w:t>données</w:t>
      </w:r>
      <w:r w:rsidR="00603305" w:rsidRPr="00551DDF">
        <w:rPr>
          <w:lang w:val="fr-FR"/>
        </w:rPr>
        <w:t xml:space="preserve"> complétées par les </w:t>
      </w:r>
      <w:r w:rsidR="00E37216" w:rsidRPr="00551DDF">
        <w:rPr>
          <w:lang w:val="fr-FR"/>
        </w:rPr>
        <w:t>résultats du</w:t>
      </w:r>
      <w:r w:rsidR="00603305" w:rsidRPr="00551DDF">
        <w:rPr>
          <w:lang w:val="fr-FR"/>
        </w:rPr>
        <w:t xml:space="preserve"> sondage de perception quant aux aspirations des victimes en matière de réparation</w:t>
      </w:r>
      <w:r w:rsidR="00E37216" w:rsidRPr="00551DDF">
        <w:rPr>
          <w:lang w:val="fr-FR"/>
        </w:rPr>
        <w:t xml:space="preserve">, permettront d’enrichir les réflexions </w:t>
      </w:r>
      <w:r w:rsidR="00551DDF">
        <w:rPr>
          <w:lang w:val="fr-FR"/>
        </w:rPr>
        <w:t>pour la</w:t>
      </w:r>
      <w:r w:rsidR="00E37216" w:rsidRPr="00551DDF">
        <w:rPr>
          <w:lang w:val="fr-FR"/>
        </w:rPr>
        <w:t xml:space="preserve"> définition d’un programme national de réparation répondant aux attentes et besoins des communautés. </w:t>
      </w:r>
    </w:p>
    <w:p w14:paraId="4CF3B9F1" w14:textId="77777777" w:rsidR="00F004BF" w:rsidRPr="000E4E78" w:rsidRDefault="00F004BF" w:rsidP="00D70FE2">
      <w:pPr>
        <w:jc w:val="both"/>
        <w:rPr>
          <w:lang w:val="fr-FR"/>
        </w:rPr>
      </w:pPr>
    </w:p>
    <w:p w14:paraId="3D312FB0" w14:textId="77777777" w:rsidR="00F004BF" w:rsidRPr="00926EB2" w:rsidRDefault="00F004BF" w:rsidP="00C02EB2">
      <w:pPr>
        <w:jc w:val="both"/>
        <w:rPr>
          <w:b/>
          <w:lang w:val="fr-FR"/>
        </w:rPr>
      </w:pPr>
      <w:r w:rsidRPr="00926EB2">
        <w:rPr>
          <w:b/>
          <w:lang w:val="fr-FR"/>
        </w:rPr>
        <w:lastRenderedPageBreak/>
        <w:t xml:space="preserve">En quelques phrases, expliquez comment le projet a eu un impact humain réel. Ceci peut inclure un exemple spécifique de comment il a affecté la vie des personnes dans le pays - si possible, utilisez des citations directes </w:t>
      </w:r>
      <w:r w:rsidRPr="00937815">
        <w:rPr>
          <w:b/>
          <w:lang w:val="fr-FR"/>
        </w:rPr>
        <w:t xml:space="preserve">des bénéficiaires ou des </w:t>
      </w:r>
      <w:r w:rsidR="00825948" w:rsidRPr="00937815">
        <w:rPr>
          <w:b/>
          <w:lang w:val="fr-FR"/>
        </w:rPr>
        <w:t>web links</w:t>
      </w:r>
      <w:r w:rsidRPr="00937815">
        <w:rPr>
          <w:b/>
          <w:lang w:val="fr-FR"/>
        </w:rPr>
        <w:t xml:space="preserve"> à la communication stratégique publiée. (</w:t>
      </w:r>
      <w:r w:rsidR="00825948" w:rsidRPr="00937815">
        <w:rPr>
          <w:b/>
          <w:lang w:val="fr-FR"/>
        </w:rPr>
        <w:t>Limite</w:t>
      </w:r>
      <w:r w:rsidRPr="00937815">
        <w:rPr>
          <w:b/>
          <w:lang w:val="fr-FR"/>
        </w:rPr>
        <w:t xml:space="preserve"> de 2000 caractères</w:t>
      </w:r>
      <w:r w:rsidR="00EF13BF" w:rsidRPr="00937815">
        <w:rPr>
          <w:b/>
          <w:lang w:val="fr-FR"/>
        </w:rPr>
        <w:t>) :</w:t>
      </w:r>
    </w:p>
    <w:p w14:paraId="22FF4450" w14:textId="77777777" w:rsidR="00F004BF" w:rsidRDefault="00F004BF" w:rsidP="00F004BF">
      <w:pPr>
        <w:ind w:left="-810"/>
        <w:jc w:val="both"/>
        <w:rPr>
          <w:lang w:val="fr-FR"/>
        </w:rPr>
      </w:pPr>
    </w:p>
    <w:p w14:paraId="1109F2F2" w14:textId="1D2C7EE1" w:rsidR="00A02AA0" w:rsidRPr="00EE01B0" w:rsidRDefault="00954E48" w:rsidP="00A02AA0">
      <w:pPr>
        <w:pStyle w:val="FootnoteText"/>
        <w:jc w:val="both"/>
        <w:rPr>
          <w:sz w:val="24"/>
          <w:szCs w:val="24"/>
          <w:lang w:val="fr-CD"/>
        </w:rPr>
      </w:pPr>
      <w:r w:rsidRPr="00EE01B0">
        <w:rPr>
          <w:sz w:val="24"/>
          <w:szCs w:val="24"/>
          <w:lang w:val="fr-FR"/>
        </w:rPr>
        <w:t>Les résultats du 6</w:t>
      </w:r>
      <w:r w:rsidRPr="00EE01B0">
        <w:rPr>
          <w:sz w:val="24"/>
          <w:szCs w:val="24"/>
          <w:vertAlign w:val="superscript"/>
          <w:lang w:val="fr-FR"/>
        </w:rPr>
        <w:t>ème</w:t>
      </w:r>
      <w:r w:rsidR="00937815" w:rsidRPr="00EE01B0">
        <w:rPr>
          <w:sz w:val="24"/>
          <w:szCs w:val="24"/>
          <w:lang w:val="fr-FR"/>
        </w:rPr>
        <w:t xml:space="preserve"> </w:t>
      </w:r>
      <w:r w:rsidRPr="00EE01B0">
        <w:rPr>
          <w:sz w:val="24"/>
          <w:szCs w:val="24"/>
          <w:lang w:val="fr-FR"/>
        </w:rPr>
        <w:t xml:space="preserve">sondage de perception </w:t>
      </w:r>
      <w:r w:rsidR="00472B8A" w:rsidRPr="00EE01B0">
        <w:rPr>
          <w:sz w:val="24"/>
          <w:szCs w:val="24"/>
          <w:lang w:val="fr-FR"/>
        </w:rPr>
        <w:t xml:space="preserve">confortent les efforts entrepris en matière de mise en place et opérationnalisation des mécanismes de justice transitionnelle et de renforcement du système judiciaire. En effet, </w:t>
      </w:r>
      <w:r w:rsidR="000C48C4" w:rsidRPr="00EE01B0">
        <w:rPr>
          <w:sz w:val="24"/>
          <w:szCs w:val="24"/>
          <w:lang w:val="fr-FR"/>
        </w:rPr>
        <w:t>plus de 70</w:t>
      </w:r>
      <w:r w:rsidR="00F43216" w:rsidRPr="00EE01B0">
        <w:rPr>
          <w:sz w:val="24"/>
          <w:szCs w:val="24"/>
          <w:lang w:val="fr-FR"/>
        </w:rPr>
        <w:t>%</w:t>
      </w:r>
      <w:r w:rsidR="00472B8A" w:rsidRPr="00EE01B0">
        <w:rPr>
          <w:sz w:val="24"/>
          <w:szCs w:val="24"/>
          <w:lang w:val="fr-FR"/>
        </w:rPr>
        <w:t xml:space="preserve"> de la population déclare que le jugement et la condamnation des responsables des violence constitue un pilier fondamental pour l’établissement d’une paix durable</w:t>
      </w:r>
      <w:r w:rsidR="000C48C4" w:rsidRPr="00EE01B0">
        <w:rPr>
          <w:rStyle w:val="FootnoteReference"/>
          <w:sz w:val="24"/>
          <w:szCs w:val="24"/>
          <w:lang w:val="fr-FR"/>
        </w:rPr>
        <w:footnoteReference w:id="2"/>
      </w:r>
      <w:r w:rsidR="00472B8A" w:rsidRPr="00EE01B0">
        <w:rPr>
          <w:sz w:val="24"/>
          <w:szCs w:val="24"/>
          <w:lang w:val="fr-FR"/>
        </w:rPr>
        <w:t xml:space="preserve">. </w:t>
      </w:r>
      <w:r w:rsidR="00A02AA0" w:rsidRPr="00EE01B0">
        <w:rPr>
          <w:sz w:val="24"/>
          <w:szCs w:val="24"/>
          <w:lang w:val="fr-CD"/>
        </w:rPr>
        <w:t xml:space="preserve">Seulement 25% des Centrafricains (es) estiment qu’il est possible d’avoir la paix si les responsables des violences de 2002-2003 restent impunis ; et seulement 22% estime possible d’avoir la paix si les responsables des violences depuis 2013 restent impunis. </w:t>
      </w:r>
    </w:p>
    <w:p w14:paraId="70C52AB8" w14:textId="3522E384" w:rsidR="0045027D" w:rsidRPr="00EE01B0" w:rsidRDefault="0045027D" w:rsidP="00937815">
      <w:pPr>
        <w:jc w:val="both"/>
        <w:rPr>
          <w:lang w:val="fr-CD"/>
        </w:rPr>
      </w:pPr>
    </w:p>
    <w:p w14:paraId="059EEB71" w14:textId="0EC8011B" w:rsidR="00477334" w:rsidRDefault="00477334" w:rsidP="00937815">
      <w:pPr>
        <w:jc w:val="both"/>
        <w:rPr>
          <w:lang w:val="fr-FR"/>
        </w:rPr>
      </w:pPr>
      <w:r w:rsidRPr="00937815">
        <w:rPr>
          <w:lang w:val="fr-FR"/>
        </w:rPr>
        <w:t xml:space="preserve">De manière concrète, </w:t>
      </w:r>
      <w:r w:rsidRPr="00E12C3A">
        <w:rPr>
          <w:lang w:val="fr-FR"/>
        </w:rPr>
        <w:t xml:space="preserve">l’organisation </w:t>
      </w:r>
      <w:r w:rsidR="00FC7A31" w:rsidRPr="00E12C3A">
        <w:rPr>
          <w:lang w:val="fr-FR"/>
        </w:rPr>
        <w:t xml:space="preserve">de 8 </w:t>
      </w:r>
      <w:r w:rsidRPr="00E12C3A">
        <w:rPr>
          <w:lang w:val="fr-FR"/>
        </w:rPr>
        <w:t>audiences foraines des Tribunaux de Grande Instance (TGI) de Berberati</w:t>
      </w:r>
      <w:r w:rsidR="00FC7A31" w:rsidRPr="00E12C3A">
        <w:rPr>
          <w:lang w:val="fr-FR"/>
        </w:rPr>
        <w:t xml:space="preserve">, </w:t>
      </w:r>
      <w:r w:rsidRPr="00E12C3A">
        <w:rPr>
          <w:lang w:val="fr-FR"/>
        </w:rPr>
        <w:t xml:space="preserve">Nola </w:t>
      </w:r>
      <w:r w:rsidR="00FC7A31" w:rsidRPr="00E12C3A">
        <w:rPr>
          <w:lang w:val="fr-FR"/>
        </w:rPr>
        <w:t xml:space="preserve">et Carnot </w:t>
      </w:r>
      <w:r w:rsidRPr="00E12C3A">
        <w:rPr>
          <w:lang w:val="fr-FR"/>
        </w:rPr>
        <w:t>dans différentes</w:t>
      </w:r>
      <w:r w:rsidRPr="00937815">
        <w:rPr>
          <w:lang w:val="fr-FR"/>
        </w:rPr>
        <w:t xml:space="preserve"> localités ont permis de matérialiser </w:t>
      </w:r>
      <w:r w:rsidR="00931CDE" w:rsidRPr="00937815">
        <w:rPr>
          <w:lang w:val="fr-FR"/>
        </w:rPr>
        <w:t xml:space="preserve">la lutte contre l’impunité à travers le </w:t>
      </w:r>
      <w:r w:rsidR="00931CDE" w:rsidRPr="007E3DE2">
        <w:rPr>
          <w:lang w:val="fr-FR"/>
        </w:rPr>
        <w:t xml:space="preserve">traitement de </w:t>
      </w:r>
      <w:r w:rsidR="00E12C3A" w:rsidRPr="007E3DE2">
        <w:rPr>
          <w:lang w:val="fr-FR"/>
        </w:rPr>
        <w:t>95</w:t>
      </w:r>
      <w:r w:rsidR="00E12C3A" w:rsidRPr="007E3DE2">
        <w:rPr>
          <w:lang w:val="fr-FR"/>
        </w:rPr>
        <w:tab/>
      </w:r>
      <w:r w:rsidR="00931CDE" w:rsidRPr="007E3DE2">
        <w:rPr>
          <w:lang w:val="fr-FR"/>
        </w:rPr>
        <w:t xml:space="preserve"> dossiers</w:t>
      </w:r>
      <w:r w:rsidR="00E37237">
        <w:rPr>
          <w:lang w:val="fr-FR"/>
        </w:rPr>
        <w:t xml:space="preserve"> </w:t>
      </w:r>
      <w:r w:rsidR="00931CDE" w:rsidRPr="007E3DE2">
        <w:rPr>
          <w:lang w:val="fr-FR"/>
        </w:rPr>
        <w:t xml:space="preserve">et le prononcé de </w:t>
      </w:r>
      <w:r w:rsidR="007E3DE2" w:rsidRPr="007E3DE2">
        <w:rPr>
          <w:lang w:val="fr-FR"/>
        </w:rPr>
        <w:t>55</w:t>
      </w:r>
      <w:r w:rsidR="00BA5CA9" w:rsidRPr="007E3DE2">
        <w:rPr>
          <w:lang w:val="fr-FR"/>
        </w:rPr>
        <w:t xml:space="preserve"> </w:t>
      </w:r>
      <w:r w:rsidR="00931CDE" w:rsidRPr="007E3DE2">
        <w:rPr>
          <w:lang w:val="fr-FR"/>
        </w:rPr>
        <w:t>décisions judiciaires. Elles contribuent à</w:t>
      </w:r>
      <w:r w:rsidR="00931CDE" w:rsidRPr="00937815">
        <w:rPr>
          <w:lang w:val="fr-FR"/>
        </w:rPr>
        <w:t xml:space="preserve"> rapprocher la justice des justiciables </w:t>
      </w:r>
      <w:r w:rsidR="002D661A" w:rsidRPr="00937815">
        <w:rPr>
          <w:lang w:val="fr-FR"/>
        </w:rPr>
        <w:t xml:space="preserve">et à renforcer la confiance des populations dans le système judiciaire par une meilleure connaissance et compréhension des procédures. </w:t>
      </w:r>
    </w:p>
    <w:p w14:paraId="29DF1099" w14:textId="77777777" w:rsidR="00B71930" w:rsidRPr="00937815" w:rsidRDefault="00B71930" w:rsidP="00937815">
      <w:pPr>
        <w:jc w:val="both"/>
        <w:rPr>
          <w:lang w:val="fr-FR"/>
        </w:rPr>
      </w:pPr>
    </w:p>
    <w:p w14:paraId="36E96C70" w14:textId="1B40996A" w:rsidR="000B5548" w:rsidRPr="00937815" w:rsidRDefault="002D661A" w:rsidP="00937815">
      <w:pPr>
        <w:jc w:val="both"/>
        <w:rPr>
          <w:lang w:val="fr-FR"/>
        </w:rPr>
      </w:pPr>
      <w:r w:rsidRPr="00937815">
        <w:rPr>
          <w:lang w:val="fr-FR"/>
        </w:rPr>
        <w:t xml:space="preserve">En outre, l’accès à la justice de </w:t>
      </w:r>
      <w:r w:rsidR="00C309A0">
        <w:rPr>
          <w:lang w:val="fr-FR"/>
        </w:rPr>
        <w:t>11 431</w:t>
      </w:r>
      <w:r w:rsidR="00595A4E" w:rsidRPr="00937815">
        <w:rPr>
          <w:lang w:val="fr-FR"/>
        </w:rPr>
        <w:t xml:space="preserve"> </w:t>
      </w:r>
      <w:r w:rsidRPr="00937815">
        <w:rPr>
          <w:lang w:val="fr-FR"/>
        </w:rPr>
        <w:t xml:space="preserve">victimes, y compris </w:t>
      </w:r>
      <w:r w:rsidR="0078246D">
        <w:rPr>
          <w:lang w:val="fr-FR"/>
        </w:rPr>
        <w:t>9 602</w:t>
      </w:r>
      <w:r w:rsidR="00595A4E">
        <w:rPr>
          <w:lang w:val="fr-FR"/>
        </w:rPr>
        <w:t xml:space="preserve"> </w:t>
      </w:r>
      <w:r w:rsidR="00937815">
        <w:rPr>
          <w:lang w:val="fr-FR"/>
        </w:rPr>
        <w:t>femmes</w:t>
      </w:r>
      <w:r w:rsidRPr="00937815">
        <w:rPr>
          <w:lang w:val="fr-FR"/>
        </w:rPr>
        <w:t>, a été facilité grâce à l’appui aux cliniques juridiques</w:t>
      </w:r>
      <w:r w:rsidR="00937815">
        <w:rPr>
          <w:lang w:val="fr-FR"/>
        </w:rPr>
        <w:t xml:space="preserve"> et aux centres d’écoute</w:t>
      </w:r>
      <w:r w:rsidRPr="00937815">
        <w:rPr>
          <w:lang w:val="fr-FR"/>
        </w:rPr>
        <w:t>.</w:t>
      </w:r>
    </w:p>
    <w:p w14:paraId="7CBE7ADA" w14:textId="77777777" w:rsidR="008F684C" w:rsidRPr="00D53328" w:rsidRDefault="008F684C" w:rsidP="00F004BF">
      <w:pPr>
        <w:jc w:val="both"/>
        <w:rPr>
          <w:b/>
          <w:lang w:val="fr-FR"/>
        </w:rPr>
      </w:pPr>
    </w:p>
    <w:p w14:paraId="285D663A" w14:textId="77777777" w:rsidR="00F004BF" w:rsidRPr="00476758" w:rsidRDefault="00F004BF" w:rsidP="00F004BF">
      <w:pPr>
        <w:jc w:val="both"/>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2278E6C" w14:textId="77777777" w:rsidR="00F004BF" w:rsidRPr="00476758" w:rsidRDefault="00F004BF" w:rsidP="00F004BF">
      <w:pPr>
        <w:jc w:val="both"/>
        <w:rPr>
          <w:b/>
          <w:u w:val="single"/>
          <w:lang w:val="fr-FR"/>
        </w:rPr>
      </w:pPr>
    </w:p>
    <w:p w14:paraId="628F91EC" w14:textId="77777777" w:rsidR="00F004BF" w:rsidRPr="00BF4E1E" w:rsidRDefault="00F004BF" w:rsidP="00D70FE2">
      <w:pPr>
        <w:jc w:val="both"/>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8DDF446" w14:textId="77777777" w:rsidR="00F004BF" w:rsidRPr="005D15A3" w:rsidRDefault="00F004BF" w:rsidP="00F004BF">
      <w:pPr>
        <w:ind w:left="-810"/>
        <w:jc w:val="both"/>
        <w:rPr>
          <w:i/>
          <w:lang w:val="fr-FR"/>
        </w:rPr>
      </w:pPr>
      <w:r w:rsidRPr="005D15A3">
        <w:rPr>
          <w:i/>
          <w:lang w:val="fr-FR"/>
        </w:rPr>
        <w:t xml:space="preserve">. </w:t>
      </w:r>
    </w:p>
    <w:p w14:paraId="35F0E205" w14:textId="77777777" w:rsidR="00F004BF" w:rsidRPr="005D15A3" w:rsidRDefault="00F004BF" w:rsidP="00F004BF">
      <w:pPr>
        <w:numPr>
          <w:ilvl w:val="0"/>
          <w:numId w:val="46"/>
        </w:numPr>
        <w:jc w:val="both"/>
        <w:rPr>
          <w:i/>
          <w:lang w:val="fr-FR"/>
        </w:rPr>
      </w:pPr>
      <w:r w:rsidRPr="005D15A3">
        <w:rPr>
          <w:i/>
          <w:lang w:val="fr-FR"/>
        </w:rPr>
        <w:t xml:space="preserve">“On </w:t>
      </w:r>
      <w:proofErr w:type="spellStart"/>
      <w:r w:rsidRPr="005D15A3">
        <w:rPr>
          <w:i/>
          <w:lang w:val="fr-FR"/>
        </w:rPr>
        <w:t>track</w:t>
      </w:r>
      <w:proofErr w:type="spellEnd"/>
      <w:r w:rsidRPr="005D15A3">
        <w:rPr>
          <w:i/>
          <w:lang w:val="fr-FR"/>
        </w:rPr>
        <w:t>” – il s’agit de l'achèvement en temps voulu des produits</w:t>
      </w:r>
      <w:r>
        <w:rPr>
          <w:i/>
          <w:lang w:val="fr-FR"/>
        </w:rPr>
        <w:t xml:space="preserve"> du projet</w:t>
      </w:r>
      <w:r w:rsidRPr="005D15A3">
        <w:rPr>
          <w:i/>
          <w:lang w:val="fr-FR"/>
        </w:rPr>
        <w:t>, comme indiqué dans le plan de travail</w:t>
      </w:r>
      <w:r>
        <w:rPr>
          <w:i/>
          <w:lang w:val="fr-FR"/>
        </w:rPr>
        <w:t xml:space="preserve"> annuel ;</w:t>
      </w:r>
    </w:p>
    <w:p w14:paraId="751BA351" w14:textId="77777777" w:rsidR="00F004BF" w:rsidRPr="005D15A3" w:rsidRDefault="00F004BF" w:rsidP="00F004BF">
      <w:pPr>
        <w:numPr>
          <w:ilvl w:val="0"/>
          <w:numId w:val="46"/>
        </w:numPr>
        <w:jc w:val="both"/>
        <w:rPr>
          <w:i/>
          <w:lang w:val="fr-FR"/>
        </w:rPr>
      </w:pPr>
      <w:r w:rsidRPr="005D15A3">
        <w:rPr>
          <w:i/>
          <w:lang w:val="fr-FR"/>
        </w:rPr>
        <w:t xml:space="preserve"> “On </w:t>
      </w:r>
      <w:proofErr w:type="spellStart"/>
      <w:r w:rsidRPr="005D15A3">
        <w:rPr>
          <w:i/>
          <w:lang w:val="fr-FR"/>
        </w:rPr>
        <w:t>track</w:t>
      </w:r>
      <w:proofErr w:type="spellEnd"/>
      <w:r w:rsidRPr="005D15A3">
        <w:rPr>
          <w:i/>
          <w:lang w:val="fr-FR"/>
        </w:rPr>
        <w:t xml:space="preserve"> </w:t>
      </w:r>
      <w:proofErr w:type="spellStart"/>
      <w:r w:rsidRPr="005D15A3">
        <w:rPr>
          <w:i/>
          <w:lang w:val="fr-FR"/>
        </w:rPr>
        <w:t>with</w:t>
      </w:r>
      <w:proofErr w:type="spellEnd"/>
      <w:r w:rsidRPr="005D15A3">
        <w:rPr>
          <w:i/>
          <w:lang w:val="fr-FR"/>
        </w:rPr>
        <w:t xml:space="preserve"> </w:t>
      </w:r>
      <w:proofErr w:type="spellStart"/>
      <w:r w:rsidRPr="005D15A3">
        <w:rPr>
          <w:i/>
          <w:lang w:val="fr-FR"/>
        </w:rPr>
        <w:t>peacebuilding</w:t>
      </w:r>
      <w:proofErr w:type="spellEnd"/>
      <w:r w:rsidRPr="005D15A3">
        <w:rPr>
          <w:i/>
          <w:lang w:val="fr-FR"/>
        </w:rPr>
        <w:t xml:space="preserve"> </w:t>
      </w:r>
      <w:proofErr w:type="spellStart"/>
      <w:r w:rsidRPr="005D15A3">
        <w:rPr>
          <w:i/>
          <w:lang w:val="fr-FR"/>
        </w:rPr>
        <w:t>results</w:t>
      </w:r>
      <w:proofErr w:type="spellEnd"/>
      <w:r w:rsidRPr="005D15A3">
        <w:rPr>
          <w:i/>
          <w:lang w:val="fr-FR"/>
        </w:rPr>
        <w:t>” -</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405561E5" w14:textId="77777777" w:rsidR="00F004BF" w:rsidRPr="005D15A3" w:rsidRDefault="00F004BF" w:rsidP="00F004BF">
      <w:pPr>
        <w:jc w:val="both"/>
        <w:rPr>
          <w:i/>
          <w:lang w:val="fr-FR"/>
        </w:rPr>
      </w:pPr>
    </w:p>
    <w:p w14:paraId="2699779E" w14:textId="77777777" w:rsidR="00F004BF" w:rsidRPr="005D15A3" w:rsidRDefault="00F004BF" w:rsidP="00D70FE2">
      <w:pPr>
        <w:ind w:left="-9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688EB1AD" w14:textId="77777777" w:rsidR="00F004BF" w:rsidRPr="005D15A3" w:rsidRDefault="00F004BF" w:rsidP="00F004BF">
      <w:pPr>
        <w:jc w:val="both"/>
        <w:rPr>
          <w:b/>
          <w:u w:val="single"/>
          <w:lang w:val="fr-FR"/>
        </w:rPr>
      </w:pPr>
    </w:p>
    <w:p w14:paraId="45432C6A" w14:textId="7C3DCBA0" w:rsidR="00F004BF" w:rsidRPr="00615EA3" w:rsidRDefault="00F004BF" w:rsidP="00D70FE2">
      <w:pPr>
        <w:jc w:val="both"/>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636E71">
        <w:rPr>
          <w:b/>
          <w:bCs/>
          <w:lang w:val="fr-FR"/>
        </w:rPr>
        <w:t>Les institutions du secteur de la justice et les mécanismes de justice transitionnelle sont capables de fournir des services de qualité répondant aux besoins des populations, en particulier des victimes</w:t>
      </w:r>
      <w:r w:rsidR="00EA29C7">
        <w:rPr>
          <w:b/>
          <w:bCs/>
          <w:lang w:val="fr-FR"/>
        </w:rPr>
        <w:t>.</w:t>
      </w:r>
    </w:p>
    <w:p w14:paraId="3D0BADEF" w14:textId="77777777" w:rsidR="00F004BF" w:rsidRPr="00615EA3" w:rsidRDefault="00F004BF" w:rsidP="00F004BF">
      <w:pPr>
        <w:ind w:left="-720"/>
        <w:jc w:val="both"/>
        <w:rPr>
          <w:b/>
          <w:lang w:val="fr-FR"/>
        </w:rPr>
      </w:pPr>
    </w:p>
    <w:p w14:paraId="524D80F3" w14:textId="589E1C05" w:rsidR="00F004BF" w:rsidRPr="005D15A3" w:rsidRDefault="00F004BF" w:rsidP="00D70F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D70FE2">
        <w:rPr>
          <w:lang w:val="fr-FR"/>
        </w:rPr>
        <w:lastRenderedPageBreak/>
        <w:t xml:space="preserve">Veuillez évaluer l'état actuel des progrès du </w:t>
      </w:r>
      <w:proofErr w:type="gramStart"/>
      <w:r w:rsidRPr="00D70FE2">
        <w:rPr>
          <w:lang w:val="fr-FR"/>
        </w:rPr>
        <w:t>résultat:</w:t>
      </w:r>
      <w:proofErr w:type="gramEnd"/>
      <w:r w:rsidRPr="00D70FE2">
        <w:rPr>
          <w:lang w:val="fr-FR"/>
        </w:rPr>
        <w:t xml:space="preserve"> </w:t>
      </w:r>
      <w:r w:rsidR="00D70FE2">
        <w:rPr>
          <w:b/>
          <w:bCs/>
          <w:lang w:val="fr-FR"/>
        </w:rPr>
        <w:t>ON TRACK</w:t>
      </w:r>
    </w:p>
    <w:p w14:paraId="3DCA68FC" w14:textId="6349DAC0" w:rsidR="0095006B" w:rsidRDefault="008F684C" w:rsidP="00D70FE2">
      <w:pPr>
        <w:ind w:left="-720" w:firstLine="720"/>
        <w:jc w:val="both"/>
        <w:rPr>
          <w:lang w:val="fr-FR"/>
        </w:rPr>
      </w:pPr>
      <w:r w:rsidRPr="005D15A3">
        <w:rPr>
          <w:b/>
          <w:lang w:val="fr-FR"/>
        </w:rPr>
        <w:t>Résumé</w:t>
      </w:r>
      <w:r w:rsidR="00F004BF" w:rsidRPr="005D15A3">
        <w:rPr>
          <w:b/>
          <w:lang w:val="fr-FR"/>
        </w:rPr>
        <w:t xml:space="preserve"> de </w:t>
      </w:r>
      <w:proofErr w:type="gramStart"/>
      <w:r w:rsidR="00F004BF" w:rsidRPr="005D15A3">
        <w:rPr>
          <w:rFonts w:ascii="inherit" w:hAnsi="inherit"/>
          <w:b/>
          <w:bCs/>
          <w:color w:val="212121"/>
          <w:lang w:val="fr-FR"/>
        </w:rPr>
        <w:t>progrès</w:t>
      </w:r>
      <w:r w:rsidR="00F004BF" w:rsidRPr="005D15A3">
        <w:rPr>
          <w:b/>
          <w:lang w:val="fr-FR"/>
        </w:rPr>
        <w:t>:</w:t>
      </w:r>
      <w:proofErr w:type="gramEnd"/>
      <w:r w:rsidR="00F004BF" w:rsidRPr="005D15A3">
        <w:rPr>
          <w:b/>
          <w:lang w:val="fr-FR"/>
        </w:rPr>
        <w:t xml:space="preserve"> </w:t>
      </w:r>
      <w:r w:rsidR="00F004BF" w:rsidRPr="00386E9A">
        <w:rPr>
          <w:rFonts w:ascii="inherit" w:hAnsi="inherit"/>
          <w:color w:val="212121"/>
          <w:lang w:val="fr-FR"/>
        </w:rPr>
        <w:t>(Limite de 3000 caractères)</w:t>
      </w:r>
    </w:p>
    <w:p w14:paraId="29666FAE" w14:textId="77777777" w:rsidR="0095006B" w:rsidRPr="005D15A3" w:rsidRDefault="0095006B" w:rsidP="00F004BF">
      <w:pPr>
        <w:ind w:left="-720"/>
        <w:jc w:val="both"/>
        <w:rPr>
          <w:i/>
          <w:lang w:val="fr-FR"/>
        </w:rPr>
      </w:pPr>
    </w:p>
    <w:p w14:paraId="24F0B7ED" w14:textId="5348EDEB" w:rsidR="00A838AD" w:rsidRPr="00A83966" w:rsidRDefault="00D91356" w:rsidP="00A83966">
      <w:pPr>
        <w:jc w:val="both"/>
        <w:rPr>
          <w:lang w:val="fr-FR"/>
        </w:rPr>
      </w:pPr>
      <w:bookmarkStart w:id="6" w:name="_Hlk76038959"/>
      <w:r w:rsidRPr="00A83966">
        <w:rPr>
          <w:lang w:val="fr-FR"/>
        </w:rPr>
        <w:t xml:space="preserve">La </w:t>
      </w:r>
      <w:r w:rsidR="004B0F7B" w:rsidRPr="00EC7EA0">
        <w:rPr>
          <w:lang w:val="fr-FR"/>
        </w:rPr>
        <w:t>Politique Sectorielle de la Justice</w:t>
      </w:r>
      <w:r w:rsidR="004B0F7B">
        <w:rPr>
          <w:lang w:val="fr-FR"/>
        </w:rPr>
        <w:t xml:space="preserve"> (</w:t>
      </w:r>
      <w:r w:rsidRPr="00A83966">
        <w:rPr>
          <w:lang w:val="fr-FR"/>
        </w:rPr>
        <w:t>PSJ</w:t>
      </w:r>
      <w:r w:rsidR="004B0F7B">
        <w:rPr>
          <w:lang w:val="fr-FR"/>
        </w:rPr>
        <w:t>)</w:t>
      </w:r>
      <w:r w:rsidRPr="00A83966">
        <w:rPr>
          <w:lang w:val="fr-FR"/>
        </w:rPr>
        <w:t xml:space="preserve"> constitue </w:t>
      </w:r>
      <w:r w:rsidR="00386E9A">
        <w:rPr>
          <w:lang w:val="fr-FR"/>
        </w:rPr>
        <w:t>le cadre</w:t>
      </w:r>
      <w:r w:rsidRPr="00A83966">
        <w:rPr>
          <w:lang w:val="fr-FR"/>
        </w:rPr>
        <w:t xml:space="preserve"> </w:t>
      </w:r>
      <w:r w:rsidR="00FC7A31">
        <w:rPr>
          <w:lang w:val="fr-FR"/>
        </w:rPr>
        <w:t xml:space="preserve">d’intervention </w:t>
      </w:r>
      <w:r w:rsidRPr="00A83966">
        <w:rPr>
          <w:lang w:val="fr-FR"/>
        </w:rPr>
        <w:t xml:space="preserve">stratégique </w:t>
      </w:r>
      <w:r w:rsidR="003108D6" w:rsidRPr="00A83966">
        <w:rPr>
          <w:lang w:val="fr-FR"/>
        </w:rPr>
        <w:t xml:space="preserve">pour répondre </w:t>
      </w:r>
      <w:r w:rsidR="00A10880" w:rsidRPr="00A83966">
        <w:rPr>
          <w:lang w:val="fr-FR"/>
        </w:rPr>
        <w:t xml:space="preserve">aux </w:t>
      </w:r>
      <w:r w:rsidR="00367B6D" w:rsidRPr="00A83966">
        <w:rPr>
          <w:lang w:val="fr-FR"/>
        </w:rPr>
        <w:t>demandes de justice des populations</w:t>
      </w:r>
      <w:r w:rsidR="00C97B97" w:rsidRPr="00A83966">
        <w:rPr>
          <w:lang w:val="fr-FR"/>
        </w:rPr>
        <w:t xml:space="preserve">, </w:t>
      </w:r>
      <w:r w:rsidR="00FD12E7" w:rsidRPr="00A83966">
        <w:rPr>
          <w:lang w:val="fr-FR"/>
        </w:rPr>
        <w:t xml:space="preserve">à travers </w:t>
      </w:r>
      <w:r w:rsidR="00643EBB" w:rsidRPr="00A83966">
        <w:rPr>
          <w:lang w:val="fr-FR"/>
        </w:rPr>
        <w:t>la</w:t>
      </w:r>
      <w:r w:rsidR="00C97B97" w:rsidRPr="00A83966">
        <w:rPr>
          <w:lang w:val="fr-FR"/>
        </w:rPr>
        <w:t xml:space="preserve"> réforme du système judiciaire</w:t>
      </w:r>
      <w:r w:rsidR="00FC7A31">
        <w:rPr>
          <w:lang w:val="fr-FR"/>
        </w:rPr>
        <w:t xml:space="preserve"> </w:t>
      </w:r>
      <w:r w:rsidR="00C97B97" w:rsidRPr="00A83966">
        <w:rPr>
          <w:lang w:val="fr-FR"/>
        </w:rPr>
        <w:t xml:space="preserve">et </w:t>
      </w:r>
      <w:r w:rsidR="00643EBB" w:rsidRPr="00A83966">
        <w:rPr>
          <w:lang w:val="fr-FR"/>
        </w:rPr>
        <w:t>l’</w:t>
      </w:r>
      <w:proofErr w:type="spellStart"/>
      <w:r w:rsidR="00643EBB" w:rsidRPr="00A83966">
        <w:rPr>
          <w:lang w:val="fr-FR"/>
        </w:rPr>
        <w:t>opérationalisation</w:t>
      </w:r>
      <w:proofErr w:type="spellEnd"/>
      <w:r w:rsidR="00C97B97" w:rsidRPr="00A83966">
        <w:rPr>
          <w:lang w:val="fr-FR"/>
        </w:rPr>
        <w:t xml:space="preserve"> de </w:t>
      </w:r>
      <w:r w:rsidR="00FD12E7" w:rsidRPr="00A83966">
        <w:rPr>
          <w:lang w:val="fr-FR"/>
        </w:rPr>
        <w:t xml:space="preserve">la CVJRR et </w:t>
      </w:r>
      <w:r w:rsidR="004B0F7B">
        <w:rPr>
          <w:lang w:val="fr-FR"/>
        </w:rPr>
        <w:t xml:space="preserve">de la </w:t>
      </w:r>
      <w:r w:rsidR="00FD12E7" w:rsidRPr="00A83966">
        <w:rPr>
          <w:lang w:val="fr-FR"/>
        </w:rPr>
        <w:t>C</w:t>
      </w:r>
      <w:r w:rsidR="00945C64">
        <w:rPr>
          <w:lang w:val="fr-FR"/>
        </w:rPr>
        <w:t>our pénale spéciale (C</w:t>
      </w:r>
      <w:r w:rsidR="00FD12E7" w:rsidRPr="00A83966">
        <w:rPr>
          <w:lang w:val="fr-FR"/>
        </w:rPr>
        <w:t>PS</w:t>
      </w:r>
      <w:r w:rsidR="00945C64">
        <w:rPr>
          <w:lang w:val="fr-FR"/>
        </w:rPr>
        <w:t>)</w:t>
      </w:r>
      <w:r w:rsidR="00C97B97" w:rsidRPr="00A83966">
        <w:rPr>
          <w:lang w:val="fr-FR"/>
        </w:rPr>
        <w:t>. L</w:t>
      </w:r>
      <w:r w:rsidR="00386E9A">
        <w:rPr>
          <w:lang w:val="fr-FR"/>
        </w:rPr>
        <w:t>a coordination et le</w:t>
      </w:r>
      <w:r w:rsidR="00C97B97" w:rsidRPr="00A83966">
        <w:rPr>
          <w:lang w:val="fr-FR"/>
        </w:rPr>
        <w:t xml:space="preserve"> suivi de </w:t>
      </w:r>
      <w:r w:rsidR="006E253E">
        <w:rPr>
          <w:lang w:val="fr-FR"/>
        </w:rPr>
        <w:t>l’exécution</w:t>
      </w:r>
      <w:r w:rsidR="00386E9A">
        <w:rPr>
          <w:lang w:val="fr-FR"/>
        </w:rPr>
        <w:t xml:space="preserve"> de la </w:t>
      </w:r>
      <w:r w:rsidR="00C97B97" w:rsidRPr="00A83966">
        <w:rPr>
          <w:lang w:val="fr-FR"/>
        </w:rPr>
        <w:t xml:space="preserve">PSJ est fait </w:t>
      </w:r>
      <w:r w:rsidR="006E253E">
        <w:rPr>
          <w:lang w:val="fr-FR"/>
        </w:rPr>
        <w:t>dans les</w:t>
      </w:r>
      <w:r w:rsidR="00C97B97" w:rsidRPr="00A83966">
        <w:rPr>
          <w:lang w:val="fr-FR"/>
        </w:rPr>
        <w:t xml:space="preserve"> différents groupes thématiques</w:t>
      </w:r>
      <w:r w:rsidR="00643EBB" w:rsidRPr="00A83966">
        <w:rPr>
          <w:lang w:val="fr-FR"/>
        </w:rPr>
        <w:t>,</w:t>
      </w:r>
      <w:r w:rsidR="00C97B97" w:rsidRPr="00A83966">
        <w:rPr>
          <w:lang w:val="fr-FR"/>
        </w:rPr>
        <w:t xml:space="preserve"> dont le travail a été impacté par la crise politico-sécuritaire</w:t>
      </w:r>
      <w:r w:rsidR="004B0F7B">
        <w:rPr>
          <w:lang w:val="fr-FR"/>
        </w:rPr>
        <w:t>. C</w:t>
      </w:r>
      <w:r w:rsidR="00643EBB" w:rsidRPr="00A83966">
        <w:rPr>
          <w:lang w:val="fr-FR"/>
        </w:rPr>
        <w:t>ependant p</w:t>
      </w:r>
      <w:r w:rsidR="007161A4" w:rsidRPr="00A83966">
        <w:rPr>
          <w:lang w:val="fr-FR"/>
        </w:rPr>
        <w:t xml:space="preserve">lusieurs avancées sont à noter : </w:t>
      </w:r>
    </w:p>
    <w:p w14:paraId="6761A87A" w14:textId="39CE7EC9" w:rsidR="00A838AD" w:rsidRPr="00EE01B0" w:rsidRDefault="00216B8D" w:rsidP="00EE01B0">
      <w:pPr>
        <w:pStyle w:val="FootnoteText"/>
        <w:numPr>
          <w:ilvl w:val="0"/>
          <w:numId w:val="60"/>
        </w:numPr>
        <w:jc w:val="both"/>
        <w:rPr>
          <w:lang w:val="fr-FR"/>
        </w:rPr>
      </w:pPr>
      <w:r w:rsidRPr="004B0F7B">
        <w:rPr>
          <w:sz w:val="24"/>
          <w:szCs w:val="24"/>
          <w:lang w:val="fr-FR"/>
        </w:rPr>
        <w:t>Après</w:t>
      </w:r>
      <w:r w:rsidR="000A65E9" w:rsidRPr="004B0F7B">
        <w:rPr>
          <w:sz w:val="24"/>
          <w:szCs w:val="24"/>
          <w:lang w:val="fr-FR"/>
        </w:rPr>
        <w:t xml:space="preserve"> la </w:t>
      </w:r>
      <w:r w:rsidR="00FC7A31" w:rsidRPr="004B0F7B">
        <w:rPr>
          <w:sz w:val="24"/>
          <w:szCs w:val="24"/>
          <w:lang w:val="fr-FR"/>
        </w:rPr>
        <w:t>signature</w:t>
      </w:r>
      <w:r w:rsidR="000A65E9" w:rsidRPr="004B0F7B">
        <w:rPr>
          <w:sz w:val="24"/>
          <w:szCs w:val="24"/>
          <w:lang w:val="fr-FR"/>
        </w:rPr>
        <w:t xml:space="preserve"> de l’arrêté</w:t>
      </w:r>
      <w:r w:rsidR="00FC7A31" w:rsidRPr="004B0F7B">
        <w:rPr>
          <w:sz w:val="24"/>
          <w:szCs w:val="24"/>
          <w:lang w:val="fr-FR"/>
        </w:rPr>
        <w:t xml:space="preserve"> interministériel</w:t>
      </w:r>
      <w:r w:rsidR="000A65E9" w:rsidRPr="004B0F7B">
        <w:rPr>
          <w:sz w:val="24"/>
          <w:szCs w:val="24"/>
          <w:lang w:val="fr-FR"/>
        </w:rPr>
        <w:t xml:space="preserve"> portant </w:t>
      </w:r>
      <w:r w:rsidR="000A65E9" w:rsidRPr="004B0F7B">
        <w:rPr>
          <w:bCs/>
          <w:i/>
          <w:iCs/>
          <w:sz w:val="24"/>
          <w:szCs w:val="24"/>
          <w:lang w:val="fr-FR"/>
        </w:rPr>
        <w:t xml:space="preserve">Création, organisation et fonctionnement des comités de coordination des acteurs de la chaine pénale au sein de chaque Tribunal de grande instance, </w:t>
      </w:r>
      <w:r w:rsidR="00FC7A31" w:rsidRPr="004B0F7B">
        <w:rPr>
          <w:bCs/>
          <w:sz w:val="24"/>
          <w:szCs w:val="24"/>
          <w:lang w:val="fr-FR"/>
        </w:rPr>
        <w:t>le projet a appuyé l</w:t>
      </w:r>
      <w:r w:rsidR="006E253E" w:rsidRPr="004B0F7B">
        <w:rPr>
          <w:bCs/>
          <w:sz w:val="24"/>
          <w:szCs w:val="24"/>
          <w:lang w:val="fr-FR"/>
        </w:rPr>
        <w:t>eur</w:t>
      </w:r>
      <w:r w:rsidR="00FC7A31" w:rsidRPr="004B0F7B">
        <w:rPr>
          <w:bCs/>
          <w:sz w:val="24"/>
          <w:szCs w:val="24"/>
          <w:lang w:val="fr-FR"/>
        </w:rPr>
        <w:t xml:space="preserve"> mise en place </w:t>
      </w:r>
      <w:r w:rsidRPr="004B0F7B">
        <w:rPr>
          <w:bCs/>
          <w:sz w:val="24"/>
          <w:szCs w:val="24"/>
          <w:lang w:val="fr-FR"/>
        </w:rPr>
        <w:t>en</w:t>
      </w:r>
      <w:r w:rsidR="00FC7A31" w:rsidRPr="004B0F7B">
        <w:rPr>
          <w:bCs/>
          <w:sz w:val="24"/>
          <w:szCs w:val="24"/>
          <w:lang w:val="fr-FR"/>
        </w:rPr>
        <w:t xml:space="preserve"> régions, où ils jouent un rôle crucial pour </w:t>
      </w:r>
      <w:r w:rsidR="006E253E" w:rsidRPr="004B0F7B">
        <w:rPr>
          <w:bCs/>
          <w:sz w:val="24"/>
          <w:szCs w:val="24"/>
          <w:lang w:val="fr-FR"/>
        </w:rPr>
        <w:t>renforcer</w:t>
      </w:r>
      <w:r w:rsidR="00FC7A31" w:rsidRPr="004B0F7B">
        <w:rPr>
          <w:bCs/>
          <w:sz w:val="24"/>
          <w:szCs w:val="24"/>
          <w:lang w:val="fr-FR"/>
        </w:rPr>
        <w:t xml:space="preserve"> la coordination</w:t>
      </w:r>
      <w:r w:rsidR="004B0F7B">
        <w:rPr>
          <w:bCs/>
          <w:sz w:val="24"/>
          <w:szCs w:val="24"/>
          <w:lang w:val="fr-FR"/>
        </w:rPr>
        <w:t xml:space="preserve"> </w:t>
      </w:r>
      <w:r w:rsidR="00FC7A31" w:rsidRPr="004B0F7B">
        <w:rPr>
          <w:bCs/>
          <w:sz w:val="24"/>
          <w:szCs w:val="24"/>
          <w:lang w:val="fr-FR"/>
        </w:rPr>
        <w:t xml:space="preserve">et </w:t>
      </w:r>
      <w:proofErr w:type="spellStart"/>
      <w:r w:rsidR="006E253E" w:rsidRPr="004B0F7B">
        <w:rPr>
          <w:bCs/>
          <w:sz w:val="24"/>
          <w:szCs w:val="24"/>
          <w:lang w:val="fr-FR"/>
        </w:rPr>
        <w:t>résoudre</w:t>
      </w:r>
      <w:r w:rsidR="004B0F7B">
        <w:rPr>
          <w:bCs/>
          <w:sz w:val="24"/>
          <w:szCs w:val="24"/>
          <w:lang w:val="fr-FR"/>
        </w:rPr>
        <w:t>l</w:t>
      </w:r>
      <w:r w:rsidR="006E253E" w:rsidRPr="004B0F7B">
        <w:rPr>
          <w:bCs/>
          <w:sz w:val="24"/>
          <w:szCs w:val="24"/>
          <w:lang w:val="fr-FR"/>
        </w:rPr>
        <w:t>des</w:t>
      </w:r>
      <w:proofErr w:type="spellEnd"/>
      <w:r w:rsidR="00FC7A31" w:rsidRPr="004B0F7B">
        <w:rPr>
          <w:bCs/>
          <w:sz w:val="24"/>
          <w:szCs w:val="24"/>
          <w:lang w:val="fr-FR"/>
        </w:rPr>
        <w:t xml:space="preserve"> dysfonctionnement</w:t>
      </w:r>
      <w:r w:rsidR="006E253E" w:rsidRPr="004B0F7B">
        <w:rPr>
          <w:bCs/>
          <w:sz w:val="24"/>
          <w:szCs w:val="24"/>
          <w:lang w:val="fr-FR"/>
        </w:rPr>
        <w:t>s</w:t>
      </w:r>
      <w:r w:rsidR="00FC7A31" w:rsidRPr="004B0F7B">
        <w:rPr>
          <w:bCs/>
          <w:sz w:val="24"/>
          <w:szCs w:val="24"/>
          <w:lang w:val="fr-FR"/>
        </w:rPr>
        <w:t xml:space="preserve"> de la chaine pénale. </w:t>
      </w:r>
      <w:r w:rsidR="004B0F7B" w:rsidRPr="004B0F7B">
        <w:rPr>
          <w:sz w:val="24"/>
          <w:szCs w:val="24"/>
          <w:lang w:val="fr-CD"/>
        </w:rPr>
        <w:t xml:space="preserve">Parmi ces dysfonctionnements </w:t>
      </w:r>
      <w:r w:rsidR="004B0F7B">
        <w:rPr>
          <w:sz w:val="24"/>
          <w:szCs w:val="24"/>
          <w:lang w:val="fr-CD"/>
        </w:rPr>
        <w:t xml:space="preserve">on peut relever la </w:t>
      </w:r>
      <w:r w:rsidR="004B0F7B" w:rsidRPr="004B0F7B">
        <w:rPr>
          <w:sz w:val="24"/>
          <w:szCs w:val="24"/>
          <w:lang w:val="fr-FR"/>
        </w:rPr>
        <w:t>surpopulation carcérale, l’inobservation des délais de garde à vue et de détention provisoire, la lenteur dans le traitement des dossiers judiciaires et le défaut d’exécution de décisions.</w:t>
      </w:r>
    </w:p>
    <w:p w14:paraId="453C164A" w14:textId="77777777" w:rsidR="00945C64" w:rsidRDefault="00945C64" w:rsidP="00945C64">
      <w:pPr>
        <w:pStyle w:val="ListParagraph"/>
        <w:numPr>
          <w:ilvl w:val="0"/>
          <w:numId w:val="60"/>
        </w:numPr>
        <w:jc w:val="both"/>
        <w:rPr>
          <w:bCs/>
          <w:lang w:val="fr-FR"/>
        </w:rPr>
      </w:pPr>
      <w:r w:rsidRPr="00F72222">
        <w:rPr>
          <w:bCs/>
          <w:lang w:val="fr-FR"/>
        </w:rPr>
        <w:t xml:space="preserve">8 audiences foraines dans les ressorts des TGI de Berberati, Nola et Carnot ont été </w:t>
      </w:r>
      <w:r>
        <w:rPr>
          <w:bCs/>
          <w:lang w:val="fr-FR"/>
        </w:rPr>
        <w:t>organisées. Les</w:t>
      </w:r>
      <w:r w:rsidRPr="005D10B7">
        <w:rPr>
          <w:lang w:val="fr-CD"/>
        </w:rPr>
        <w:t xml:space="preserve"> lieux des audiences foraines correspondent également aux zones d’intervention des cliniques juridiques appuyées par le projet. Il s’agit ainsi de renforcer l’impact judiciaire du travail réalisé par les cliniques juridiques à travers le traitement des dossiers constitués</w:t>
      </w:r>
      <w:r>
        <w:rPr>
          <w:bCs/>
          <w:lang w:val="fr-FR"/>
        </w:rPr>
        <w:t>. Toutes les parties ont bénéficié d’une assistance judiciaire gratuite.</w:t>
      </w:r>
    </w:p>
    <w:p w14:paraId="64160C5C" w14:textId="2A4BB727" w:rsidR="00563B83" w:rsidRPr="00A83966" w:rsidRDefault="00945C64" w:rsidP="00A83966">
      <w:pPr>
        <w:pStyle w:val="ListParagraph"/>
        <w:numPr>
          <w:ilvl w:val="0"/>
          <w:numId w:val="60"/>
        </w:numPr>
        <w:jc w:val="both"/>
        <w:rPr>
          <w:lang w:val="fr-FR"/>
        </w:rPr>
      </w:pPr>
      <w:r>
        <w:rPr>
          <w:bCs/>
          <w:lang w:val="fr-FR"/>
        </w:rPr>
        <w:t xml:space="preserve">Suite aux violences électorales – et </w:t>
      </w:r>
      <w:proofErr w:type="gramStart"/>
      <w:r>
        <w:rPr>
          <w:bCs/>
          <w:lang w:val="fr-FR"/>
        </w:rPr>
        <w:t>à la destructions</w:t>
      </w:r>
      <w:proofErr w:type="gramEnd"/>
      <w:r>
        <w:rPr>
          <w:bCs/>
          <w:lang w:val="fr-FR"/>
        </w:rPr>
        <w:t xml:space="preserve"> de plusieurs juridictions – des </w:t>
      </w:r>
      <w:r w:rsidR="00643EBB" w:rsidRPr="00A83966">
        <w:rPr>
          <w:bCs/>
          <w:lang w:val="fr-FR"/>
        </w:rPr>
        <w:t>exemplaires du</w:t>
      </w:r>
      <w:r w:rsidR="005063CA" w:rsidRPr="00A83966">
        <w:rPr>
          <w:bCs/>
          <w:lang w:val="fr-FR"/>
        </w:rPr>
        <w:t xml:space="preserve"> Code de procédure pénale ont été imprimés</w:t>
      </w:r>
      <w:r w:rsidR="004B0F7B">
        <w:rPr>
          <w:bCs/>
          <w:lang w:val="fr-FR"/>
        </w:rPr>
        <w:t xml:space="preserve"> et redistribués. Des</w:t>
      </w:r>
      <w:r w:rsidR="00134C7B" w:rsidRPr="00A83966">
        <w:rPr>
          <w:bCs/>
          <w:lang w:val="fr-FR"/>
        </w:rPr>
        <w:t xml:space="preserve"> équipements et matériels de bureaux </w:t>
      </w:r>
      <w:r w:rsidR="001E2382" w:rsidRPr="00A83966">
        <w:rPr>
          <w:bCs/>
          <w:lang w:val="fr-FR"/>
        </w:rPr>
        <w:t xml:space="preserve">ont </w:t>
      </w:r>
      <w:r w:rsidR="004B0F7B">
        <w:rPr>
          <w:bCs/>
          <w:lang w:val="fr-FR"/>
        </w:rPr>
        <w:t xml:space="preserve">aussi </w:t>
      </w:r>
      <w:r w:rsidR="001E2382" w:rsidRPr="00A83966">
        <w:rPr>
          <w:bCs/>
          <w:lang w:val="fr-FR"/>
        </w:rPr>
        <w:t>été</w:t>
      </w:r>
      <w:r w:rsidR="00FD12E7" w:rsidRPr="00A83966">
        <w:rPr>
          <w:bCs/>
          <w:lang w:val="fr-FR"/>
        </w:rPr>
        <w:t xml:space="preserve"> </w:t>
      </w:r>
      <w:r w:rsidR="006E253E">
        <w:rPr>
          <w:bCs/>
          <w:lang w:val="fr-FR"/>
        </w:rPr>
        <w:t>remis</w:t>
      </w:r>
      <w:r w:rsidR="00FC7A31">
        <w:rPr>
          <w:bCs/>
          <w:lang w:val="fr-FR"/>
        </w:rPr>
        <w:t xml:space="preserve"> </w:t>
      </w:r>
      <w:r w:rsidR="006E253E">
        <w:rPr>
          <w:bCs/>
          <w:lang w:val="fr-FR"/>
        </w:rPr>
        <w:t xml:space="preserve">pour la </w:t>
      </w:r>
      <w:r w:rsidR="00FC7A31">
        <w:rPr>
          <w:bCs/>
          <w:lang w:val="fr-FR"/>
        </w:rPr>
        <w:t>poursuite des activités</w:t>
      </w:r>
      <w:r w:rsidR="004B0F7B">
        <w:rPr>
          <w:bCs/>
          <w:lang w:val="fr-FR"/>
        </w:rPr>
        <w:t xml:space="preserve"> des tribunaux. </w:t>
      </w:r>
    </w:p>
    <w:p w14:paraId="206AF17B" w14:textId="179B2B7E" w:rsidR="003E4426" w:rsidRPr="00A83966" w:rsidRDefault="003E4426" w:rsidP="00A83966">
      <w:pPr>
        <w:jc w:val="both"/>
        <w:rPr>
          <w:bCs/>
          <w:lang w:val="fr-FR"/>
        </w:rPr>
      </w:pPr>
    </w:p>
    <w:p w14:paraId="0C9F00CE" w14:textId="327A7ADB" w:rsidR="00216B8D" w:rsidRDefault="00216B8D" w:rsidP="006E253E">
      <w:pPr>
        <w:jc w:val="both"/>
        <w:rPr>
          <w:bCs/>
          <w:lang w:val="fr-FR"/>
        </w:rPr>
      </w:pPr>
      <w:r>
        <w:rPr>
          <w:bCs/>
          <w:lang w:val="fr-FR"/>
        </w:rPr>
        <w:t>Les</w:t>
      </w:r>
      <w:r w:rsidR="003E4426" w:rsidRPr="00A83966">
        <w:rPr>
          <w:bCs/>
          <w:lang w:val="fr-FR"/>
        </w:rPr>
        <w:t xml:space="preserve"> </w:t>
      </w:r>
      <w:r w:rsidR="00945C64">
        <w:rPr>
          <w:bCs/>
          <w:lang w:val="fr-FR"/>
        </w:rPr>
        <w:t xml:space="preserve">efforts pour renforcer la </w:t>
      </w:r>
      <w:r w:rsidR="003E4426" w:rsidRPr="00A83966">
        <w:rPr>
          <w:bCs/>
          <w:lang w:val="fr-FR"/>
        </w:rPr>
        <w:t xml:space="preserve">complémentarité entre </w:t>
      </w:r>
      <w:r w:rsidR="00E5011D" w:rsidRPr="00A83966">
        <w:rPr>
          <w:bCs/>
          <w:lang w:val="fr-FR"/>
        </w:rPr>
        <w:t>la CPS, la CVJRR et le système judiciaire ordinaire</w:t>
      </w:r>
      <w:r w:rsidR="003E4426" w:rsidRPr="00A83966">
        <w:rPr>
          <w:bCs/>
          <w:lang w:val="fr-FR"/>
        </w:rPr>
        <w:t xml:space="preserve"> </w:t>
      </w:r>
      <w:r w:rsidR="00945C64">
        <w:rPr>
          <w:bCs/>
          <w:lang w:val="fr-FR"/>
        </w:rPr>
        <w:t>se poursuivent : l</w:t>
      </w:r>
      <w:r>
        <w:rPr>
          <w:bCs/>
          <w:lang w:val="fr-FR"/>
        </w:rPr>
        <w:t>a participation de m</w:t>
      </w:r>
      <w:r w:rsidR="003E4426" w:rsidRPr="00A83966">
        <w:rPr>
          <w:bCs/>
          <w:lang w:val="fr-FR"/>
        </w:rPr>
        <w:t>embres de la CPS à la retraite stratégique de la CVJRR </w:t>
      </w:r>
      <w:r>
        <w:rPr>
          <w:bCs/>
          <w:lang w:val="fr-FR"/>
        </w:rPr>
        <w:t>a permis d’initier d</w:t>
      </w:r>
      <w:r w:rsidR="00E5011D" w:rsidRPr="00A83966">
        <w:rPr>
          <w:bCs/>
          <w:lang w:val="fr-FR"/>
        </w:rPr>
        <w:t xml:space="preserve">es réflexions quant à la </w:t>
      </w:r>
      <w:r w:rsidR="003E4426" w:rsidRPr="00A83966">
        <w:rPr>
          <w:bCs/>
          <w:lang w:val="fr-FR"/>
        </w:rPr>
        <w:t xml:space="preserve">communication entre les deux </w:t>
      </w:r>
      <w:r w:rsidR="00E5011D" w:rsidRPr="00A83966">
        <w:rPr>
          <w:bCs/>
          <w:lang w:val="fr-FR"/>
        </w:rPr>
        <w:t>institutions</w:t>
      </w:r>
      <w:r w:rsidR="003E4426" w:rsidRPr="00A83966">
        <w:rPr>
          <w:bCs/>
          <w:lang w:val="fr-FR"/>
        </w:rPr>
        <w:t xml:space="preserve">. </w:t>
      </w:r>
    </w:p>
    <w:p w14:paraId="1325EA53" w14:textId="65BEA8C5" w:rsidR="006E253E" w:rsidRDefault="00945C64" w:rsidP="006E253E">
      <w:pPr>
        <w:jc w:val="both"/>
        <w:rPr>
          <w:bCs/>
          <w:lang w:val="fr-FR"/>
        </w:rPr>
      </w:pPr>
      <w:r>
        <w:rPr>
          <w:bCs/>
          <w:lang w:val="fr-FR"/>
        </w:rPr>
        <w:t>D</w:t>
      </w:r>
      <w:r w:rsidR="00216B8D">
        <w:rPr>
          <w:bCs/>
          <w:lang w:val="fr-FR"/>
        </w:rPr>
        <w:t xml:space="preserve">es </w:t>
      </w:r>
      <w:proofErr w:type="spellStart"/>
      <w:r w:rsidR="00216B8D">
        <w:rPr>
          <w:bCs/>
          <w:lang w:val="fr-FR"/>
        </w:rPr>
        <w:t>mécanimes</w:t>
      </w:r>
      <w:proofErr w:type="spellEnd"/>
      <w:r w:rsidR="00216B8D">
        <w:rPr>
          <w:bCs/>
          <w:lang w:val="fr-FR"/>
        </w:rPr>
        <w:t xml:space="preserve"> de complémentarité</w:t>
      </w:r>
      <w:r w:rsidR="006E253E">
        <w:rPr>
          <w:bCs/>
          <w:lang w:val="fr-FR"/>
        </w:rPr>
        <w:t xml:space="preserve"> entre le </w:t>
      </w:r>
      <w:r>
        <w:rPr>
          <w:bCs/>
          <w:lang w:val="fr-FR"/>
        </w:rPr>
        <w:t>c</w:t>
      </w:r>
      <w:r w:rsidR="006E253E">
        <w:rPr>
          <w:bCs/>
          <w:lang w:val="fr-FR"/>
        </w:rPr>
        <w:t xml:space="preserve">orps spécial des avocats à la CPS et les avocats des juridictions ordinaires </w:t>
      </w:r>
      <w:r w:rsidR="00504426">
        <w:rPr>
          <w:bCs/>
          <w:lang w:val="fr-FR"/>
        </w:rPr>
        <w:t>sont</w:t>
      </w:r>
      <w:r w:rsidR="006E253E">
        <w:rPr>
          <w:bCs/>
          <w:lang w:val="fr-FR"/>
        </w:rPr>
        <w:t xml:space="preserve"> mis en place</w:t>
      </w:r>
      <w:r w:rsidR="00216B8D">
        <w:rPr>
          <w:bCs/>
          <w:lang w:val="fr-FR"/>
        </w:rPr>
        <w:t>, p</w:t>
      </w:r>
      <w:r>
        <w:rPr>
          <w:bCs/>
          <w:lang w:val="fr-FR"/>
        </w:rPr>
        <w:t xml:space="preserve">ermettant aux </w:t>
      </w:r>
      <w:r w:rsidR="00216B8D">
        <w:rPr>
          <w:bCs/>
          <w:lang w:val="fr-FR"/>
        </w:rPr>
        <w:t xml:space="preserve">avocats </w:t>
      </w:r>
      <w:proofErr w:type="spellStart"/>
      <w:r w:rsidR="006E253E">
        <w:rPr>
          <w:bCs/>
          <w:lang w:val="fr-FR"/>
        </w:rPr>
        <w:t>non inscri</w:t>
      </w:r>
      <w:r w:rsidR="00216B8D">
        <w:rPr>
          <w:bCs/>
          <w:lang w:val="fr-FR"/>
        </w:rPr>
        <w:t>t</w:t>
      </w:r>
      <w:r w:rsidR="006E253E">
        <w:rPr>
          <w:bCs/>
          <w:lang w:val="fr-FR"/>
        </w:rPr>
        <w:t>s</w:t>
      </w:r>
      <w:proofErr w:type="spellEnd"/>
      <w:r w:rsidR="006E253E">
        <w:rPr>
          <w:bCs/>
          <w:lang w:val="fr-FR"/>
        </w:rPr>
        <w:t xml:space="preserve"> </w:t>
      </w:r>
      <w:r>
        <w:rPr>
          <w:bCs/>
          <w:lang w:val="fr-FR"/>
        </w:rPr>
        <w:t xml:space="preserve">au corps </w:t>
      </w:r>
      <w:r w:rsidR="006E253E">
        <w:rPr>
          <w:bCs/>
          <w:lang w:val="fr-FR"/>
        </w:rPr>
        <w:t xml:space="preserve">spécial </w:t>
      </w:r>
      <w:r>
        <w:rPr>
          <w:bCs/>
          <w:lang w:val="fr-FR"/>
        </w:rPr>
        <w:t>d’accéder</w:t>
      </w:r>
      <w:r w:rsidR="00216B8D">
        <w:rPr>
          <w:bCs/>
          <w:lang w:val="fr-FR"/>
        </w:rPr>
        <w:t xml:space="preserve"> </w:t>
      </w:r>
      <w:r w:rsidR="006E253E">
        <w:rPr>
          <w:bCs/>
          <w:lang w:val="fr-FR"/>
        </w:rPr>
        <w:t xml:space="preserve">à la </w:t>
      </w:r>
      <w:r w:rsidR="006E253E" w:rsidRPr="00A83966">
        <w:rPr>
          <w:bCs/>
          <w:lang w:val="fr-FR"/>
        </w:rPr>
        <w:t xml:space="preserve">salle de travail des avocats </w:t>
      </w:r>
      <w:r w:rsidR="006E253E">
        <w:rPr>
          <w:bCs/>
          <w:lang w:val="fr-FR"/>
        </w:rPr>
        <w:t>à la CPS</w:t>
      </w:r>
      <w:r>
        <w:rPr>
          <w:bCs/>
          <w:lang w:val="fr-FR"/>
        </w:rPr>
        <w:t>,</w:t>
      </w:r>
      <w:r w:rsidR="006E253E">
        <w:rPr>
          <w:bCs/>
          <w:lang w:val="fr-FR"/>
        </w:rPr>
        <w:t xml:space="preserve"> </w:t>
      </w:r>
      <w:r w:rsidR="00216B8D">
        <w:rPr>
          <w:bCs/>
          <w:lang w:val="fr-FR"/>
        </w:rPr>
        <w:t>renforçant</w:t>
      </w:r>
      <w:r w:rsidR="006E253E" w:rsidRPr="00A83966">
        <w:rPr>
          <w:bCs/>
          <w:lang w:val="fr-FR"/>
        </w:rPr>
        <w:t xml:space="preserve"> les liens de collaboration et </w:t>
      </w:r>
      <w:r w:rsidR="00504426">
        <w:rPr>
          <w:bCs/>
          <w:lang w:val="fr-FR"/>
        </w:rPr>
        <w:t>le</w:t>
      </w:r>
      <w:r w:rsidR="006E253E" w:rsidRPr="00A83966">
        <w:rPr>
          <w:bCs/>
          <w:lang w:val="fr-FR"/>
        </w:rPr>
        <w:t xml:space="preserve"> partage d’expériences sur les dossiers de crimes de droit international et procès emblématiques.</w:t>
      </w:r>
    </w:p>
    <w:p w14:paraId="43C00334" w14:textId="7C2F3C86" w:rsidR="001C7C90" w:rsidRPr="00A83966" w:rsidRDefault="006E253E" w:rsidP="00A83966">
      <w:pPr>
        <w:jc w:val="both"/>
        <w:rPr>
          <w:lang w:val="fr-FR"/>
        </w:rPr>
      </w:pPr>
      <w:r>
        <w:rPr>
          <w:bCs/>
          <w:lang w:val="fr-FR"/>
        </w:rPr>
        <w:t xml:space="preserve">Sur le plan de la protection, </w:t>
      </w:r>
      <w:r w:rsidRPr="00A83966">
        <w:rPr>
          <w:bCs/>
          <w:lang w:val="fr-FR"/>
        </w:rPr>
        <w:t>des réunions de coordination entre l’Unité Spéciale de Protection des Victimes et Témoins de la CPS et les acteurs judiciaires impliqués dans l’organisation des sessions criminelles de la Cour d’</w:t>
      </w:r>
      <w:r>
        <w:rPr>
          <w:bCs/>
          <w:lang w:val="fr-FR"/>
        </w:rPr>
        <w:t>a</w:t>
      </w:r>
      <w:r w:rsidRPr="00A83966">
        <w:rPr>
          <w:bCs/>
          <w:lang w:val="fr-FR"/>
        </w:rPr>
        <w:t xml:space="preserve">ppel de Bouar, </w:t>
      </w:r>
      <w:r w:rsidR="00216B8D" w:rsidRPr="00A83966">
        <w:rPr>
          <w:bCs/>
          <w:lang w:val="fr-FR"/>
        </w:rPr>
        <w:t xml:space="preserve">ont été </w:t>
      </w:r>
      <w:r w:rsidR="00216B8D">
        <w:rPr>
          <w:bCs/>
          <w:lang w:val="fr-FR"/>
        </w:rPr>
        <w:t>facilitées</w:t>
      </w:r>
      <w:r w:rsidR="00216B8D" w:rsidRPr="00A83966">
        <w:rPr>
          <w:bCs/>
          <w:lang w:val="fr-FR"/>
        </w:rPr>
        <w:t xml:space="preserve">, </w:t>
      </w:r>
      <w:r w:rsidRPr="00A83966">
        <w:rPr>
          <w:bCs/>
          <w:lang w:val="fr-FR"/>
        </w:rPr>
        <w:t>pour établir conjointement un protocole de protection</w:t>
      </w:r>
      <w:r w:rsidR="00504426">
        <w:rPr>
          <w:bCs/>
          <w:lang w:val="fr-FR"/>
        </w:rPr>
        <w:t>.</w:t>
      </w:r>
    </w:p>
    <w:p w14:paraId="358094F9" w14:textId="3B31EB73" w:rsidR="001C7C90" w:rsidRPr="00ED41DE" w:rsidRDefault="001C7C90" w:rsidP="00A83966">
      <w:pPr>
        <w:jc w:val="both"/>
        <w:rPr>
          <w:bCs/>
          <w:color w:val="002060"/>
          <w:lang w:val="fr-FR"/>
        </w:rPr>
      </w:pPr>
      <w:r w:rsidRPr="00A83966">
        <w:rPr>
          <w:lang w:val="fr-FR"/>
        </w:rPr>
        <w:t xml:space="preserve">A l’issue d’un processus participatif </w:t>
      </w:r>
      <w:r w:rsidR="00BF3F66" w:rsidRPr="00A83966">
        <w:rPr>
          <w:lang w:val="fr-FR"/>
        </w:rPr>
        <w:t xml:space="preserve">et inclusif </w:t>
      </w:r>
      <w:r w:rsidR="00672710" w:rsidRPr="00A83966">
        <w:rPr>
          <w:lang w:val="fr-FR"/>
        </w:rPr>
        <w:t>de consultations</w:t>
      </w:r>
      <w:r w:rsidR="00504426">
        <w:rPr>
          <w:lang w:val="fr-FR"/>
        </w:rPr>
        <w:t xml:space="preserve">, </w:t>
      </w:r>
      <w:r w:rsidR="00FD12E7" w:rsidRPr="00A83966">
        <w:rPr>
          <w:lang w:val="fr-FR"/>
        </w:rPr>
        <w:t>l’é</w:t>
      </w:r>
      <w:r w:rsidR="00672710" w:rsidRPr="00A83966">
        <w:rPr>
          <w:lang w:val="fr-FR"/>
        </w:rPr>
        <w:t>tude sur les modalités et options de réparations a été finalisée</w:t>
      </w:r>
      <w:r w:rsidR="00FD12E7" w:rsidRPr="00A83966">
        <w:rPr>
          <w:lang w:val="fr-FR"/>
        </w:rPr>
        <w:t xml:space="preserve"> et </w:t>
      </w:r>
      <w:r w:rsidR="00672710" w:rsidRPr="00A83966">
        <w:rPr>
          <w:lang w:val="fr-FR"/>
        </w:rPr>
        <w:t xml:space="preserve">présentée </w:t>
      </w:r>
      <w:r w:rsidR="00216B8D">
        <w:rPr>
          <w:lang w:val="fr-FR"/>
        </w:rPr>
        <w:t>à</w:t>
      </w:r>
      <w:r w:rsidR="00672710" w:rsidRPr="00A83966">
        <w:rPr>
          <w:lang w:val="fr-FR"/>
        </w:rPr>
        <w:t xml:space="preserve"> la retraite stratégique de la CVJRR</w:t>
      </w:r>
      <w:r w:rsidR="00FD12E7" w:rsidRPr="00A83966">
        <w:rPr>
          <w:lang w:val="fr-FR"/>
        </w:rPr>
        <w:t xml:space="preserve">. </w:t>
      </w:r>
      <w:r w:rsidR="00216B8D">
        <w:rPr>
          <w:lang w:val="fr-FR"/>
        </w:rPr>
        <w:t>Cet outil</w:t>
      </w:r>
      <w:r w:rsidR="00FD12E7" w:rsidRPr="00A83966">
        <w:rPr>
          <w:lang w:val="fr-FR"/>
        </w:rPr>
        <w:t xml:space="preserve"> </w:t>
      </w:r>
      <w:r w:rsidR="00504426">
        <w:rPr>
          <w:lang w:val="fr-FR"/>
        </w:rPr>
        <w:t>guidera</w:t>
      </w:r>
      <w:r w:rsidR="00FD12E7" w:rsidRPr="00A83966">
        <w:rPr>
          <w:lang w:val="fr-FR"/>
        </w:rPr>
        <w:t xml:space="preserve"> </w:t>
      </w:r>
      <w:r w:rsidR="000E0B81" w:rsidRPr="00A83966">
        <w:rPr>
          <w:lang w:val="fr-FR"/>
        </w:rPr>
        <w:t>l</w:t>
      </w:r>
      <w:r w:rsidR="00504426">
        <w:rPr>
          <w:lang w:val="fr-FR"/>
        </w:rPr>
        <w:t>’</w:t>
      </w:r>
      <w:r w:rsidR="00216B8D">
        <w:rPr>
          <w:lang w:val="fr-FR"/>
        </w:rPr>
        <w:t>élaboration d’</w:t>
      </w:r>
      <w:r w:rsidR="000E0B81" w:rsidRPr="00A83966">
        <w:rPr>
          <w:lang w:val="fr-FR"/>
        </w:rPr>
        <w:t xml:space="preserve">un programme </w:t>
      </w:r>
      <w:r w:rsidR="00D027EC" w:rsidRPr="00A83966">
        <w:rPr>
          <w:lang w:val="fr-FR"/>
        </w:rPr>
        <w:t>national de réparations</w:t>
      </w:r>
      <w:r w:rsidR="00D027EC">
        <w:rPr>
          <w:color w:val="002060"/>
          <w:lang w:val="fr-FR"/>
        </w:rPr>
        <w:t xml:space="preserve">. </w:t>
      </w:r>
    </w:p>
    <w:bookmarkEnd w:id="6"/>
    <w:p w14:paraId="15888F4A" w14:textId="77777777" w:rsidR="00457AF8" w:rsidRPr="00D53328" w:rsidRDefault="00457AF8" w:rsidP="00D027EC">
      <w:pPr>
        <w:jc w:val="both"/>
        <w:rPr>
          <w:b/>
          <w:lang w:val="fr-FR"/>
        </w:rPr>
      </w:pPr>
    </w:p>
    <w:p w14:paraId="32FC3156" w14:textId="77777777" w:rsidR="00F004BF" w:rsidRPr="005D15A3" w:rsidRDefault="00F004BF" w:rsidP="00D70FE2">
      <w:pPr>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A2720" w:rsidRPr="00920CA5">
        <w:rPr>
          <w:b/>
          <w:bCs/>
          <w:color w:val="000000"/>
          <w:lang w:val="fr-FR" w:eastAsia="en-US"/>
        </w:rPr>
        <w:t>résultat</w:t>
      </w:r>
      <w:r w:rsidR="001A2720" w:rsidRPr="00920CA5">
        <w:rPr>
          <w:b/>
          <w:lang w:val="fr-FR"/>
        </w:rPr>
        <w:t xml:space="preserve"> :</w:t>
      </w:r>
      <w:r w:rsidRPr="00920CA5">
        <w:rPr>
          <w:b/>
          <w:lang w:val="fr-FR"/>
        </w:rPr>
        <w:t xml:space="preserve"> </w:t>
      </w:r>
      <w:r w:rsidRPr="00694FDC">
        <w:rPr>
          <w:i/>
          <w:lang w:val="fr-FR"/>
        </w:rPr>
        <w:t>(</w:t>
      </w:r>
      <w:r w:rsidRPr="00694FDC">
        <w:rPr>
          <w:rFonts w:ascii="inherit" w:hAnsi="inherit"/>
          <w:color w:val="212121"/>
          <w:lang w:val="fr-FR"/>
        </w:rPr>
        <w:t>Limite de 1000 caractères</w:t>
      </w:r>
      <w:r w:rsidRPr="00694FDC">
        <w:rPr>
          <w:i/>
          <w:lang w:val="fr-FR"/>
        </w:rPr>
        <w:t>)</w:t>
      </w:r>
    </w:p>
    <w:p w14:paraId="0FFD7D7F" w14:textId="77777777" w:rsidR="00F004BF" w:rsidRPr="00D53328" w:rsidRDefault="00F004BF" w:rsidP="00F004BF">
      <w:pPr>
        <w:ind w:left="-720"/>
        <w:jc w:val="both"/>
        <w:rPr>
          <w:b/>
          <w:lang w:val="fr-FR"/>
        </w:rPr>
      </w:pPr>
    </w:p>
    <w:p w14:paraId="4B46F66C" w14:textId="10C54942" w:rsidR="007E11E2" w:rsidRPr="00134534" w:rsidRDefault="0014506C" w:rsidP="00134534">
      <w:pPr>
        <w:jc w:val="both"/>
        <w:rPr>
          <w:lang w:val="fr-FR"/>
        </w:rPr>
      </w:pPr>
      <w:r w:rsidRPr="00134534">
        <w:rPr>
          <w:lang w:val="fr-FR"/>
        </w:rPr>
        <w:lastRenderedPageBreak/>
        <w:t xml:space="preserve">Les interventions du projet sont alignées sur les principes de la Résolution 1325 à travers </w:t>
      </w:r>
      <w:r w:rsidR="00293FE2" w:rsidRPr="00134534">
        <w:rPr>
          <w:lang w:val="fr-FR"/>
        </w:rPr>
        <w:t>la</w:t>
      </w:r>
      <w:r w:rsidRPr="00134534">
        <w:rPr>
          <w:lang w:val="fr-FR"/>
        </w:rPr>
        <w:t xml:space="preserve"> promotion de la participation des femmes et </w:t>
      </w:r>
      <w:r w:rsidR="003669C8" w:rsidRPr="00134534">
        <w:rPr>
          <w:lang w:val="fr-FR"/>
        </w:rPr>
        <w:t>de</w:t>
      </w:r>
      <w:r w:rsidRPr="00134534">
        <w:rPr>
          <w:lang w:val="fr-FR"/>
        </w:rPr>
        <w:t xml:space="preserve"> leurs rôles dans la consolidation de la paix.</w:t>
      </w:r>
      <w:r w:rsidR="006F5C89" w:rsidRPr="00134534">
        <w:rPr>
          <w:lang w:val="fr-FR"/>
        </w:rPr>
        <w:t xml:space="preserve"> </w:t>
      </w:r>
      <w:r w:rsidR="003669C8" w:rsidRPr="00134534">
        <w:rPr>
          <w:lang w:val="fr-FR"/>
        </w:rPr>
        <w:t>Les sondages de perception et l’étude sur l</w:t>
      </w:r>
      <w:r w:rsidR="00653505" w:rsidRPr="00134534">
        <w:rPr>
          <w:lang w:val="fr-FR"/>
        </w:rPr>
        <w:t>es modalités de réparatio</w:t>
      </w:r>
      <w:r w:rsidR="007E11E2" w:rsidRPr="00134534">
        <w:rPr>
          <w:lang w:val="fr-FR"/>
        </w:rPr>
        <w:t>n</w:t>
      </w:r>
      <w:r w:rsidR="00653505" w:rsidRPr="00134534">
        <w:rPr>
          <w:lang w:val="fr-FR"/>
        </w:rPr>
        <w:t xml:space="preserve"> ont </w:t>
      </w:r>
      <w:r w:rsidR="004D43A9" w:rsidRPr="00134534">
        <w:rPr>
          <w:lang w:val="fr-FR"/>
        </w:rPr>
        <w:t xml:space="preserve">accordé une attention particulière aux femmes </w:t>
      </w:r>
      <w:r w:rsidR="007E11E2" w:rsidRPr="00134534">
        <w:rPr>
          <w:lang w:val="fr-FR"/>
        </w:rPr>
        <w:t xml:space="preserve">dans la collecte des données afin d’assurer l’identification de leurs besoins spécifiques et leur prise en compte lors de la définition </w:t>
      </w:r>
      <w:r w:rsidR="004D43A9" w:rsidRPr="00134534">
        <w:rPr>
          <w:lang w:val="fr-FR"/>
        </w:rPr>
        <w:t xml:space="preserve">des interventions futures et </w:t>
      </w:r>
      <w:r w:rsidR="007E11E2" w:rsidRPr="00134534">
        <w:rPr>
          <w:lang w:val="fr-FR"/>
        </w:rPr>
        <w:t xml:space="preserve">dans le cadre du </w:t>
      </w:r>
      <w:r w:rsidR="004D43A9" w:rsidRPr="00134534">
        <w:rPr>
          <w:lang w:val="fr-FR"/>
        </w:rPr>
        <w:t xml:space="preserve">pilotage des mécanismes de justice transitionnelle. </w:t>
      </w:r>
    </w:p>
    <w:p w14:paraId="08A64E2B" w14:textId="77777777" w:rsidR="00F004BF" w:rsidRPr="00134534" w:rsidRDefault="00F004BF" w:rsidP="00134534">
      <w:pPr>
        <w:jc w:val="both"/>
        <w:rPr>
          <w:lang w:val="fr-FR"/>
        </w:rPr>
      </w:pPr>
    </w:p>
    <w:p w14:paraId="6F117A58" w14:textId="1A2EAEE1" w:rsidR="00F004BF" w:rsidRPr="00EA29C7" w:rsidRDefault="00F004BF" w:rsidP="00D70FE2">
      <w:pPr>
        <w:jc w:val="both"/>
        <w:rPr>
          <w:b/>
          <w:bCs/>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636E71">
        <w:rPr>
          <w:b/>
          <w:bCs/>
          <w:lang w:val="fr-FR"/>
        </w:rPr>
        <w:t xml:space="preserve">A travers une </w:t>
      </w:r>
      <w:r w:rsidR="003E1751">
        <w:rPr>
          <w:b/>
          <w:bCs/>
          <w:lang w:val="fr-FR"/>
        </w:rPr>
        <w:t>s</w:t>
      </w:r>
      <w:r w:rsidR="00D735FE">
        <w:rPr>
          <w:b/>
          <w:bCs/>
          <w:lang w:val="fr-FR"/>
        </w:rPr>
        <w:t xml:space="preserve">ociété </w:t>
      </w:r>
      <w:r w:rsidR="003E1751">
        <w:rPr>
          <w:b/>
          <w:bCs/>
          <w:lang w:val="fr-FR"/>
        </w:rPr>
        <w:t>c</w:t>
      </w:r>
      <w:r w:rsidR="00D735FE">
        <w:rPr>
          <w:b/>
          <w:bCs/>
          <w:lang w:val="fr-FR"/>
        </w:rPr>
        <w:t>ivile</w:t>
      </w:r>
      <w:r w:rsidRPr="00636E71">
        <w:rPr>
          <w:b/>
          <w:bCs/>
          <w:lang w:val="fr-FR"/>
        </w:rPr>
        <w:t xml:space="preserve"> bénéficiant d’une capacité technique et opérationnelle accrue, les victimes et témoins ont un meilleur accès à la justice, incluant l’aide légale et la protection. </w:t>
      </w:r>
    </w:p>
    <w:p w14:paraId="0C8F810D" w14:textId="77777777" w:rsidR="00F004BF" w:rsidRPr="00615EA3" w:rsidRDefault="00F004BF" w:rsidP="00F004BF">
      <w:pPr>
        <w:ind w:left="-720"/>
        <w:jc w:val="both"/>
        <w:rPr>
          <w:b/>
          <w:lang w:val="fr-FR"/>
        </w:rPr>
      </w:pPr>
    </w:p>
    <w:p w14:paraId="78568598" w14:textId="5A3F33E7" w:rsidR="00F004BF" w:rsidRPr="00A03362" w:rsidRDefault="00F004BF" w:rsidP="00A0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A03362">
        <w:rPr>
          <w:color w:val="212121"/>
          <w:lang w:val="fr-FR"/>
        </w:rPr>
        <w:t xml:space="preserve">Veuillez évaluer l'état actuel des progrès du </w:t>
      </w:r>
      <w:r w:rsidR="00290EA8" w:rsidRPr="00A03362">
        <w:rPr>
          <w:color w:val="212121"/>
          <w:lang w:val="fr-FR"/>
        </w:rPr>
        <w:t>résultat :</w:t>
      </w:r>
      <w:r w:rsidRPr="00A03362">
        <w:rPr>
          <w:b/>
          <w:lang w:val="fr-FR"/>
        </w:rPr>
        <w:t xml:space="preserve"> </w:t>
      </w:r>
      <w:r w:rsidR="00A03362">
        <w:rPr>
          <w:b/>
          <w:sz w:val="22"/>
          <w:szCs w:val="22"/>
          <w:lang w:val="fr-FR"/>
        </w:rPr>
        <w:t>ON TRACK</w:t>
      </w:r>
    </w:p>
    <w:p w14:paraId="2A500910" w14:textId="77777777" w:rsidR="00F004BF" w:rsidRPr="005D15A3" w:rsidRDefault="00F004BF" w:rsidP="00F004BF">
      <w:pPr>
        <w:ind w:left="-720"/>
        <w:jc w:val="both"/>
        <w:rPr>
          <w:b/>
          <w:lang w:val="fr-FR"/>
        </w:rPr>
      </w:pPr>
    </w:p>
    <w:p w14:paraId="5B787391" w14:textId="77777777" w:rsidR="00F004BF" w:rsidRPr="00B132A0" w:rsidRDefault="00290EA8" w:rsidP="00A03362">
      <w:pPr>
        <w:jc w:val="both"/>
        <w:rPr>
          <w:i/>
          <w:lang w:val="fr-FR"/>
        </w:rPr>
      </w:pPr>
      <w:r w:rsidRPr="00694FDC">
        <w:rPr>
          <w:b/>
          <w:lang w:val="fr-FR"/>
        </w:rPr>
        <w:t>Résumé</w:t>
      </w:r>
      <w:r w:rsidR="00F004BF" w:rsidRPr="00694FDC">
        <w:rPr>
          <w:b/>
          <w:lang w:val="fr-FR"/>
        </w:rPr>
        <w:t xml:space="preserve"> de </w:t>
      </w:r>
      <w:r w:rsidRPr="00694FDC">
        <w:rPr>
          <w:rFonts w:ascii="inherit" w:hAnsi="inherit"/>
          <w:b/>
          <w:bCs/>
          <w:color w:val="212121"/>
          <w:lang w:val="fr-FR"/>
        </w:rPr>
        <w:t>progrès</w:t>
      </w:r>
      <w:r w:rsidRPr="00694FDC">
        <w:rPr>
          <w:b/>
          <w:lang w:val="fr-FR"/>
        </w:rPr>
        <w:t xml:space="preserve"> :</w:t>
      </w:r>
      <w:r w:rsidR="00F004BF" w:rsidRPr="00694FDC">
        <w:rPr>
          <w:b/>
          <w:lang w:val="fr-FR"/>
        </w:rPr>
        <w:t xml:space="preserve"> </w:t>
      </w:r>
      <w:r w:rsidR="00F004BF" w:rsidRPr="00694FDC">
        <w:rPr>
          <w:rFonts w:ascii="inherit" w:hAnsi="inherit"/>
          <w:color w:val="212121"/>
          <w:lang w:val="fr-FR"/>
        </w:rPr>
        <w:t>(Limite de 3000 caractères)</w:t>
      </w:r>
    </w:p>
    <w:p w14:paraId="2D2E07A7" w14:textId="77777777" w:rsidR="00D95AD4" w:rsidRPr="005D15A3" w:rsidRDefault="00D95AD4" w:rsidP="00F004BF">
      <w:pPr>
        <w:ind w:left="-720"/>
        <w:jc w:val="both"/>
        <w:rPr>
          <w:i/>
          <w:lang w:val="fr-FR"/>
        </w:rPr>
      </w:pPr>
    </w:p>
    <w:p w14:paraId="02311365" w14:textId="3A944E74" w:rsidR="00504426" w:rsidRDefault="003E1751" w:rsidP="00504426">
      <w:pPr>
        <w:jc w:val="both"/>
        <w:rPr>
          <w:lang w:val="fr-FR"/>
        </w:rPr>
      </w:pPr>
      <w:bookmarkStart w:id="7" w:name="_Hlk76051633"/>
      <w:r w:rsidRPr="00694FDC">
        <w:rPr>
          <w:lang w:val="fr-FR"/>
        </w:rPr>
        <w:t>L</w:t>
      </w:r>
      <w:r w:rsidR="00BE46B6" w:rsidRPr="00694FDC">
        <w:rPr>
          <w:lang w:val="fr-FR"/>
        </w:rPr>
        <w:t xml:space="preserve">’accès à la justice demeure </w:t>
      </w:r>
      <w:r w:rsidR="00E36BF5" w:rsidRPr="00694FDC">
        <w:rPr>
          <w:lang w:val="fr-FR"/>
        </w:rPr>
        <w:t xml:space="preserve">un défi majeur en RCA en raison de la faible présence des institutions judiciaires. Les cliniques juridiques </w:t>
      </w:r>
      <w:r w:rsidR="008072A4">
        <w:rPr>
          <w:lang w:val="fr-FR"/>
        </w:rPr>
        <w:t xml:space="preserve">sont </w:t>
      </w:r>
      <w:r w:rsidR="00306DBE" w:rsidRPr="00694FDC">
        <w:rPr>
          <w:lang w:val="fr-FR"/>
        </w:rPr>
        <w:t xml:space="preserve">souvent </w:t>
      </w:r>
      <w:r w:rsidR="008072A4">
        <w:rPr>
          <w:lang w:val="fr-FR"/>
        </w:rPr>
        <w:t xml:space="preserve">le </w:t>
      </w:r>
      <w:r w:rsidR="005C23C3" w:rsidRPr="00694FDC">
        <w:rPr>
          <w:lang w:val="fr-FR"/>
        </w:rPr>
        <w:t xml:space="preserve">seul service </w:t>
      </w:r>
      <w:r w:rsidR="00694FDC">
        <w:rPr>
          <w:lang w:val="fr-FR"/>
        </w:rPr>
        <w:t>de</w:t>
      </w:r>
      <w:r w:rsidR="005C23C3" w:rsidRPr="00694FDC">
        <w:rPr>
          <w:lang w:val="fr-FR"/>
        </w:rPr>
        <w:t xml:space="preserve"> justice </w:t>
      </w:r>
      <w:r w:rsidR="00584D4C" w:rsidRPr="00694FDC">
        <w:rPr>
          <w:lang w:val="fr-FR"/>
        </w:rPr>
        <w:t>disponible pour les</w:t>
      </w:r>
      <w:r w:rsidR="005C23C3" w:rsidRPr="00694FDC">
        <w:rPr>
          <w:lang w:val="fr-FR"/>
        </w:rPr>
        <w:t xml:space="preserve"> populations. 9 cliniques juridiques </w:t>
      </w:r>
      <w:r w:rsidR="00584D4C" w:rsidRPr="00694FDC">
        <w:rPr>
          <w:lang w:val="fr-FR"/>
        </w:rPr>
        <w:t xml:space="preserve">et 9 centres d’écoute </w:t>
      </w:r>
      <w:r w:rsidR="008072A4">
        <w:rPr>
          <w:lang w:val="fr-FR"/>
        </w:rPr>
        <w:t>s</w:t>
      </w:r>
      <w:r w:rsidR="005C23C3" w:rsidRPr="00694FDC">
        <w:rPr>
          <w:lang w:val="fr-FR"/>
        </w:rPr>
        <w:t>ont</w:t>
      </w:r>
      <w:r w:rsidR="008072A4">
        <w:rPr>
          <w:lang w:val="fr-FR"/>
        </w:rPr>
        <w:t xml:space="preserve"> </w:t>
      </w:r>
      <w:proofErr w:type="gramStart"/>
      <w:r w:rsidR="008072A4">
        <w:rPr>
          <w:lang w:val="fr-FR"/>
        </w:rPr>
        <w:t>soutenues</w:t>
      </w:r>
      <w:proofErr w:type="gramEnd"/>
      <w:r w:rsidR="008072A4">
        <w:rPr>
          <w:lang w:val="fr-FR"/>
        </w:rPr>
        <w:t xml:space="preserve"> par le projet pour fournir une </w:t>
      </w:r>
      <w:r w:rsidR="005358AF" w:rsidRPr="00694FDC">
        <w:rPr>
          <w:lang w:val="fr-FR"/>
        </w:rPr>
        <w:t>aide légale</w:t>
      </w:r>
      <w:r w:rsidR="004B6D9F" w:rsidRPr="00694FDC">
        <w:rPr>
          <w:lang w:val="fr-FR"/>
        </w:rPr>
        <w:t xml:space="preserve">, </w:t>
      </w:r>
      <w:r w:rsidR="008072A4">
        <w:rPr>
          <w:lang w:val="fr-FR"/>
        </w:rPr>
        <w:t xml:space="preserve">un </w:t>
      </w:r>
      <w:r w:rsidR="004B6D9F" w:rsidRPr="00694FDC">
        <w:rPr>
          <w:lang w:val="fr-FR"/>
        </w:rPr>
        <w:t xml:space="preserve">accompagnement psychosocial et </w:t>
      </w:r>
      <w:r w:rsidR="005358AF" w:rsidRPr="00694FDC">
        <w:rPr>
          <w:lang w:val="fr-FR"/>
        </w:rPr>
        <w:t>document</w:t>
      </w:r>
      <w:r w:rsidR="008072A4">
        <w:rPr>
          <w:lang w:val="fr-FR"/>
        </w:rPr>
        <w:t>er les</w:t>
      </w:r>
      <w:r w:rsidR="005358AF" w:rsidRPr="00694FDC">
        <w:rPr>
          <w:lang w:val="fr-FR"/>
        </w:rPr>
        <w:t xml:space="preserve"> violations des droits humains. </w:t>
      </w:r>
      <w:r w:rsidR="00F7618C">
        <w:rPr>
          <w:lang w:val="fr-FR"/>
        </w:rPr>
        <w:t>L</w:t>
      </w:r>
      <w:r w:rsidR="008B2B25" w:rsidRPr="00694FDC">
        <w:rPr>
          <w:lang w:val="fr-FR"/>
        </w:rPr>
        <w:t xml:space="preserve">es activités des cliniques juridiques ont été </w:t>
      </w:r>
      <w:r w:rsidR="004B6D9F" w:rsidRPr="00694FDC">
        <w:rPr>
          <w:lang w:val="fr-FR"/>
        </w:rPr>
        <w:t xml:space="preserve">ralenties </w:t>
      </w:r>
      <w:r w:rsidR="008072A4">
        <w:rPr>
          <w:lang w:val="fr-FR"/>
        </w:rPr>
        <w:t>par le</w:t>
      </w:r>
      <w:r w:rsidR="008B2B25" w:rsidRPr="00694FDC">
        <w:rPr>
          <w:lang w:val="fr-FR"/>
        </w:rPr>
        <w:t xml:space="preserve"> décès </w:t>
      </w:r>
      <w:r w:rsidR="00694FDC">
        <w:rPr>
          <w:lang w:val="fr-FR"/>
        </w:rPr>
        <w:t xml:space="preserve">tragique </w:t>
      </w:r>
      <w:r w:rsidR="008B2B25" w:rsidRPr="00694FDC">
        <w:rPr>
          <w:lang w:val="fr-FR"/>
        </w:rPr>
        <w:t>de</w:t>
      </w:r>
      <w:r w:rsidR="004B47A3">
        <w:rPr>
          <w:lang w:val="fr-FR"/>
        </w:rPr>
        <w:t xml:space="preserve"> Mme Poutou-</w:t>
      </w:r>
      <w:proofErr w:type="spellStart"/>
      <w:r w:rsidR="004B47A3">
        <w:rPr>
          <w:lang w:val="fr-FR"/>
        </w:rPr>
        <w:t>Fornel</w:t>
      </w:r>
      <w:proofErr w:type="spellEnd"/>
      <w:r w:rsidR="004B47A3">
        <w:rPr>
          <w:lang w:val="fr-FR"/>
        </w:rPr>
        <w:t>, p</w:t>
      </w:r>
      <w:r w:rsidR="008B2B25" w:rsidRPr="00694FDC">
        <w:rPr>
          <w:lang w:val="fr-FR"/>
        </w:rPr>
        <w:t xml:space="preserve">résidente de </w:t>
      </w:r>
      <w:r w:rsidR="004B6D9F" w:rsidRPr="00694FDC">
        <w:rPr>
          <w:lang w:val="fr-FR"/>
        </w:rPr>
        <w:t>l’A</w:t>
      </w:r>
      <w:r w:rsidR="004B47A3">
        <w:rPr>
          <w:lang w:val="fr-FR"/>
        </w:rPr>
        <w:t>ssociation des femmes juristes (A</w:t>
      </w:r>
      <w:r w:rsidR="004B6D9F" w:rsidRPr="00694FDC">
        <w:rPr>
          <w:lang w:val="fr-FR"/>
        </w:rPr>
        <w:t>FJ</w:t>
      </w:r>
      <w:r w:rsidR="00694FDC">
        <w:rPr>
          <w:lang w:val="fr-FR"/>
        </w:rPr>
        <w:t>C</w:t>
      </w:r>
      <w:r w:rsidR="004B47A3">
        <w:rPr>
          <w:lang w:val="fr-FR"/>
        </w:rPr>
        <w:t>)</w:t>
      </w:r>
      <w:r w:rsidR="008B2B25" w:rsidRPr="00694FDC">
        <w:rPr>
          <w:lang w:val="fr-FR"/>
        </w:rPr>
        <w:t xml:space="preserve"> en Juin 2021</w:t>
      </w:r>
      <w:r w:rsidR="008072A4">
        <w:rPr>
          <w:lang w:val="fr-FR"/>
        </w:rPr>
        <w:t>,</w:t>
      </w:r>
      <w:r w:rsidR="004B47A3">
        <w:rPr>
          <w:lang w:val="fr-FR"/>
        </w:rPr>
        <w:t xml:space="preserve"> mais une</w:t>
      </w:r>
      <w:r w:rsidR="00504426">
        <w:rPr>
          <w:lang w:val="fr-FR"/>
        </w:rPr>
        <w:t xml:space="preserve"> stratégie d’appui spécifique </w:t>
      </w:r>
      <w:r w:rsidR="00F7618C">
        <w:rPr>
          <w:lang w:val="fr-FR"/>
        </w:rPr>
        <w:t xml:space="preserve">a été mise en place pour garantir la poursuite </w:t>
      </w:r>
      <w:r w:rsidR="00504426">
        <w:rPr>
          <w:lang w:val="fr-FR"/>
        </w:rPr>
        <w:t>des activités. L</w:t>
      </w:r>
      <w:r w:rsidR="004B47A3">
        <w:rPr>
          <w:lang w:val="fr-FR"/>
        </w:rPr>
        <w:t xml:space="preserve">es membres de l’AFJC ont bénéficié d’un </w:t>
      </w:r>
      <w:r w:rsidR="00504426" w:rsidRPr="00694FDC">
        <w:rPr>
          <w:lang w:val="fr-FR"/>
        </w:rPr>
        <w:t xml:space="preserve">accompagnement psychologique </w:t>
      </w:r>
      <w:r w:rsidR="004B47A3">
        <w:rPr>
          <w:lang w:val="fr-FR"/>
        </w:rPr>
        <w:t xml:space="preserve">pour gérer le </w:t>
      </w:r>
      <w:r w:rsidR="00504426">
        <w:rPr>
          <w:lang w:val="fr-FR"/>
        </w:rPr>
        <w:t xml:space="preserve">traumatisme </w:t>
      </w:r>
      <w:r w:rsidR="00504426" w:rsidRPr="00694FDC">
        <w:rPr>
          <w:lang w:val="fr-FR"/>
        </w:rPr>
        <w:t xml:space="preserve">et </w:t>
      </w:r>
      <w:r w:rsidR="004B47A3">
        <w:rPr>
          <w:lang w:val="fr-FR"/>
        </w:rPr>
        <w:t xml:space="preserve">faciliter la planification des activités en souffrance. </w:t>
      </w:r>
    </w:p>
    <w:p w14:paraId="7C5E6FD2" w14:textId="77777777" w:rsidR="004B47A3" w:rsidRPr="00694FDC" w:rsidRDefault="004B47A3" w:rsidP="00504426">
      <w:pPr>
        <w:jc w:val="both"/>
        <w:rPr>
          <w:lang w:val="fr-FR"/>
        </w:rPr>
      </w:pPr>
    </w:p>
    <w:p w14:paraId="2CF13795" w14:textId="6692937A" w:rsidR="00AE0EE3" w:rsidRPr="00694FDC" w:rsidRDefault="009245AA" w:rsidP="00694FDC">
      <w:pPr>
        <w:jc w:val="both"/>
        <w:rPr>
          <w:lang w:val="fr-FR"/>
        </w:rPr>
      </w:pPr>
      <w:r w:rsidRPr="00694FDC">
        <w:rPr>
          <w:lang w:val="fr-FR"/>
        </w:rPr>
        <w:t xml:space="preserve">Entre Janvier </w:t>
      </w:r>
      <w:r w:rsidR="001B5CA0" w:rsidRPr="00694FDC">
        <w:rPr>
          <w:lang w:val="fr-FR"/>
        </w:rPr>
        <w:t>et Novembre 2021,</w:t>
      </w:r>
      <w:r w:rsidR="001D1406" w:rsidRPr="00694FDC">
        <w:rPr>
          <w:lang w:val="fr-FR"/>
        </w:rPr>
        <w:t xml:space="preserve"> </w:t>
      </w:r>
      <w:r w:rsidR="00F42190">
        <w:rPr>
          <w:lang w:val="fr-FR"/>
        </w:rPr>
        <w:t>11431</w:t>
      </w:r>
      <w:r w:rsidR="00F42190" w:rsidRPr="00694FDC">
        <w:rPr>
          <w:lang w:val="fr-FR"/>
        </w:rPr>
        <w:t xml:space="preserve"> </w:t>
      </w:r>
      <w:r w:rsidR="005358AF" w:rsidRPr="00694FDC">
        <w:rPr>
          <w:lang w:val="fr-FR"/>
        </w:rPr>
        <w:t xml:space="preserve">personnes ont bénéficié </w:t>
      </w:r>
      <w:r w:rsidR="001B5CA0" w:rsidRPr="00694FDC">
        <w:rPr>
          <w:lang w:val="fr-FR"/>
        </w:rPr>
        <w:t xml:space="preserve">des services des cliniques juridiques, dont </w:t>
      </w:r>
      <w:r w:rsidR="00797A75">
        <w:rPr>
          <w:lang w:val="fr-FR"/>
        </w:rPr>
        <w:t xml:space="preserve">6451 </w:t>
      </w:r>
      <w:r w:rsidR="001B5CA0" w:rsidRPr="00694FDC">
        <w:rPr>
          <w:lang w:val="fr-FR"/>
        </w:rPr>
        <w:t xml:space="preserve">bénéficiaires d’assistance </w:t>
      </w:r>
      <w:proofErr w:type="spellStart"/>
      <w:r w:rsidR="001B5CA0" w:rsidRPr="00694FDC">
        <w:rPr>
          <w:lang w:val="fr-FR"/>
        </w:rPr>
        <w:t>psyschosociale</w:t>
      </w:r>
      <w:proofErr w:type="spellEnd"/>
      <w:r w:rsidR="001B5CA0" w:rsidRPr="00694FDC">
        <w:rPr>
          <w:lang w:val="fr-FR"/>
        </w:rPr>
        <w:t xml:space="preserve">, </w:t>
      </w:r>
      <w:r w:rsidR="00797A75">
        <w:rPr>
          <w:lang w:val="fr-FR"/>
        </w:rPr>
        <w:t xml:space="preserve">4980 </w:t>
      </w:r>
      <w:r w:rsidR="001B5CA0" w:rsidRPr="00694FDC">
        <w:rPr>
          <w:lang w:val="fr-FR"/>
        </w:rPr>
        <w:t>d’assistance juridique</w:t>
      </w:r>
      <w:r w:rsidR="007A5290">
        <w:rPr>
          <w:lang w:val="fr-FR"/>
        </w:rPr>
        <w:t xml:space="preserve"> et judiciaire</w:t>
      </w:r>
      <w:r w:rsidR="004B47A3">
        <w:rPr>
          <w:lang w:val="fr-FR"/>
        </w:rPr>
        <w:t xml:space="preserve"> </w:t>
      </w:r>
      <w:r w:rsidR="00E6730D" w:rsidRPr="00694FDC">
        <w:rPr>
          <w:lang w:val="fr-FR"/>
        </w:rPr>
        <w:t xml:space="preserve">et </w:t>
      </w:r>
      <w:r w:rsidR="00034475">
        <w:rPr>
          <w:lang w:val="fr-FR"/>
        </w:rPr>
        <w:t>261 décisions judiciaires ont été rendues</w:t>
      </w:r>
      <w:r w:rsidR="00F7618C">
        <w:rPr>
          <w:lang w:val="fr-FR"/>
        </w:rPr>
        <w:t xml:space="preserve">. </w:t>
      </w:r>
      <w:r w:rsidR="00E6730D" w:rsidRPr="00694FDC">
        <w:rPr>
          <w:lang w:val="fr-FR"/>
        </w:rPr>
        <w:t xml:space="preserve">Depuis </w:t>
      </w:r>
      <w:r w:rsidR="00C76F10" w:rsidRPr="00694FDC">
        <w:rPr>
          <w:lang w:val="fr-FR"/>
        </w:rPr>
        <w:t>2020</w:t>
      </w:r>
      <w:r w:rsidR="00E6730D" w:rsidRPr="00694FDC">
        <w:rPr>
          <w:lang w:val="fr-FR"/>
        </w:rPr>
        <w:t>,</w:t>
      </w:r>
      <w:r w:rsidR="00F7618C">
        <w:rPr>
          <w:lang w:val="fr-FR"/>
        </w:rPr>
        <w:t xml:space="preserve"> </w:t>
      </w:r>
      <w:r w:rsidR="00B01169">
        <w:rPr>
          <w:lang w:val="fr-FR"/>
        </w:rPr>
        <w:t>17579</w:t>
      </w:r>
      <w:r w:rsidR="00F7618C">
        <w:rPr>
          <w:lang w:val="fr-FR"/>
        </w:rPr>
        <w:t xml:space="preserve"> </w:t>
      </w:r>
      <w:r w:rsidR="00C76F10" w:rsidRPr="00694FDC">
        <w:rPr>
          <w:lang w:val="fr-FR"/>
        </w:rPr>
        <w:t xml:space="preserve">personnes dont </w:t>
      </w:r>
      <w:r w:rsidR="00920304">
        <w:rPr>
          <w:lang w:val="fr-FR"/>
        </w:rPr>
        <w:t>14594</w:t>
      </w:r>
      <w:r w:rsidR="00C76F10" w:rsidRPr="00694FDC">
        <w:rPr>
          <w:lang w:val="fr-FR"/>
        </w:rPr>
        <w:t xml:space="preserve"> femmes ont bénéficié des services des cliniques juridiques.</w:t>
      </w:r>
      <w:r w:rsidR="005358AF" w:rsidRPr="00694FDC">
        <w:rPr>
          <w:lang w:val="fr-FR"/>
        </w:rPr>
        <w:t xml:space="preserve"> </w:t>
      </w:r>
      <w:r w:rsidR="00FC23C5">
        <w:rPr>
          <w:lang w:val="fr-FR"/>
        </w:rPr>
        <w:t>De même, 24 formations ont été réalisées dans 8 localités auprès de 420 leaders</w:t>
      </w:r>
      <w:r w:rsidR="004B47A3">
        <w:rPr>
          <w:lang w:val="fr-FR"/>
        </w:rPr>
        <w:t xml:space="preserve"> communautaires</w:t>
      </w:r>
      <w:r w:rsidR="00FC23C5">
        <w:rPr>
          <w:lang w:val="fr-FR"/>
        </w:rPr>
        <w:t xml:space="preserve"> (dont 190 femmes) quant à l’accès à la justice.</w:t>
      </w:r>
      <w:r w:rsidR="00504426" w:rsidRPr="00504426">
        <w:rPr>
          <w:lang w:val="fr-FR"/>
        </w:rPr>
        <w:t xml:space="preserve"> </w:t>
      </w:r>
      <w:r w:rsidR="00504426">
        <w:rPr>
          <w:lang w:val="fr-FR"/>
        </w:rPr>
        <w:t>Parallèlement, l’accent a été mis sur le renforcement de l’impact judiciaire des cliniques.</w:t>
      </w:r>
    </w:p>
    <w:p w14:paraId="459E41AA" w14:textId="77777777" w:rsidR="001C55CA" w:rsidRPr="00694FDC" w:rsidRDefault="001C55CA" w:rsidP="00694FDC">
      <w:pPr>
        <w:jc w:val="both"/>
        <w:rPr>
          <w:lang w:val="fr-FR"/>
        </w:rPr>
      </w:pPr>
    </w:p>
    <w:p w14:paraId="2438D665" w14:textId="70AE126A" w:rsidR="001C55CA" w:rsidRDefault="00F7618C" w:rsidP="00694FDC">
      <w:pPr>
        <w:jc w:val="both"/>
        <w:rPr>
          <w:lang w:val="fr-FR"/>
        </w:rPr>
      </w:pPr>
      <w:r>
        <w:rPr>
          <w:lang w:val="fr-FR"/>
        </w:rPr>
        <w:t>Les</w:t>
      </w:r>
      <w:r w:rsidRPr="00694FDC">
        <w:rPr>
          <w:lang w:val="fr-FR"/>
        </w:rPr>
        <w:t xml:space="preserve"> missions </w:t>
      </w:r>
      <w:r>
        <w:rPr>
          <w:lang w:val="fr-FR"/>
        </w:rPr>
        <w:t>d’évaluation des cliniques ont relevé une grande satisfaction des populations et des bénéficiaires et une bonne coordination régionale entre tous les acteurs, y compris ceux informels. Pour améliorer</w:t>
      </w:r>
      <w:r w:rsidR="00CA3D9B" w:rsidRPr="00694FDC">
        <w:rPr>
          <w:lang w:val="fr-FR"/>
        </w:rPr>
        <w:t xml:space="preserve"> la qualité de l’aide légale et </w:t>
      </w:r>
      <w:r>
        <w:rPr>
          <w:lang w:val="fr-FR"/>
        </w:rPr>
        <w:t>h</w:t>
      </w:r>
      <w:r w:rsidR="00CA3D9B" w:rsidRPr="00694FDC">
        <w:rPr>
          <w:lang w:val="fr-FR"/>
        </w:rPr>
        <w:t>armoniser les approche</w:t>
      </w:r>
      <w:r w:rsidR="0096573F">
        <w:rPr>
          <w:lang w:val="fr-FR"/>
        </w:rPr>
        <w:t>s</w:t>
      </w:r>
      <w:r w:rsidR="00CA3D9B" w:rsidRPr="00694FDC">
        <w:rPr>
          <w:lang w:val="fr-FR"/>
        </w:rPr>
        <w:t xml:space="preserve">, une expertise internationale est déployée auprès des 9 cliniques juridiques pour </w:t>
      </w:r>
      <w:r w:rsidR="003E607A" w:rsidRPr="00694FDC">
        <w:rPr>
          <w:lang w:val="fr-FR"/>
        </w:rPr>
        <w:t xml:space="preserve">renforcer </w:t>
      </w:r>
      <w:r w:rsidR="00453CE1" w:rsidRPr="00694FDC">
        <w:rPr>
          <w:lang w:val="fr-FR"/>
        </w:rPr>
        <w:t xml:space="preserve">leurs capacités techniques </w:t>
      </w:r>
      <w:r w:rsidR="008027C9" w:rsidRPr="00694FDC">
        <w:rPr>
          <w:lang w:val="fr-FR"/>
        </w:rPr>
        <w:t xml:space="preserve">sur la </w:t>
      </w:r>
      <w:r w:rsidR="00453CE1" w:rsidRPr="00694FDC">
        <w:rPr>
          <w:lang w:val="fr-FR"/>
        </w:rPr>
        <w:t xml:space="preserve">gestion opérationnelle et </w:t>
      </w:r>
      <w:r w:rsidR="008027C9" w:rsidRPr="00694FDC">
        <w:rPr>
          <w:lang w:val="fr-FR"/>
        </w:rPr>
        <w:t xml:space="preserve">le </w:t>
      </w:r>
      <w:r w:rsidR="00453CE1" w:rsidRPr="00694FDC">
        <w:rPr>
          <w:lang w:val="fr-FR"/>
        </w:rPr>
        <w:t xml:space="preserve">traitement des dossiers. </w:t>
      </w:r>
      <w:r w:rsidR="003254EE" w:rsidRPr="00694FDC">
        <w:rPr>
          <w:lang w:val="fr-FR"/>
        </w:rPr>
        <w:t xml:space="preserve">Les résultats </w:t>
      </w:r>
      <w:r w:rsidR="008027C9" w:rsidRPr="00694FDC">
        <w:rPr>
          <w:lang w:val="fr-FR"/>
        </w:rPr>
        <w:t>obtenus</w:t>
      </w:r>
      <w:r w:rsidR="003254EE" w:rsidRPr="00694FDC">
        <w:rPr>
          <w:lang w:val="fr-FR"/>
        </w:rPr>
        <w:t xml:space="preserve"> contribueront à enrichir les discussions au groupe thématique </w:t>
      </w:r>
      <w:r w:rsidR="008027C9" w:rsidRPr="00694FDC">
        <w:rPr>
          <w:lang w:val="fr-FR"/>
        </w:rPr>
        <w:t xml:space="preserve">de la PSJ </w:t>
      </w:r>
      <w:r w:rsidR="003254EE" w:rsidRPr="00694FDC">
        <w:rPr>
          <w:lang w:val="fr-FR"/>
        </w:rPr>
        <w:t xml:space="preserve">et à identifier le rôle des cliniques juridiques </w:t>
      </w:r>
      <w:r w:rsidR="00B8430B" w:rsidRPr="00694FDC">
        <w:rPr>
          <w:lang w:val="fr-FR"/>
        </w:rPr>
        <w:t>dans les</w:t>
      </w:r>
      <w:r w:rsidR="009245AA" w:rsidRPr="00694FDC">
        <w:rPr>
          <w:lang w:val="fr-FR"/>
        </w:rPr>
        <w:t xml:space="preserve"> mécanismes de justice transitionnelle</w:t>
      </w:r>
      <w:r w:rsidR="00BE5CD8">
        <w:rPr>
          <w:lang w:val="fr-FR"/>
        </w:rPr>
        <w:t>.</w:t>
      </w:r>
      <w:r w:rsidR="009245AA" w:rsidRPr="00694FDC">
        <w:rPr>
          <w:lang w:val="fr-FR"/>
        </w:rPr>
        <w:t xml:space="preserve"> </w:t>
      </w:r>
      <w:r w:rsidR="0096573F">
        <w:rPr>
          <w:lang w:val="fr-FR"/>
        </w:rPr>
        <w:t>Il est aussi espéré que cela pourra faciliter la mobilisation des ressources pour les cliniques juridiques, qui devront être fermé</w:t>
      </w:r>
      <w:r w:rsidR="00BE5CD8">
        <w:rPr>
          <w:lang w:val="fr-FR"/>
        </w:rPr>
        <w:t>e</w:t>
      </w:r>
      <w:r w:rsidR="0096573F">
        <w:rPr>
          <w:lang w:val="fr-FR"/>
        </w:rPr>
        <w:t>s à cause de la fin des fonds PBF.</w:t>
      </w:r>
    </w:p>
    <w:p w14:paraId="290692F2" w14:textId="77777777" w:rsidR="008F4E58" w:rsidRPr="00694FDC" w:rsidRDefault="008F4E58" w:rsidP="00694FDC">
      <w:pPr>
        <w:jc w:val="both"/>
        <w:rPr>
          <w:lang w:val="fr-FR"/>
        </w:rPr>
      </w:pPr>
    </w:p>
    <w:p w14:paraId="3E784B4B" w14:textId="77777777" w:rsidR="00F7618C" w:rsidRPr="00694FDC" w:rsidRDefault="00F7618C" w:rsidP="00F7618C">
      <w:pPr>
        <w:jc w:val="both"/>
        <w:rPr>
          <w:lang w:val="fr-FR"/>
        </w:rPr>
      </w:pPr>
      <w:r w:rsidRPr="00694FDC">
        <w:rPr>
          <w:lang w:val="fr-FR"/>
        </w:rPr>
        <w:t>Il est prévu prochainement un atelier de</w:t>
      </w:r>
      <w:r>
        <w:rPr>
          <w:lang w:val="fr-FR"/>
        </w:rPr>
        <w:t xml:space="preserve"> mise au point de la stratégie de protection des victimes et témoins en RCA qui a pour objectifs </w:t>
      </w:r>
      <w:r w:rsidRPr="00694FDC">
        <w:rPr>
          <w:lang w:val="fr-FR"/>
        </w:rPr>
        <w:t>d</w:t>
      </w:r>
      <w:r>
        <w:rPr>
          <w:lang w:val="fr-FR"/>
        </w:rPr>
        <w:t xml:space="preserve">’établir une feuille de route pour sa mise en œuvre, de </w:t>
      </w:r>
      <w:r w:rsidRPr="00694FDC">
        <w:rPr>
          <w:lang w:val="fr-FR"/>
        </w:rPr>
        <w:t>mettre à jour la stratégie</w:t>
      </w:r>
      <w:r>
        <w:rPr>
          <w:lang w:val="fr-FR"/>
        </w:rPr>
        <w:t xml:space="preserve">, </w:t>
      </w:r>
      <w:r w:rsidRPr="00694FDC">
        <w:rPr>
          <w:lang w:val="fr-FR"/>
        </w:rPr>
        <w:t>dont un résumé exécutif a été produit</w:t>
      </w:r>
      <w:r>
        <w:rPr>
          <w:lang w:val="fr-FR"/>
        </w:rPr>
        <w:t xml:space="preserve"> par le projet pour faciliter sa diffusion, étant trop peu connue par les acteurs. </w:t>
      </w:r>
      <w:r w:rsidRPr="00694FDC">
        <w:rPr>
          <w:lang w:val="fr-FR"/>
        </w:rPr>
        <w:t xml:space="preserve"> </w:t>
      </w:r>
    </w:p>
    <w:p w14:paraId="2025B8C1" w14:textId="622D9842" w:rsidR="00E25763" w:rsidRPr="00694FDC" w:rsidRDefault="00E25763" w:rsidP="00694FDC">
      <w:pPr>
        <w:jc w:val="both"/>
        <w:rPr>
          <w:lang w:val="fr-FR"/>
        </w:rPr>
      </w:pPr>
    </w:p>
    <w:bookmarkEnd w:id="7"/>
    <w:p w14:paraId="2F9E2D6C" w14:textId="11CC4706" w:rsidR="00F7618C" w:rsidRDefault="00F7618C" w:rsidP="00F7618C">
      <w:pPr>
        <w:jc w:val="both"/>
        <w:rPr>
          <w:lang w:val="fr-FR"/>
        </w:rPr>
      </w:pPr>
      <w:r>
        <w:rPr>
          <w:lang w:val="fr-FR"/>
        </w:rPr>
        <w:t>A</w:t>
      </w:r>
      <w:r w:rsidRPr="00A8556D">
        <w:rPr>
          <w:lang w:val="fr-FR"/>
        </w:rPr>
        <w:t xml:space="preserve">fin de </w:t>
      </w:r>
      <w:r>
        <w:rPr>
          <w:lang w:val="fr-FR"/>
        </w:rPr>
        <w:t xml:space="preserve">réduire le gap entre le nombre de victimes </w:t>
      </w:r>
      <w:r w:rsidRPr="00A8556D">
        <w:rPr>
          <w:lang w:val="fr-FR"/>
        </w:rPr>
        <w:t xml:space="preserve">de </w:t>
      </w:r>
      <w:r>
        <w:rPr>
          <w:lang w:val="fr-FR"/>
        </w:rPr>
        <w:t xml:space="preserve">violences sexuelles basées sur le genre (VSBG) qui bénéficient exclusivement d’une prise en charge médicale ou </w:t>
      </w:r>
      <w:proofErr w:type="spellStart"/>
      <w:r>
        <w:rPr>
          <w:lang w:val="fr-FR"/>
        </w:rPr>
        <w:t>psychosiale</w:t>
      </w:r>
      <w:proofErr w:type="spellEnd"/>
      <w:r>
        <w:rPr>
          <w:lang w:val="fr-FR"/>
        </w:rPr>
        <w:t xml:space="preserve"> et le nombre de</w:t>
      </w:r>
      <w:r w:rsidRPr="00A8556D">
        <w:rPr>
          <w:lang w:val="fr-FR"/>
        </w:rPr>
        <w:t xml:space="preserve"> procès-verbaux de faits constitutifs de VSBG établis par l’UMIRR</w:t>
      </w:r>
      <w:r>
        <w:rPr>
          <w:lang w:val="fr-FR"/>
        </w:rPr>
        <w:t>, le projet a contribué au lancement de la mise en fonctionnalité du service médical à l’UMIRR jusqu’ici inopérant. Garantir</w:t>
      </w:r>
      <w:r w:rsidRPr="00A8556D">
        <w:rPr>
          <w:lang w:val="fr-FR"/>
        </w:rPr>
        <w:t xml:space="preserve"> une première prise en charge médicale à l’UMIRR</w:t>
      </w:r>
      <w:r>
        <w:rPr>
          <w:lang w:val="fr-FR"/>
        </w:rPr>
        <w:t xml:space="preserve"> pour toutes les victimes, et non seulement celles en </w:t>
      </w:r>
      <w:r w:rsidRPr="00A8556D">
        <w:rPr>
          <w:lang w:val="fr-FR"/>
        </w:rPr>
        <w:t>besoin urgent, favorisera l’accès à la justice</w:t>
      </w:r>
      <w:r>
        <w:rPr>
          <w:lang w:val="fr-FR"/>
        </w:rPr>
        <w:t xml:space="preserve"> en préservant sa volonté d’initier une démarche judiciaire et renforçant les éléments de preuves médicaux-légales des violences subies. </w:t>
      </w:r>
    </w:p>
    <w:p w14:paraId="22C7D0F2" w14:textId="77777777" w:rsidR="00F004BF" w:rsidRPr="00D53328" w:rsidRDefault="00F004BF" w:rsidP="0091728D">
      <w:pPr>
        <w:jc w:val="both"/>
        <w:rPr>
          <w:b/>
          <w:lang w:val="fr-FR"/>
        </w:rPr>
      </w:pPr>
    </w:p>
    <w:p w14:paraId="66A794E0" w14:textId="77777777" w:rsidR="00F004BF" w:rsidRPr="005D15A3" w:rsidRDefault="00F004BF" w:rsidP="0091728D">
      <w:pPr>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872C1" w:rsidRPr="00920CA5">
        <w:rPr>
          <w:b/>
          <w:bCs/>
          <w:color w:val="000000"/>
          <w:lang w:val="fr-FR" w:eastAsia="en-US"/>
        </w:rPr>
        <w:t>résultat</w:t>
      </w:r>
      <w:r w:rsidR="006872C1" w:rsidRPr="00920CA5">
        <w:rPr>
          <w:b/>
          <w:lang w:val="fr-FR"/>
        </w:rPr>
        <w:t xml:space="preserve"> :</w:t>
      </w:r>
      <w:r w:rsidRPr="00920CA5">
        <w:rPr>
          <w:b/>
          <w:lang w:val="fr-FR"/>
        </w:rPr>
        <w:t xml:space="preserve"> </w:t>
      </w:r>
      <w:r w:rsidRPr="006813C8">
        <w:rPr>
          <w:i/>
          <w:lang w:val="fr-FR"/>
        </w:rPr>
        <w:t>(</w:t>
      </w:r>
      <w:r w:rsidRPr="006813C8">
        <w:rPr>
          <w:rFonts w:ascii="inherit" w:hAnsi="inherit"/>
          <w:color w:val="212121"/>
          <w:lang w:val="fr-FR"/>
        </w:rPr>
        <w:t>Limite de 1000 caractères</w:t>
      </w:r>
      <w:r w:rsidRPr="006813C8">
        <w:rPr>
          <w:i/>
          <w:lang w:val="fr-FR"/>
        </w:rPr>
        <w:t>)</w:t>
      </w:r>
    </w:p>
    <w:p w14:paraId="460741B9" w14:textId="77777777" w:rsidR="00F004BF" w:rsidRPr="00D53328" w:rsidRDefault="00F004BF" w:rsidP="00F004BF">
      <w:pPr>
        <w:ind w:left="-720"/>
        <w:jc w:val="both"/>
        <w:rPr>
          <w:b/>
          <w:lang w:val="fr-FR"/>
        </w:rPr>
      </w:pPr>
    </w:p>
    <w:p w14:paraId="17942198" w14:textId="1D6BD8D5" w:rsidR="0091728D" w:rsidRPr="006813C8" w:rsidRDefault="0091728D" w:rsidP="006813C8">
      <w:pPr>
        <w:jc w:val="both"/>
        <w:rPr>
          <w:lang w:val="fr-FR"/>
        </w:rPr>
      </w:pPr>
      <w:r w:rsidRPr="006813C8">
        <w:rPr>
          <w:lang w:val="fr-FR"/>
        </w:rPr>
        <w:t xml:space="preserve">Les femmes et les filles sont parmi les principales victimes des violations des droits humains, en particulier de violences sexuelles et basées sur le genre. Le projet contribue à faciliter leur prise en charge holistique, notamment au niveau </w:t>
      </w:r>
      <w:r w:rsidR="006813C8">
        <w:rPr>
          <w:lang w:val="fr-FR"/>
        </w:rPr>
        <w:t xml:space="preserve">judiciaire et </w:t>
      </w:r>
      <w:r w:rsidRPr="006813C8">
        <w:rPr>
          <w:lang w:val="fr-FR"/>
        </w:rPr>
        <w:t>psychosocial</w:t>
      </w:r>
      <w:r w:rsidR="006813C8">
        <w:rPr>
          <w:lang w:val="fr-FR"/>
        </w:rPr>
        <w:t>,</w:t>
      </w:r>
      <w:r w:rsidRPr="006813C8">
        <w:rPr>
          <w:lang w:val="fr-FR"/>
        </w:rPr>
        <w:t xml:space="preserve"> </w:t>
      </w:r>
      <w:r w:rsidR="006813C8">
        <w:rPr>
          <w:lang w:val="fr-FR"/>
        </w:rPr>
        <w:t>mais aussi médical pour un appui immédiat de la victime, et la facilitation du suivi des dossiers dans la justice</w:t>
      </w:r>
      <w:r w:rsidR="0065162D">
        <w:rPr>
          <w:lang w:val="fr-FR"/>
        </w:rPr>
        <w:t> ;</w:t>
      </w:r>
      <w:r w:rsidRPr="006813C8">
        <w:rPr>
          <w:lang w:val="fr-FR"/>
        </w:rPr>
        <w:t xml:space="preserve"> à travers le renforcement des mécanismes de coordination et de référencement entre les services ainsi que l’appui aux cliniques juridiques pour leurs conseils. Ainsi, </w:t>
      </w:r>
      <w:r w:rsidR="00FA0AAF">
        <w:rPr>
          <w:lang w:val="fr-FR"/>
        </w:rPr>
        <w:t>9602</w:t>
      </w:r>
      <w:r w:rsidR="00446FF0" w:rsidRPr="006813C8">
        <w:rPr>
          <w:lang w:val="fr-FR"/>
        </w:rPr>
        <w:t xml:space="preserve"> </w:t>
      </w:r>
      <w:r w:rsidRPr="006813C8">
        <w:rPr>
          <w:lang w:val="fr-FR"/>
        </w:rPr>
        <w:t xml:space="preserve">femmes ont bénéficié de service d’aide </w:t>
      </w:r>
      <w:r w:rsidR="00FA0AAF">
        <w:rPr>
          <w:lang w:val="fr-FR"/>
        </w:rPr>
        <w:t>légale</w:t>
      </w:r>
      <w:r w:rsidRPr="006813C8">
        <w:rPr>
          <w:lang w:val="fr-FR"/>
        </w:rPr>
        <w:t>, ce qui contribue à promouvoir le respect des droits humains</w:t>
      </w:r>
      <w:r w:rsidR="00FA43F5" w:rsidRPr="006813C8">
        <w:rPr>
          <w:lang w:val="fr-FR"/>
        </w:rPr>
        <w:t xml:space="preserve"> et la réparation immédiate des victimes. </w:t>
      </w:r>
    </w:p>
    <w:p w14:paraId="524D650D" w14:textId="77777777" w:rsidR="00F004BF" w:rsidRPr="00BC03CD" w:rsidRDefault="00F004BF" w:rsidP="00BC03CD">
      <w:pPr>
        <w:jc w:val="both"/>
        <w:rPr>
          <w:b/>
          <w:lang w:val="fr-CD"/>
        </w:rPr>
      </w:pPr>
    </w:p>
    <w:p w14:paraId="7E2A81C1" w14:textId="0FEAF2D6" w:rsidR="00F004BF" w:rsidRPr="00BC03CD" w:rsidRDefault="00F004BF" w:rsidP="0091728D">
      <w:pPr>
        <w:jc w:val="both"/>
        <w:rPr>
          <w:b/>
          <w:lang w:val="fr-FR"/>
        </w:rPr>
      </w:pPr>
      <w:r w:rsidRPr="00BC03CD">
        <w:rPr>
          <w:b/>
          <w:u w:val="single"/>
          <w:lang w:val="fr-FR"/>
        </w:rPr>
        <w:t xml:space="preserve">Résultat </w:t>
      </w:r>
      <w:proofErr w:type="gramStart"/>
      <w:r w:rsidRPr="00BC03CD">
        <w:rPr>
          <w:b/>
          <w:u w:val="single"/>
          <w:lang w:val="fr-FR"/>
        </w:rPr>
        <w:t>3:</w:t>
      </w:r>
      <w:proofErr w:type="gramEnd"/>
      <w:r w:rsidRPr="00BC03CD">
        <w:rPr>
          <w:b/>
          <w:lang w:val="fr-FR"/>
        </w:rPr>
        <w:t xml:space="preserve"> </w:t>
      </w:r>
      <w:r w:rsidRPr="00BC03CD">
        <w:rPr>
          <w:b/>
          <w:bCs/>
          <w:lang w:val="fr-FR"/>
        </w:rPr>
        <w:t xml:space="preserve">Le travail de gestion de la mémoire et de recherche de la vérité est engagé par un appui technique et opérationnel à la Commission Vérité, Justice, Réparation et Réconciliation CVJRR) et aux organisations de la </w:t>
      </w:r>
      <w:r w:rsidR="00D735FE" w:rsidRPr="00BC03CD">
        <w:rPr>
          <w:b/>
          <w:bCs/>
          <w:lang w:val="fr-FR"/>
        </w:rPr>
        <w:t>Société Civile</w:t>
      </w:r>
      <w:r w:rsidRPr="00BC03CD">
        <w:rPr>
          <w:b/>
          <w:bCs/>
          <w:lang w:val="fr-FR"/>
        </w:rPr>
        <w:t>, y compris les associations de victimes.</w:t>
      </w:r>
    </w:p>
    <w:p w14:paraId="3FC0C7BE" w14:textId="77777777" w:rsidR="00F004BF" w:rsidRPr="00BC03CD" w:rsidRDefault="00F004BF" w:rsidP="00F004BF">
      <w:pPr>
        <w:ind w:left="-720"/>
        <w:jc w:val="both"/>
        <w:rPr>
          <w:b/>
          <w:lang w:val="fr-FR"/>
        </w:rPr>
      </w:pPr>
    </w:p>
    <w:p w14:paraId="61BB9CF6" w14:textId="61BFF356" w:rsidR="00F004BF" w:rsidRPr="00BC03CD" w:rsidRDefault="00F004BF" w:rsidP="00BC0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BC03CD">
        <w:rPr>
          <w:lang w:val="fr-FR"/>
        </w:rPr>
        <w:t xml:space="preserve">Veuillez évaluer l'état actuel des progrès du </w:t>
      </w:r>
      <w:r w:rsidR="00F240B6" w:rsidRPr="00BC03CD">
        <w:rPr>
          <w:lang w:val="fr-FR"/>
        </w:rPr>
        <w:t>résultat :</w:t>
      </w:r>
      <w:r w:rsidRPr="00BC03CD">
        <w:rPr>
          <w:lang w:val="fr-FR"/>
        </w:rPr>
        <w:t xml:space="preserve"> </w:t>
      </w:r>
      <w:r w:rsidR="00BC03CD" w:rsidRPr="00BC03CD">
        <w:rPr>
          <w:b/>
          <w:bCs/>
          <w:lang w:val="fr-FR"/>
        </w:rPr>
        <w:t>ON TRACK</w:t>
      </w:r>
    </w:p>
    <w:p w14:paraId="75817A82" w14:textId="77777777" w:rsidR="00F004BF" w:rsidRPr="005D15A3" w:rsidRDefault="00F004BF" w:rsidP="00F004BF">
      <w:pPr>
        <w:ind w:left="-720"/>
        <w:jc w:val="both"/>
        <w:rPr>
          <w:b/>
          <w:lang w:val="fr-FR"/>
        </w:rPr>
      </w:pPr>
    </w:p>
    <w:p w14:paraId="0345B1B6" w14:textId="77777777" w:rsidR="00F004BF" w:rsidRPr="005D15A3" w:rsidRDefault="00EA1754" w:rsidP="00BC03CD">
      <w:pPr>
        <w:ind w:left="-720" w:firstLine="720"/>
        <w:jc w:val="both"/>
        <w:rPr>
          <w:i/>
          <w:lang w:val="fr-FR"/>
        </w:rPr>
      </w:pPr>
      <w:r w:rsidRPr="005D15A3">
        <w:rPr>
          <w:b/>
          <w:lang w:val="fr-FR"/>
        </w:rPr>
        <w:t>Résumé</w:t>
      </w:r>
      <w:r w:rsidR="00F004BF" w:rsidRPr="005D15A3">
        <w:rPr>
          <w:b/>
          <w:lang w:val="fr-FR"/>
        </w:rPr>
        <w:t xml:space="preserve"> de </w:t>
      </w:r>
      <w:r w:rsidRPr="0065162D">
        <w:rPr>
          <w:rFonts w:ascii="inherit" w:hAnsi="inherit"/>
          <w:b/>
          <w:bCs/>
          <w:color w:val="212121"/>
          <w:lang w:val="fr-FR"/>
        </w:rPr>
        <w:t>progrès</w:t>
      </w:r>
      <w:r w:rsidRPr="0065162D">
        <w:rPr>
          <w:b/>
          <w:lang w:val="fr-FR"/>
        </w:rPr>
        <w:t xml:space="preserve"> :</w:t>
      </w:r>
      <w:r w:rsidR="00F004BF" w:rsidRPr="0065162D">
        <w:rPr>
          <w:b/>
          <w:lang w:val="fr-FR"/>
        </w:rPr>
        <w:t xml:space="preserve"> </w:t>
      </w:r>
      <w:r w:rsidR="00F004BF" w:rsidRPr="0065162D">
        <w:rPr>
          <w:rFonts w:ascii="inherit" w:hAnsi="inherit"/>
          <w:color w:val="212121"/>
          <w:lang w:val="fr-FR"/>
        </w:rPr>
        <w:t>(Limite de 3000 caractères)</w:t>
      </w:r>
    </w:p>
    <w:p w14:paraId="26272085" w14:textId="19BEDED8" w:rsidR="004A6C14" w:rsidRDefault="004A6C14" w:rsidP="004B6BC2">
      <w:pPr>
        <w:jc w:val="both"/>
        <w:rPr>
          <w:lang w:val="fr-FR"/>
        </w:rPr>
      </w:pPr>
    </w:p>
    <w:p w14:paraId="6D3B62B7" w14:textId="03C2BBA6" w:rsidR="008072A4" w:rsidRDefault="00C8541F" w:rsidP="0065162D">
      <w:pPr>
        <w:jc w:val="both"/>
        <w:rPr>
          <w:lang w:val="fr-FR"/>
        </w:rPr>
      </w:pPr>
      <w:r w:rsidRPr="0065162D">
        <w:rPr>
          <w:lang w:val="fr-FR"/>
        </w:rPr>
        <w:t xml:space="preserve">Conformément à la Loi du 7 Avril 2020 et à l’issue du processus de sélection </w:t>
      </w:r>
      <w:proofErr w:type="spellStart"/>
      <w:r w:rsidRPr="0065162D">
        <w:rPr>
          <w:lang w:val="fr-FR"/>
        </w:rPr>
        <w:t>tranparent</w:t>
      </w:r>
      <w:proofErr w:type="spellEnd"/>
      <w:r w:rsidRPr="0065162D">
        <w:rPr>
          <w:lang w:val="fr-FR"/>
        </w:rPr>
        <w:t>, les 11 Commissaires</w:t>
      </w:r>
      <w:r w:rsidR="0065162D">
        <w:rPr>
          <w:lang w:val="fr-FR"/>
        </w:rPr>
        <w:t>, dont 5 femmes,</w:t>
      </w:r>
      <w:r w:rsidRPr="0065162D">
        <w:rPr>
          <w:lang w:val="fr-FR"/>
        </w:rPr>
        <w:t xml:space="preserve"> ont prêté serment le 2 Juillet 2021 marquant ainsi le démarrage officiel des travaux de la CVJRR.</w:t>
      </w:r>
      <w:r w:rsidR="008072A4">
        <w:rPr>
          <w:lang w:val="fr-FR"/>
        </w:rPr>
        <w:t xml:space="preserve"> </w:t>
      </w:r>
      <w:r w:rsidR="0065162D">
        <w:rPr>
          <w:lang w:val="fr-FR"/>
        </w:rPr>
        <w:t xml:space="preserve">Le projet </w:t>
      </w:r>
      <w:r w:rsidR="008072A4">
        <w:rPr>
          <w:lang w:val="fr-FR"/>
        </w:rPr>
        <w:t xml:space="preserve">est aux </w:t>
      </w:r>
      <w:r w:rsidR="0065162D">
        <w:rPr>
          <w:lang w:val="fr-FR"/>
        </w:rPr>
        <w:t>côté</w:t>
      </w:r>
      <w:r w:rsidR="008072A4">
        <w:rPr>
          <w:lang w:val="fr-FR"/>
        </w:rPr>
        <w:t>s</w:t>
      </w:r>
      <w:r w:rsidR="0065162D">
        <w:rPr>
          <w:lang w:val="fr-FR"/>
        </w:rPr>
        <w:t xml:space="preserve"> des Commissaires d</w:t>
      </w:r>
      <w:r w:rsidR="008072A4">
        <w:rPr>
          <w:lang w:val="fr-FR"/>
        </w:rPr>
        <w:t>epui</w:t>
      </w:r>
      <w:r w:rsidR="0065162D">
        <w:rPr>
          <w:lang w:val="fr-FR"/>
        </w:rPr>
        <w:t xml:space="preserve">s le premier jour de leur prestation, </w:t>
      </w:r>
      <w:r w:rsidR="008072A4">
        <w:rPr>
          <w:lang w:val="fr-FR"/>
        </w:rPr>
        <w:t xml:space="preserve">en fournissant l’appui-conseil, le </w:t>
      </w:r>
      <w:r w:rsidR="0065162D">
        <w:rPr>
          <w:lang w:val="fr-FR"/>
        </w:rPr>
        <w:t xml:space="preserve">plaidoyer politique et </w:t>
      </w:r>
      <w:r w:rsidR="008072A4">
        <w:rPr>
          <w:lang w:val="fr-FR"/>
        </w:rPr>
        <w:t>l’</w:t>
      </w:r>
      <w:r w:rsidR="0065162D">
        <w:rPr>
          <w:lang w:val="fr-FR"/>
        </w:rPr>
        <w:t>appui opérationnel</w:t>
      </w:r>
      <w:r w:rsidR="008072A4">
        <w:rPr>
          <w:lang w:val="fr-FR"/>
        </w:rPr>
        <w:t xml:space="preserve"> nécessaire a lancement de ses activités, facilitant ainsi le</w:t>
      </w:r>
      <w:r w:rsidR="0065162D">
        <w:rPr>
          <w:lang w:val="fr-FR"/>
        </w:rPr>
        <w:t xml:space="preserve"> positionnement des Nations Unies</w:t>
      </w:r>
      <w:r w:rsidR="008072A4">
        <w:rPr>
          <w:lang w:val="fr-FR"/>
        </w:rPr>
        <w:t xml:space="preserve"> (y compris </w:t>
      </w:r>
      <w:r w:rsidR="0065162D">
        <w:rPr>
          <w:lang w:val="fr-FR"/>
        </w:rPr>
        <w:t>du PBF</w:t>
      </w:r>
      <w:r w:rsidR="008072A4">
        <w:rPr>
          <w:lang w:val="fr-FR"/>
        </w:rPr>
        <w:t>)</w:t>
      </w:r>
      <w:r w:rsidR="0065162D">
        <w:rPr>
          <w:lang w:val="fr-FR"/>
        </w:rPr>
        <w:t xml:space="preserve"> sur la CVJRR</w:t>
      </w:r>
      <w:r w:rsidR="008072A4">
        <w:rPr>
          <w:lang w:val="fr-FR"/>
        </w:rPr>
        <w:t xml:space="preserve">, </w:t>
      </w:r>
      <w:r w:rsidR="0065162D">
        <w:rPr>
          <w:lang w:val="fr-FR"/>
        </w:rPr>
        <w:t xml:space="preserve">la justice </w:t>
      </w:r>
      <w:proofErr w:type="spellStart"/>
      <w:r w:rsidR="0065162D">
        <w:rPr>
          <w:lang w:val="fr-FR"/>
        </w:rPr>
        <w:t>transitionelle</w:t>
      </w:r>
      <w:proofErr w:type="spellEnd"/>
      <w:r w:rsidR="0065162D">
        <w:rPr>
          <w:lang w:val="fr-FR"/>
        </w:rPr>
        <w:t xml:space="preserve"> et le processus de paix. </w:t>
      </w:r>
    </w:p>
    <w:p w14:paraId="74D55FB6" w14:textId="77777777" w:rsidR="00821499" w:rsidRDefault="00821499" w:rsidP="0065162D">
      <w:pPr>
        <w:jc w:val="both"/>
        <w:rPr>
          <w:lang w:val="fr-FR"/>
        </w:rPr>
      </w:pPr>
    </w:p>
    <w:p w14:paraId="7562BF19" w14:textId="2D46C7D0" w:rsidR="007A79BB" w:rsidRDefault="00BD0E56" w:rsidP="0065162D">
      <w:pPr>
        <w:jc w:val="both"/>
        <w:rPr>
          <w:lang w:val="fr-FR"/>
        </w:rPr>
      </w:pPr>
      <w:r w:rsidRPr="0065162D">
        <w:rPr>
          <w:lang w:val="fr-FR"/>
        </w:rPr>
        <w:t>La</w:t>
      </w:r>
      <w:r w:rsidR="00922FF7" w:rsidRPr="0065162D">
        <w:rPr>
          <w:lang w:val="fr-FR"/>
        </w:rPr>
        <w:t xml:space="preserve"> CVJRR </w:t>
      </w:r>
      <w:r w:rsidRPr="0065162D">
        <w:rPr>
          <w:lang w:val="fr-FR"/>
        </w:rPr>
        <w:t>a organisé deux retraites stratégiques</w:t>
      </w:r>
      <w:r w:rsidR="002B1C63" w:rsidRPr="0065162D">
        <w:rPr>
          <w:lang w:val="fr-FR"/>
        </w:rPr>
        <w:t xml:space="preserve">. </w:t>
      </w:r>
      <w:r w:rsidR="0065162D">
        <w:rPr>
          <w:lang w:val="fr-FR"/>
        </w:rPr>
        <w:t xml:space="preserve">La première en juillet </w:t>
      </w:r>
      <w:r w:rsidR="008072A4">
        <w:rPr>
          <w:lang w:val="fr-FR"/>
        </w:rPr>
        <w:t>et en interne</w:t>
      </w:r>
      <w:r w:rsidR="0065162D">
        <w:rPr>
          <w:lang w:val="fr-FR"/>
        </w:rPr>
        <w:t xml:space="preserve"> pour le « team building » et le début de l’élaboration du Règlement Intérieur. La deuxième,</w:t>
      </w:r>
      <w:r w:rsidR="008001C3" w:rsidRPr="0065162D">
        <w:rPr>
          <w:lang w:val="fr-FR"/>
        </w:rPr>
        <w:t xml:space="preserve"> organisée du 6 au 10 Septembre à Bangui</w:t>
      </w:r>
      <w:r w:rsidR="0065162D">
        <w:rPr>
          <w:lang w:val="fr-FR"/>
        </w:rPr>
        <w:t xml:space="preserve">, a mobilisé la Ministre de l’Action Humanitaire et de la </w:t>
      </w:r>
      <w:r w:rsidR="008072A4">
        <w:rPr>
          <w:lang w:val="fr-FR"/>
        </w:rPr>
        <w:t>Solidarité</w:t>
      </w:r>
      <w:r w:rsidR="0065162D">
        <w:rPr>
          <w:lang w:val="fr-FR"/>
        </w:rPr>
        <w:t>,</w:t>
      </w:r>
      <w:r w:rsidR="007A79BB">
        <w:rPr>
          <w:lang w:val="fr-FR"/>
        </w:rPr>
        <w:t xml:space="preserve"> ainsi que</w:t>
      </w:r>
      <w:r w:rsidR="0065162D">
        <w:rPr>
          <w:lang w:val="fr-FR"/>
        </w:rPr>
        <w:t xml:space="preserve"> le SRSG et plusieurs </w:t>
      </w:r>
      <w:r w:rsidR="007A79BB">
        <w:rPr>
          <w:lang w:val="fr-FR"/>
        </w:rPr>
        <w:t>a</w:t>
      </w:r>
      <w:r w:rsidR="0065162D">
        <w:rPr>
          <w:lang w:val="fr-FR"/>
        </w:rPr>
        <w:t>mbassadeurs et représentants (Etats Unies, UE, Afrique du Sud)</w:t>
      </w:r>
      <w:r w:rsidR="008001C3" w:rsidRPr="0065162D">
        <w:rPr>
          <w:lang w:val="fr-FR"/>
        </w:rPr>
        <w:t xml:space="preserve"> </w:t>
      </w:r>
      <w:r w:rsidR="0065162D">
        <w:rPr>
          <w:lang w:val="fr-FR"/>
        </w:rPr>
        <w:t>pour une ouverture médiatisé</w:t>
      </w:r>
      <w:r w:rsidR="007A79BB">
        <w:rPr>
          <w:lang w:val="fr-FR"/>
        </w:rPr>
        <w:t xml:space="preserve">e et marquant le </w:t>
      </w:r>
      <w:r w:rsidR="0065162D">
        <w:rPr>
          <w:lang w:val="fr-FR"/>
        </w:rPr>
        <w:t>lancement visible de la CVJRR comme institution autonome.</w:t>
      </w:r>
    </w:p>
    <w:p w14:paraId="0E21A475" w14:textId="49220731" w:rsidR="00C8541F" w:rsidRPr="0065162D" w:rsidRDefault="0065162D" w:rsidP="0065162D">
      <w:pPr>
        <w:jc w:val="both"/>
        <w:rPr>
          <w:lang w:val="fr-FR"/>
        </w:rPr>
      </w:pPr>
      <w:r>
        <w:rPr>
          <w:lang w:val="fr-FR"/>
        </w:rPr>
        <w:t>Ce</w:t>
      </w:r>
      <w:r w:rsidR="007A79BB">
        <w:rPr>
          <w:lang w:val="fr-FR"/>
        </w:rPr>
        <w:t xml:space="preserve">tte retraite a vu la participation de </w:t>
      </w:r>
      <w:r>
        <w:rPr>
          <w:lang w:val="fr-FR"/>
        </w:rPr>
        <w:t xml:space="preserve">Commissaires et experts d’autres pays (Mali, Togo, Tunisie, Gambie, Lybie, Côte d’Ivoire,) </w:t>
      </w:r>
      <w:r w:rsidR="007A79BB">
        <w:rPr>
          <w:lang w:val="fr-FR"/>
        </w:rPr>
        <w:t>permettant</w:t>
      </w:r>
      <w:r w:rsidR="008001C3" w:rsidRPr="0065162D">
        <w:rPr>
          <w:lang w:val="fr-FR"/>
        </w:rPr>
        <w:t xml:space="preserve"> d’initier de nombreuses discussions thématiques</w:t>
      </w:r>
      <w:r w:rsidR="00EB1CF0" w:rsidRPr="0065162D">
        <w:rPr>
          <w:lang w:val="fr-FR"/>
        </w:rPr>
        <w:t xml:space="preserve"> (</w:t>
      </w:r>
      <w:r>
        <w:rPr>
          <w:lang w:val="fr-FR"/>
        </w:rPr>
        <w:t xml:space="preserve">opérationnalisation, investigations, </w:t>
      </w:r>
      <w:r w:rsidR="00EB1CF0" w:rsidRPr="0065162D">
        <w:rPr>
          <w:lang w:val="fr-FR"/>
        </w:rPr>
        <w:t>réparations</w:t>
      </w:r>
      <w:r>
        <w:rPr>
          <w:lang w:val="fr-FR"/>
        </w:rPr>
        <w:t xml:space="preserve">, </w:t>
      </w:r>
      <w:r>
        <w:rPr>
          <w:lang w:val="fr-FR"/>
        </w:rPr>
        <w:lastRenderedPageBreak/>
        <w:t>communication, etc.</w:t>
      </w:r>
      <w:r w:rsidR="00EB1CF0" w:rsidRPr="0065162D">
        <w:rPr>
          <w:lang w:val="fr-FR"/>
        </w:rPr>
        <w:t>)</w:t>
      </w:r>
      <w:r w:rsidR="008001C3" w:rsidRPr="0065162D">
        <w:rPr>
          <w:lang w:val="fr-FR"/>
        </w:rPr>
        <w:t xml:space="preserve"> et </w:t>
      </w:r>
      <w:r w:rsidR="00EB1CF0" w:rsidRPr="0065162D">
        <w:rPr>
          <w:lang w:val="fr-FR"/>
        </w:rPr>
        <w:t>institutionnelles (complémentarité avec la CPS)</w:t>
      </w:r>
      <w:r>
        <w:rPr>
          <w:lang w:val="fr-FR"/>
        </w:rPr>
        <w:t xml:space="preserve">. </w:t>
      </w:r>
      <w:r w:rsidR="00A87280" w:rsidRPr="0065162D">
        <w:rPr>
          <w:lang w:val="fr-FR"/>
        </w:rPr>
        <w:t>Le partenariat conclu avec ICTJ permet la mobilisation d</w:t>
      </w:r>
      <w:r w:rsidR="007535B7">
        <w:rPr>
          <w:lang w:val="fr-FR"/>
        </w:rPr>
        <w:t xml:space="preserve">e Commissaires et </w:t>
      </w:r>
      <w:r w:rsidR="00A87280" w:rsidRPr="0065162D">
        <w:rPr>
          <w:lang w:val="fr-FR"/>
        </w:rPr>
        <w:t xml:space="preserve">experts internationaux qui </w:t>
      </w:r>
      <w:r w:rsidR="0085180F" w:rsidRPr="0065162D">
        <w:rPr>
          <w:lang w:val="fr-FR"/>
        </w:rPr>
        <w:t xml:space="preserve">accompagneront techniquement la CVJRR </w:t>
      </w:r>
      <w:r w:rsidR="00E74A9A" w:rsidRPr="0065162D">
        <w:rPr>
          <w:lang w:val="fr-FR"/>
        </w:rPr>
        <w:t xml:space="preserve">dans l’élaboration de ses documents et outils stratégiques qui </w:t>
      </w:r>
      <w:r w:rsidR="0085180F" w:rsidRPr="0065162D">
        <w:rPr>
          <w:lang w:val="fr-FR"/>
        </w:rPr>
        <w:t>sont essentiels pour l’</w:t>
      </w:r>
      <w:proofErr w:type="spellStart"/>
      <w:r w:rsidR="0085180F" w:rsidRPr="0065162D">
        <w:rPr>
          <w:lang w:val="fr-FR"/>
        </w:rPr>
        <w:t>opérationalisation</w:t>
      </w:r>
      <w:proofErr w:type="spellEnd"/>
      <w:r w:rsidR="0085180F" w:rsidRPr="0065162D">
        <w:rPr>
          <w:lang w:val="fr-FR"/>
        </w:rPr>
        <w:t xml:space="preserve"> de la Commission et le pilotage des </w:t>
      </w:r>
      <w:r w:rsidR="00E74A9A" w:rsidRPr="0065162D">
        <w:rPr>
          <w:lang w:val="fr-FR"/>
        </w:rPr>
        <w:t xml:space="preserve">activités quotidiennes </w:t>
      </w:r>
      <w:r w:rsidR="0085180F" w:rsidRPr="0065162D">
        <w:rPr>
          <w:lang w:val="fr-FR"/>
        </w:rPr>
        <w:t>en vue d’atteindre les</w:t>
      </w:r>
      <w:r w:rsidR="00E74A9A" w:rsidRPr="0065162D">
        <w:rPr>
          <w:lang w:val="fr-FR"/>
        </w:rPr>
        <w:t xml:space="preserve"> objectifs assignés</w:t>
      </w:r>
      <w:r w:rsidR="007A79BB">
        <w:rPr>
          <w:lang w:val="fr-FR"/>
        </w:rPr>
        <w:t>. Aussi, une</w:t>
      </w:r>
      <w:r w:rsidR="007B1AC6">
        <w:rPr>
          <w:lang w:val="fr-FR"/>
        </w:rPr>
        <w:t xml:space="preserve"> coordination est établie avec </w:t>
      </w:r>
      <w:r w:rsidR="007A79BB">
        <w:rPr>
          <w:lang w:val="fr-FR"/>
        </w:rPr>
        <w:t xml:space="preserve">d’autres organisations internationales voulant appuyer la commission (à l’exemple du </w:t>
      </w:r>
      <w:r w:rsidR="007B1AC6">
        <w:rPr>
          <w:lang w:val="fr-FR"/>
        </w:rPr>
        <w:t>Centre</w:t>
      </w:r>
      <w:r w:rsidR="007A79BB">
        <w:rPr>
          <w:lang w:val="fr-FR"/>
        </w:rPr>
        <w:t xml:space="preserve"> pour le dialogue humanitaire)</w:t>
      </w:r>
      <w:r w:rsidR="00E74A9A" w:rsidRPr="0065162D">
        <w:rPr>
          <w:lang w:val="fr-FR"/>
        </w:rPr>
        <w:t xml:space="preserve">. </w:t>
      </w:r>
    </w:p>
    <w:p w14:paraId="7C85E805" w14:textId="3822F61D" w:rsidR="00E74A9A" w:rsidRPr="0065162D" w:rsidRDefault="00E74A9A" w:rsidP="0065162D">
      <w:pPr>
        <w:jc w:val="both"/>
        <w:rPr>
          <w:lang w:val="fr-FR"/>
        </w:rPr>
      </w:pPr>
    </w:p>
    <w:p w14:paraId="1BFE3CBA" w14:textId="4453811C" w:rsidR="00762848" w:rsidRDefault="007A79BB" w:rsidP="0065162D">
      <w:pPr>
        <w:jc w:val="both"/>
        <w:rPr>
          <w:lang w:val="fr-FR"/>
        </w:rPr>
      </w:pPr>
      <w:r>
        <w:rPr>
          <w:lang w:val="fr-FR"/>
        </w:rPr>
        <w:t>La</w:t>
      </w:r>
      <w:r w:rsidR="00E74A9A" w:rsidRPr="0065162D">
        <w:rPr>
          <w:lang w:val="fr-FR"/>
        </w:rPr>
        <w:t xml:space="preserve"> CVJRR fait </w:t>
      </w:r>
      <w:r>
        <w:rPr>
          <w:lang w:val="fr-FR"/>
        </w:rPr>
        <w:t xml:space="preserve">cependant </w:t>
      </w:r>
      <w:r w:rsidR="00E74A9A" w:rsidRPr="0065162D">
        <w:rPr>
          <w:lang w:val="fr-FR"/>
        </w:rPr>
        <w:t>face à de nombreux défis logistiques et opérationnels, puisqu</w:t>
      </w:r>
      <w:r w:rsidR="0058339E" w:rsidRPr="0065162D">
        <w:rPr>
          <w:lang w:val="fr-FR"/>
        </w:rPr>
        <w:t xml:space="preserve">’elle </w:t>
      </w:r>
      <w:r w:rsidR="00E74A9A" w:rsidRPr="0065162D">
        <w:rPr>
          <w:lang w:val="fr-FR"/>
        </w:rPr>
        <w:t xml:space="preserve">ne dispose </w:t>
      </w:r>
      <w:r>
        <w:rPr>
          <w:lang w:val="fr-FR"/>
        </w:rPr>
        <w:t xml:space="preserve">ni de </w:t>
      </w:r>
      <w:r w:rsidR="00E74A9A" w:rsidRPr="0065162D">
        <w:rPr>
          <w:lang w:val="fr-FR"/>
        </w:rPr>
        <w:t xml:space="preserve">bureaux </w:t>
      </w:r>
      <w:r w:rsidR="0058339E" w:rsidRPr="0065162D">
        <w:rPr>
          <w:lang w:val="fr-FR"/>
        </w:rPr>
        <w:t>ni d</w:t>
      </w:r>
      <w:r>
        <w:rPr>
          <w:lang w:val="fr-FR"/>
        </w:rPr>
        <w:t>’un</w:t>
      </w:r>
      <w:r w:rsidR="0058339E" w:rsidRPr="0065162D">
        <w:rPr>
          <w:lang w:val="fr-FR"/>
        </w:rPr>
        <w:t xml:space="preserve"> budget</w:t>
      </w:r>
      <w:r>
        <w:rPr>
          <w:lang w:val="fr-FR"/>
        </w:rPr>
        <w:t xml:space="preserve"> autonome</w:t>
      </w:r>
      <w:r w:rsidR="00E74A9A" w:rsidRPr="0065162D">
        <w:rPr>
          <w:lang w:val="fr-FR"/>
        </w:rPr>
        <w:t>. Des actions de plaidoyer sont mené</w:t>
      </w:r>
      <w:r w:rsidR="00762848" w:rsidRPr="0065162D">
        <w:rPr>
          <w:lang w:val="fr-FR"/>
        </w:rPr>
        <w:t>e</w:t>
      </w:r>
      <w:r w:rsidR="00E74A9A" w:rsidRPr="0065162D">
        <w:rPr>
          <w:lang w:val="fr-FR"/>
        </w:rPr>
        <w:t xml:space="preserve">s </w:t>
      </w:r>
      <w:r>
        <w:rPr>
          <w:lang w:val="fr-FR"/>
        </w:rPr>
        <w:t xml:space="preserve">par le </w:t>
      </w:r>
      <w:r w:rsidR="007535B7">
        <w:rPr>
          <w:lang w:val="fr-FR"/>
        </w:rPr>
        <w:t xml:space="preserve">senior management des Nations Unies ainsi que </w:t>
      </w:r>
      <w:r>
        <w:rPr>
          <w:lang w:val="fr-FR"/>
        </w:rPr>
        <w:t xml:space="preserve">des représentations diplomatiques </w:t>
      </w:r>
      <w:r w:rsidR="00E74A9A" w:rsidRPr="0065162D">
        <w:rPr>
          <w:lang w:val="fr-FR"/>
        </w:rPr>
        <w:t xml:space="preserve">auprès des </w:t>
      </w:r>
      <w:r w:rsidR="0058339E" w:rsidRPr="0065162D">
        <w:rPr>
          <w:lang w:val="fr-FR"/>
        </w:rPr>
        <w:t xml:space="preserve">hautes autorités </w:t>
      </w:r>
      <w:r>
        <w:rPr>
          <w:lang w:val="fr-FR"/>
        </w:rPr>
        <w:t xml:space="preserve">du pays </w:t>
      </w:r>
      <w:r w:rsidR="00762848" w:rsidRPr="0065162D">
        <w:rPr>
          <w:lang w:val="fr-FR"/>
        </w:rPr>
        <w:t>pour assurer</w:t>
      </w:r>
      <w:r w:rsidR="0058339E" w:rsidRPr="0065162D">
        <w:rPr>
          <w:lang w:val="fr-FR"/>
        </w:rPr>
        <w:t xml:space="preserve"> le fonctionnement opérationnel de la CVJRR</w:t>
      </w:r>
      <w:r>
        <w:rPr>
          <w:lang w:val="fr-FR"/>
        </w:rPr>
        <w:t xml:space="preserve">. A cet effet, le </w:t>
      </w:r>
      <w:r w:rsidR="007535B7">
        <w:rPr>
          <w:lang w:val="fr-FR"/>
        </w:rPr>
        <w:t>projet facilit</w:t>
      </w:r>
      <w:r>
        <w:rPr>
          <w:lang w:val="fr-FR"/>
        </w:rPr>
        <w:t>e</w:t>
      </w:r>
      <w:r w:rsidR="007535B7">
        <w:rPr>
          <w:lang w:val="fr-FR"/>
        </w:rPr>
        <w:t xml:space="preserve"> </w:t>
      </w:r>
      <w:r>
        <w:rPr>
          <w:lang w:val="fr-FR"/>
        </w:rPr>
        <w:t>l’</w:t>
      </w:r>
      <w:proofErr w:type="spellStart"/>
      <w:r>
        <w:rPr>
          <w:lang w:val="fr-FR"/>
        </w:rPr>
        <w:t>léboration</w:t>
      </w:r>
      <w:proofErr w:type="spellEnd"/>
      <w:r>
        <w:rPr>
          <w:lang w:val="fr-FR"/>
        </w:rPr>
        <w:t xml:space="preserve"> de </w:t>
      </w:r>
      <w:r w:rsidR="007535B7">
        <w:rPr>
          <w:lang w:val="fr-FR"/>
        </w:rPr>
        <w:t>messages stratégiques et harmonisés entre tous et la communication fluide avec les Commissaires</w:t>
      </w:r>
      <w:r w:rsidR="0058339E" w:rsidRPr="0065162D">
        <w:rPr>
          <w:lang w:val="fr-FR"/>
        </w:rPr>
        <w:t>.</w:t>
      </w:r>
      <w:r w:rsidR="00C326D1" w:rsidRPr="0065162D">
        <w:rPr>
          <w:lang w:val="fr-FR"/>
        </w:rPr>
        <w:t xml:space="preserve"> </w:t>
      </w:r>
    </w:p>
    <w:p w14:paraId="7482A656" w14:textId="77777777" w:rsidR="007A79BB" w:rsidRPr="0065162D" w:rsidRDefault="007A79BB" w:rsidP="0065162D">
      <w:pPr>
        <w:jc w:val="both"/>
        <w:rPr>
          <w:lang w:val="fr-FR"/>
        </w:rPr>
      </w:pPr>
    </w:p>
    <w:p w14:paraId="57E6CC00" w14:textId="725EC711" w:rsidR="00D95B87" w:rsidRDefault="00821499" w:rsidP="00556499">
      <w:pPr>
        <w:jc w:val="both"/>
        <w:rPr>
          <w:lang w:val="fr-FR"/>
        </w:rPr>
      </w:pPr>
      <w:r>
        <w:rPr>
          <w:lang w:val="fr-FR"/>
        </w:rPr>
        <w:t xml:space="preserve">Dans le cadre du projet et pour faciliter la coordination et les synergies avec d’autres intervenants, </w:t>
      </w:r>
      <w:r w:rsidRPr="006244D1">
        <w:rPr>
          <w:lang w:val="fr-FR"/>
        </w:rPr>
        <w:t>un groupe de coordination des partenaires techniques et financiers qui viennent en appui à la CVJRR</w:t>
      </w:r>
      <w:r>
        <w:rPr>
          <w:lang w:val="fr-FR"/>
        </w:rPr>
        <w:t xml:space="preserve"> est établi. Il regroupe le PNUD, OHCHR, ONU Femmes, </w:t>
      </w:r>
      <w:r w:rsidR="00064297">
        <w:rPr>
          <w:lang w:val="fr-FR"/>
        </w:rPr>
        <w:t xml:space="preserve">le </w:t>
      </w:r>
      <w:r>
        <w:rPr>
          <w:lang w:val="fr-FR"/>
        </w:rPr>
        <w:t>Centre pour le Dialogue Humanitaire</w:t>
      </w:r>
      <w:r w:rsidR="00064297">
        <w:rPr>
          <w:lang w:val="fr-FR"/>
        </w:rPr>
        <w:t xml:space="preserve"> et l’</w:t>
      </w:r>
      <w:r>
        <w:rPr>
          <w:lang w:val="fr-FR"/>
        </w:rPr>
        <w:t>Institut Francophone pour la Justice et la Démocratie (IFJD)</w:t>
      </w:r>
      <w:r w:rsidRPr="006244D1">
        <w:rPr>
          <w:lang w:val="fr-FR"/>
        </w:rPr>
        <w:t xml:space="preserve">. </w:t>
      </w:r>
    </w:p>
    <w:p w14:paraId="14333D59" w14:textId="77777777" w:rsidR="00F004BF" w:rsidRPr="005D15A3" w:rsidRDefault="00F004BF" w:rsidP="00556499">
      <w:pPr>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A1620" w:rsidRPr="007535B7">
        <w:rPr>
          <w:b/>
          <w:bCs/>
          <w:color w:val="000000"/>
          <w:lang w:val="fr-FR" w:eastAsia="en-US"/>
        </w:rPr>
        <w:t>résultat</w:t>
      </w:r>
      <w:r w:rsidR="00BA1620" w:rsidRPr="007535B7">
        <w:rPr>
          <w:b/>
          <w:lang w:val="fr-FR"/>
        </w:rPr>
        <w:t xml:space="preserve"> :</w:t>
      </w:r>
      <w:r w:rsidRPr="007535B7">
        <w:rPr>
          <w:b/>
          <w:lang w:val="fr-FR"/>
        </w:rPr>
        <w:t xml:space="preserve"> </w:t>
      </w:r>
      <w:r w:rsidRPr="007535B7">
        <w:rPr>
          <w:i/>
          <w:lang w:val="fr-FR"/>
        </w:rPr>
        <w:t>(</w:t>
      </w:r>
      <w:r w:rsidRPr="007535B7">
        <w:rPr>
          <w:rFonts w:ascii="inherit" w:hAnsi="inherit"/>
          <w:color w:val="212121"/>
          <w:lang w:val="fr-FR"/>
        </w:rPr>
        <w:t>Limite de 1000 caractères</w:t>
      </w:r>
      <w:r w:rsidRPr="007535B7">
        <w:rPr>
          <w:i/>
          <w:lang w:val="fr-FR"/>
        </w:rPr>
        <w:t>)</w:t>
      </w:r>
    </w:p>
    <w:p w14:paraId="0CC54698" w14:textId="77777777" w:rsidR="00F004BF" w:rsidRPr="00D53328" w:rsidRDefault="00F004BF" w:rsidP="00F004BF">
      <w:pPr>
        <w:ind w:left="-720"/>
        <w:jc w:val="both"/>
        <w:rPr>
          <w:b/>
          <w:lang w:val="fr-FR"/>
        </w:rPr>
      </w:pPr>
    </w:p>
    <w:p w14:paraId="6E957F4C" w14:textId="7D2652AC" w:rsidR="007D1798" w:rsidRPr="007535B7" w:rsidRDefault="00722464" w:rsidP="007535B7">
      <w:pPr>
        <w:jc w:val="both"/>
        <w:rPr>
          <w:lang w:val="fr-FR"/>
        </w:rPr>
      </w:pPr>
      <w:bookmarkStart w:id="8" w:name="_Hlk76053351"/>
      <w:r w:rsidRPr="007535B7">
        <w:rPr>
          <w:lang w:val="fr-FR"/>
        </w:rPr>
        <w:t xml:space="preserve">Telle que prévue </w:t>
      </w:r>
      <w:r w:rsidR="00892D59">
        <w:rPr>
          <w:lang w:val="fr-FR"/>
        </w:rPr>
        <w:t>par la loi sur la parité</w:t>
      </w:r>
      <w:r w:rsidRPr="007535B7">
        <w:rPr>
          <w:lang w:val="fr-FR"/>
        </w:rPr>
        <w:t xml:space="preserve">, la CVJRR compte </w:t>
      </w:r>
      <w:r w:rsidR="00892D59">
        <w:rPr>
          <w:lang w:val="fr-FR"/>
        </w:rPr>
        <w:t>5</w:t>
      </w:r>
      <w:r w:rsidR="00892D59" w:rsidRPr="007535B7">
        <w:rPr>
          <w:lang w:val="fr-FR"/>
        </w:rPr>
        <w:t xml:space="preserve"> </w:t>
      </w:r>
      <w:r w:rsidRPr="007535B7">
        <w:rPr>
          <w:lang w:val="fr-FR"/>
        </w:rPr>
        <w:t>Commissaires femmes en son sein</w:t>
      </w:r>
      <w:r w:rsidR="00892D59">
        <w:rPr>
          <w:lang w:val="fr-FR"/>
        </w:rPr>
        <w:t>,</w:t>
      </w:r>
      <w:r w:rsidRPr="007535B7">
        <w:rPr>
          <w:lang w:val="fr-FR"/>
        </w:rPr>
        <w:t xml:space="preserve"> </w:t>
      </w:r>
      <w:r w:rsidR="00EB3173" w:rsidRPr="007535B7">
        <w:rPr>
          <w:lang w:val="fr-FR"/>
        </w:rPr>
        <w:t>ce qui permet d’assurer l</w:t>
      </w:r>
      <w:r w:rsidRPr="007535B7">
        <w:rPr>
          <w:lang w:val="fr-FR"/>
        </w:rPr>
        <w:t xml:space="preserve">a représentation et la participation des femmes </w:t>
      </w:r>
      <w:r w:rsidR="001A5899" w:rsidRPr="007535B7">
        <w:rPr>
          <w:lang w:val="fr-FR"/>
        </w:rPr>
        <w:t xml:space="preserve">aux travaux </w:t>
      </w:r>
      <w:r w:rsidRPr="007535B7">
        <w:rPr>
          <w:lang w:val="fr-FR"/>
        </w:rPr>
        <w:t>de la Commission</w:t>
      </w:r>
      <w:r w:rsidR="00EB3173" w:rsidRPr="007535B7">
        <w:rPr>
          <w:lang w:val="fr-FR"/>
        </w:rPr>
        <w:t xml:space="preserve">. </w:t>
      </w:r>
      <w:r w:rsidR="004F4A4E" w:rsidRPr="007535B7">
        <w:rPr>
          <w:lang w:val="fr-FR"/>
        </w:rPr>
        <w:t>C’est une femme qui occupe les</w:t>
      </w:r>
      <w:r w:rsidR="00F04B9C" w:rsidRPr="007535B7">
        <w:rPr>
          <w:lang w:val="fr-FR"/>
        </w:rPr>
        <w:t xml:space="preserve"> fonctions de Présidente de la CVJRR. </w:t>
      </w:r>
      <w:r w:rsidR="00EB3173" w:rsidRPr="007535B7">
        <w:rPr>
          <w:lang w:val="fr-FR"/>
        </w:rPr>
        <w:t xml:space="preserve"> </w:t>
      </w:r>
    </w:p>
    <w:p w14:paraId="2197FB26" w14:textId="77777777" w:rsidR="00F04B9C" w:rsidRPr="007535B7" w:rsidRDefault="00F04B9C" w:rsidP="007535B7">
      <w:pPr>
        <w:jc w:val="both"/>
        <w:rPr>
          <w:lang w:val="fr-FR"/>
        </w:rPr>
      </w:pPr>
    </w:p>
    <w:p w14:paraId="629A36C5" w14:textId="2EE538A5" w:rsidR="00722464" w:rsidRPr="007535B7" w:rsidRDefault="00F04B9C" w:rsidP="007535B7">
      <w:pPr>
        <w:jc w:val="both"/>
        <w:rPr>
          <w:lang w:val="fr-FR"/>
        </w:rPr>
      </w:pPr>
      <w:r w:rsidRPr="007535B7">
        <w:rPr>
          <w:lang w:val="fr-FR"/>
        </w:rPr>
        <w:t xml:space="preserve">Une attention </w:t>
      </w:r>
      <w:r w:rsidR="00E561AF" w:rsidRPr="007535B7">
        <w:rPr>
          <w:lang w:val="fr-FR"/>
        </w:rPr>
        <w:t xml:space="preserve">particulière sera portée à la participation des femmes et des jeunes filles </w:t>
      </w:r>
      <w:r w:rsidRPr="007535B7">
        <w:rPr>
          <w:lang w:val="fr-FR"/>
        </w:rPr>
        <w:t>dans les activités menées par la CVJRR</w:t>
      </w:r>
      <w:r w:rsidR="005B7BDB">
        <w:rPr>
          <w:lang w:val="fr-FR"/>
        </w:rPr>
        <w:t xml:space="preserve"> (cf. résultat 4)</w:t>
      </w:r>
      <w:r w:rsidRPr="007535B7">
        <w:rPr>
          <w:lang w:val="fr-FR"/>
        </w:rPr>
        <w:t>, y compris dans l’élaboration des documents stratégiques et opérationnels ainsi qu’</w:t>
      </w:r>
      <w:r w:rsidR="00E561AF" w:rsidRPr="007535B7">
        <w:rPr>
          <w:lang w:val="fr-FR"/>
        </w:rPr>
        <w:t>à la prise en compte de leurs besoins spécifiques. Des discussi</w:t>
      </w:r>
      <w:r w:rsidR="004F4A4E" w:rsidRPr="007535B7">
        <w:rPr>
          <w:lang w:val="fr-FR"/>
        </w:rPr>
        <w:t>ons</w:t>
      </w:r>
      <w:r w:rsidR="00E561AF" w:rsidRPr="007535B7">
        <w:rPr>
          <w:lang w:val="fr-FR"/>
        </w:rPr>
        <w:t xml:space="preserve"> sont en cours </w:t>
      </w:r>
      <w:r w:rsidR="004F4A4E" w:rsidRPr="007535B7">
        <w:rPr>
          <w:lang w:val="fr-FR"/>
        </w:rPr>
        <w:t>pour la création d’</w:t>
      </w:r>
      <w:r w:rsidR="00E561AF" w:rsidRPr="007535B7">
        <w:rPr>
          <w:lang w:val="fr-FR"/>
        </w:rPr>
        <w:t>une sous-commission genre</w:t>
      </w:r>
      <w:r w:rsidR="00194EFE" w:rsidRPr="007535B7">
        <w:rPr>
          <w:lang w:val="fr-FR"/>
        </w:rPr>
        <w:t xml:space="preserve">, notamment pour </w:t>
      </w:r>
      <w:r w:rsidR="00E561AF" w:rsidRPr="007535B7">
        <w:rPr>
          <w:lang w:val="fr-FR"/>
        </w:rPr>
        <w:t xml:space="preserve">analyser les dynamiques </w:t>
      </w:r>
      <w:r w:rsidR="004F4A4E" w:rsidRPr="007535B7">
        <w:rPr>
          <w:lang w:val="fr-FR"/>
        </w:rPr>
        <w:t xml:space="preserve">et </w:t>
      </w:r>
      <w:r w:rsidR="00E561AF" w:rsidRPr="007535B7">
        <w:rPr>
          <w:lang w:val="fr-FR"/>
        </w:rPr>
        <w:t xml:space="preserve">les impacts du conflit </w:t>
      </w:r>
      <w:r w:rsidR="004F4A4E" w:rsidRPr="007535B7">
        <w:rPr>
          <w:lang w:val="fr-FR"/>
        </w:rPr>
        <w:t>selon une perspective sensible au genre</w:t>
      </w:r>
      <w:r w:rsidR="00D05EBB" w:rsidRPr="007535B7">
        <w:rPr>
          <w:lang w:val="fr-FR"/>
        </w:rPr>
        <w:t xml:space="preserve">. </w:t>
      </w:r>
      <w:r w:rsidR="00E561AF" w:rsidRPr="007535B7">
        <w:rPr>
          <w:lang w:val="fr-FR"/>
        </w:rPr>
        <w:t xml:space="preserve">L’étude menée sur les modalités de réparation </w:t>
      </w:r>
      <w:r w:rsidR="00D05EBB" w:rsidRPr="007535B7">
        <w:rPr>
          <w:lang w:val="fr-FR"/>
        </w:rPr>
        <w:t xml:space="preserve">accorde une attention particulière aux femmes et aux filles. </w:t>
      </w:r>
      <w:r w:rsidR="004F4A4E" w:rsidRPr="007535B7">
        <w:rPr>
          <w:lang w:val="fr-FR"/>
        </w:rPr>
        <w:t xml:space="preserve">Les </w:t>
      </w:r>
      <w:r w:rsidR="006610AF" w:rsidRPr="007535B7">
        <w:rPr>
          <w:lang w:val="fr-FR"/>
        </w:rPr>
        <w:t>conclusions pourront être utilisées et approfondies par la sous-commission réparations dans le cadre de l’é</w:t>
      </w:r>
      <w:r w:rsidR="004F4A4E" w:rsidRPr="007535B7">
        <w:rPr>
          <w:lang w:val="fr-FR"/>
        </w:rPr>
        <w:t>laboration</w:t>
      </w:r>
      <w:r w:rsidR="006610AF" w:rsidRPr="007535B7">
        <w:rPr>
          <w:lang w:val="fr-FR"/>
        </w:rPr>
        <w:t xml:space="preserve"> d’un programme national de réparation</w:t>
      </w:r>
      <w:r w:rsidR="004F4A4E" w:rsidRPr="007535B7">
        <w:rPr>
          <w:lang w:val="fr-FR"/>
        </w:rPr>
        <w:t>s.</w:t>
      </w:r>
      <w:r w:rsidR="006610AF" w:rsidRPr="007535B7">
        <w:rPr>
          <w:lang w:val="fr-FR"/>
        </w:rPr>
        <w:t xml:space="preserve"> </w:t>
      </w:r>
    </w:p>
    <w:bookmarkEnd w:id="8"/>
    <w:p w14:paraId="1F3A778A" w14:textId="77777777" w:rsidR="00F004BF" w:rsidRPr="00D53328" w:rsidRDefault="00F004BF" w:rsidP="00F004BF">
      <w:pPr>
        <w:ind w:left="-720"/>
        <w:jc w:val="both"/>
        <w:rPr>
          <w:b/>
          <w:lang w:val="fr-FR"/>
        </w:rPr>
      </w:pPr>
    </w:p>
    <w:p w14:paraId="2108A72D" w14:textId="77777777" w:rsidR="00F004BF" w:rsidRPr="00615EA3" w:rsidRDefault="00F004BF" w:rsidP="00105C25">
      <w:pPr>
        <w:jc w:val="both"/>
        <w:rPr>
          <w:b/>
          <w:lang w:val="fr-FR"/>
        </w:rPr>
      </w:pPr>
      <w:r w:rsidRPr="00615EA3">
        <w:rPr>
          <w:b/>
          <w:u w:val="single"/>
          <w:lang w:val="fr-FR"/>
        </w:rPr>
        <w:t xml:space="preserve">Résultat </w:t>
      </w:r>
      <w:r w:rsidR="00011620">
        <w:rPr>
          <w:b/>
          <w:u w:val="single"/>
          <w:lang w:val="fr-FR"/>
        </w:rPr>
        <w:t>4</w:t>
      </w:r>
      <w:r w:rsidR="00011620" w:rsidRPr="00615EA3">
        <w:rPr>
          <w:b/>
          <w:u w:val="single"/>
          <w:lang w:val="fr-FR"/>
        </w:rPr>
        <w:t xml:space="preserve"> :</w:t>
      </w:r>
      <w:r w:rsidRPr="00615EA3">
        <w:rPr>
          <w:b/>
          <w:lang w:val="fr-FR"/>
        </w:rPr>
        <w:t xml:space="preserve"> </w:t>
      </w:r>
      <w:r w:rsidRPr="00636E71">
        <w:rPr>
          <w:b/>
          <w:bCs/>
          <w:lang w:val="fr-FR"/>
        </w:rPr>
        <w:t>Les institutions de l’architecture de la justice transitionnelle en RCA ont les capacités techniques et opérationnelles pour assurer l’accès des femmes à la justice et à la vérité, et les organisations féminines ont les capacités requises pour fournir un appui psychosocial aux victimes</w:t>
      </w:r>
    </w:p>
    <w:p w14:paraId="64022C1B" w14:textId="77777777" w:rsidR="00F004BF" w:rsidRPr="00615EA3" w:rsidRDefault="00F004BF" w:rsidP="00F004BF">
      <w:pPr>
        <w:ind w:left="-720"/>
        <w:jc w:val="both"/>
        <w:rPr>
          <w:b/>
          <w:lang w:val="fr-FR"/>
        </w:rPr>
      </w:pPr>
    </w:p>
    <w:p w14:paraId="426301F1" w14:textId="67D3458F" w:rsidR="00F004BF" w:rsidRPr="00207CD2" w:rsidRDefault="00F004BF" w:rsidP="00207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207CD2">
        <w:rPr>
          <w:lang w:val="fr-FR"/>
        </w:rPr>
        <w:t xml:space="preserve">Veuillez évaluer l'état actuel des progrès du </w:t>
      </w:r>
      <w:r w:rsidR="0097112B" w:rsidRPr="00207CD2">
        <w:rPr>
          <w:lang w:val="fr-FR"/>
        </w:rPr>
        <w:t>résultat :</w:t>
      </w:r>
      <w:r w:rsidRPr="00207CD2">
        <w:rPr>
          <w:lang w:val="fr-FR"/>
        </w:rPr>
        <w:t xml:space="preserve"> </w:t>
      </w:r>
      <w:r w:rsidR="00A27FF5" w:rsidRPr="00207CD2">
        <w:rPr>
          <w:b/>
          <w:bCs/>
          <w:lang w:val="fr-FR"/>
        </w:rPr>
        <w:t>O</w:t>
      </w:r>
      <w:r w:rsidR="00207CD2" w:rsidRPr="00207CD2">
        <w:rPr>
          <w:b/>
          <w:bCs/>
          <w:lang w:val="fr-FR"/>
        </w:rPr>
        <w:t>N TRACK</w:t>
      </w:r>
    </w:p>
    <w:p w14:paraId="6B4E573C" w14:textId="77777777" w:rsidR="00F004BF" w:rsidRPr="005D15A3" w:rsidRDefault="00F004BF" w:rsidP="00F004BF">
      <w:pPr>
        <w:ind w:left="-720"/>
        <w:jc w:val="both"/>
        <w:rPr>
          <w:b/>
          <w:lang w:val="fr-FR"/>
        </w:rPr>
      </w:pPr>
    </w:p>
    <w:p w14:paraId="37758D16" w14:textId="77777777" w:rsidR="003828F8" w:rsidRDefault="00BA1620" w:rsidP="00207CD2">
      <w:pPr>
        <w:ind w:left="-720" w:firstLine="720"/>
        <w:jc w:val="both"/>
        <w:rPr>
          <w:rFonts w:ascii="inherit" w:hAnsi="inherit"/>
          <w:color w:val="212121"/>
          <w:lang w:val="fr-FR"/>
        </w:rPr>
      </w:pPr>
      <w:r w:rsidRPr="005D15A3">
        <w:rPr>
          <w:b/>
          <w:lang w:val="fr-FR"/>
        </w:rPr>
        <w:t>Résumé</w:t>
      </w:r>
      <w:r w:rsidR="00F004BF" w:rsidRPr="005D15A3">
        <w:rPr>
          <w:b/>
          <w:lang w:val="fr-FR"/>
        </w:rPr>
        <w:t xml:space="preserve"> de </w:t>
      </w:r>
      <w:r w:rsidRPr="005B7BDB">
        <w:rPr>
          <w:rFonts w:ascii="inherit" w:hAnsi="inherit"/>
          <w:b/>
          <w:bCs/>
          <w:color w:val="212121"/>
          <w:lang w:val="fr-FR"/>
        </w:rPr>
        <w:t>progrès</w:t>
      </w:r>
      <w:r w:rsidRPr="005B7BDB">
        <w:rPr>
          <w:b/>
          <w:lang w:val="fr-FR"/>
        </w:rPr>
        <w:t xml:space="preserve"> :</w:t>
      </w:r>
      <w:r w:rsidR="00F004BF" w:rsidRPr="005B7BDB">
        <w:rPr>
          <w:b/>
          <w:lang w:val="fr-FR"/>
        </w:rPr>
        <w:t xml:space="preserve"> </w:t>
      </w:r>
      <w:r w:rsidR="003828F8" w:rsidRPr="005B7BDB">
        <w:rPr>
          <w:rFonts w:ascii="inherit" w:hAnsi="inherit"/>
          <w:color w:val="212121"/>
          <w:lang w:val="fr-FR"/>
        </w:rPr>
        <w:t>(Limite de 3000 caractères)</w:t>
      </w:r>
    </w:p>
    <w:p w14:paraId="5233DADC" w14:textId="77777777" w:rsidR="00AB2C46" w:rsidRDefault="00AB2C46" w:rsidP="00473D3A">
      <w:pPr>
        <w:jc w:val="both"/>
        <w:rPr>
          <w:rFonts w:ascii="inherit" w:hAnsi="inherit"/>
          <w:color w:val="212121"/>
          <w:lang w:val="fr-FR"/>
        </w:rPr>
      </w:pPr>
    </w:p>
    <w:p w14:paraId="7EAA6D43" w14:textId="1F79FC80" w:rsidR="00037B29" w:rsidRPr="00801F5D" w:rsidRDefault="00801F5D" w:rsidP="00037B29">
      <w:pPr>
        <w:jc w:val="both"/>
        <w:rPr>
          <w:lang w:val="fr-FR"/>
        </w:rPr>
      </w:pPr>
      <w:bookmarkStart w:id="9" w:name="_Hlk76052260"/>
      <w:r>
        <w:rPr>
          <w:lang w:val="fr-FR"/>
        </w:rPr>
        <w:lastRenderedPageBreak/>
        <w:t>Durant la retraite stratégique de la CVJRR en septembr</w:t>
      </w:r>
      <w:r w:rsidR="00EA79B4">
        <w:rPr>
          <w:lang w:val="fr-FR"/>
        </w:rPr>
        <w:t>e 2021</w:t>
      </w:r>
      <w:r>
        <w:rPr>
          <w:lang w:val="fr-FR"/>
        </w:rPr>
        <w:t xml:space="preserve">, </w:t>
      </w:r>
      <w:r w:rsidR="00CB3172" w:rsidRPr="00801F5D">
        <w:rPr>
          <w:lang w:val="fr-FR"/>
        </w:rPr>
        <w:t xml:space="preserve">ONU Femmes </w:t>
      </w:r>
      <w:r>
        <w:rPr>
          <w:lang w:val="fr-FR"/>
        </w:rPr>
        <w:t>a</w:t>
      </w:r>
      <w:r w:rsidR="00CB3172" w:rsidRPr="00801F5D">
        <w:rPr>
          <w:lang w:val="fr-FR"/>
        </w:rPr>
        <w:t xml:space="preserve"> anim</w:t>
      </w:r>
      <w:r>
        <w:rPr>
          <w:lang w:val="fr-FR"/>
        </w:rPr>
        <w:t>é</w:t>
      </w:r>
      <w:r w:rsidR="00CB3172" w:rsidRPr="00801F5D">
        <w:rPr>
          <w:lang w:val="fr-FR"/>
        </w:rPr>
        <w:t xml:space="preserve"> conjointement avec ICTJ </w:t>
      </w:r>
      <w:r>
        <w:rPr>
          <w:lang w:val="fr-FR"/>
        </w:rPr>
        <w:t>et les Commissaires du Mali et du Togo le</w:t>
      </w:r>
      <w:r w:rsidR="00CB3172" w:rsidRPr="00801F5D">
        <w:rPr>
          <w:lang w:val="fr-FR"/>
        </w:rPr>
        <w:t xml:space="preserve"> module de formation sur le genre. </w:t>
      </w:r>
      <w:r w:rsidR="00037B29">
        <w:rPr>
          <w:lang w:val="fr-FR"/>
        </w:rPr>
        <w:t xml:space="preserve">Les échanges </w:t>
      </w:r>
      <w:r w:rsidR="00EA79B4">
        <w:rPr>
          <w:lang w:val="fr-FR"/>
        </w:rPr>
        <w:t xml:space="preserve">se poursuivent avec le </w:t>
      </w:r>
      <w:r w:rsidR="00037B29">
        <w:rPr>
          <w:lang w:val="fr-FR"/>
        </w:rPr>
        <w:t>Bureau de la</w:t>
      </w:r>
      <w:r w:rsidR="00037B29" w:rsidRPr="00801F5D">
        <w:rPr>
          <w:lang w:val="fr-FR"/>
        </w:rPr>
        <w:t xml:space="preserve"> CVJRR pour l’élaboration d’un manuel genre. </w:t>
      </w:r>
    </w:p>
    <w:p w14:paraId="11C5B714" w14:textId="77777777" w:rsidR="00037B29" w:rsidRDefault="00037B29" w:rsidP="00801F5D">
      <w:pPr>
        <w:jc w:val="both"/>
        <w:rPr>
          <w:lang w:val="fr-FR"/>
        </w:rPr>
      </w:pPr>
    </w:p>
    <w:p w14:paraId="2CD0B3EA" w14:textId="77777777" w:rsidR="00037B29" w:rsidRPr="00801F5D" w:rsidRDefault="00037B29" w:rsidP="00037B29">
      <w:pPr>
        <w:spacing w:after="160"/>
        <w:jc w:val="both"/>
        <w:rPr>
          <w:lang w:val="fr-FR"/>
        </w:rPr>
      </w:pPr>
      <w:r w:rsidRPr="00801F5D">
        <w:rPr>
          <w:lang w:val="fr-FR"/>
        </w:rPr>
        <w:t xml:space="preserve">Les mécanismes d’appui aux victimes mis en place à travers les </w:t>
      </w:r>
      <w:r>
        <w:rPr>
          <w:lang w:val="fr-FR"/>
        </w:rPr>
        <w:t xml:space="preserve">9 </w:t>
      </w:r>
      <w:r w:rsidRPr="00801F5D">
        <w:rPr>
          <w:lang w:val="fr-FR"/>
        </w:rPr>
        <w:t xml:space="preserve">centres d’écoute </w:t>
      </w:r>
      <w:r>
        <w:rPr>
          <w:lang w:val="fr-FR"/>
        </w:rPr>
        <w:t>et les</w:t>
      </w:r>
      <w:r w:rsidRPr="00801F5D">
        <w:rPr>
          <w:lang w:val="fr-FR"/>
        </w:rPr>
        <w:t xml:space="preserve"> </w:t>
      </w:r>
      <w:r>
        <w:rPr>
          <w:lang w:val="fr-FR"/>
        </w:rPr>
        <w:t xml:space="preserve">18 </w:t>
      </w:r>
      <w:r w:rsidRPr="00801F5D">
        <w:rPr>
          <w:lang w:val="fr-FR"/>
        </w:rPr>
        <w:t>relais communautaires sont toujours fonctionnels</w:t>
      </w:r>
      <w:r>
        <w:rPr>
          <w:lang w:val="fr-FR"/>
        </w:rPr>
        <w:t xml:space="preserve">. Ils </w:t>
      </w:r>
      <w:r w:rsidRPr="00801F5D">
        <w:rPr>
          <w:lang w:val="fr-FR"/>
        </w:rPr>
        <w:t>continuent de faciliter l’accès des victimes aux services de prise en charge psycho</w:t>
      </w:r>
      <w:r>
        <w:rPr>
          <w:lang w:val="fr-FR"/>
        </w:rPr>
        <w:t>sociale</w:t>
      </w:r>
      <w:r w:rsidRPr="00801F5D">
        <w:rPr>
          <w:lang w:val="fr-FR"/>
        </w:rPr>
        <w:t>. En 2021, 714 victimes/survivant(e)s de violences basées sur le genre et autres formes de violations des droits humains (dont 95% sont femmes) ont bénéficié de service d’appui psychosocial</w:t>
      </w:r>
      <w:r>
        <w:rPr>
          <w:lang w:val="fr-FR"/>
        </w:rPr>
        <w:t xml:space="preserve"> ce qui porte à </w:t>
      </w:r>
      <w:r w:rsidRPr="00801F5D">
        <w:rPr>
          <w:lang w:val="fr-FR"/>
        </w:rPr>
        <w:t xml:space="preserve">2384 </w:t>
      </w:r>
      <w:r>
        <w:rPr>
          <w:lang w:val="fr-FR"/>
        </w:rPr>
        <w:t>le nombre de personnes ayant bénéficié d’un appui du projet</w:t>
      </w:r>
      <w:r w:rsidRPr="00801F5D">
        <w:rPr>
          <w:lang w:val="fr-FR"/>
        </w:rPr>
        <w:t>. Les mécanismes de référencement instauré</w:t>
      </w:r>
      <w:r>
        <w:rPr>
          <w:lang w:val="fr-FR"/>
        </w:rPr>
        <w:t>s</w:t>
      </w:r>
      <w:r w:rsidRPr="00801F5D">
        <w:rPr>
          <w:lang w:val="fr-FR"/>
        </w:rPr>
        <w:t xml:space="preserve"> entre les cliniques juridiques de </w:t>
      </w:r>
      <w:r>
        <w:rPr>
          <w:lang w:val="fr-FR"/>
        </w:rPr>
        <w:t xml:space="preserve">du projet ou </w:t>
      </w:r>
      <w:r w:rsidRPr="00801F5D">
        <w:rPr>
          <w:lang w:val="fr-FR"/>
        </w:rPr>
        <w:t xml:space="preserve">d’autres acteurs </w:t>
      </w:r>
      <w:r>
        <w:rPr>
          <w:lang w:val="fr-FR"/>
        </w:rPr>
        <w:t>(</w:t>
      </w:r>
      <w:r w:rsidRPr="00801F5D">
        <w:rPr>
          <w:lang w:val="fr-FR"/>
        </w:rPr>
        <w:t>comme l’Association du Barreau Américain, Avocat sans Frontières, et l’UMIRR</w:t>
      </w:r>
      <w:r>
        <w:rPr>
          <w:lang w:val="fr-FR"/>
        </w:rPr>
        <w:t>)</w:t>
      </w:r>
      <w:r w:rsidRPr="00801F5D">
        <w:rPr>
          <w:lang w:val="fr-FR"/>
        </w:rPr>
        <w:t xml:space="preserve"> ont permis de </w:t>
      </w:r>
      <w:proofErr w:type="spellStart"/>
      <w:r w:rsidRPr="00801F5D">
        <w:rPr>
          <w:lang w:val="fr-FR"/>
        </w:rPr>
        <w:t>référerer</w:t>
      </w:r>
      <w:proofErr w:type="spellEnd"/>
      <w:r w:rsidRPr="00801F5D">
        <w:rPr>
          <w:lang w:val="fr-FR"/>
        </w:rPr>
        <w:t xml:space="preserve"> 219 victimes/survivant(e)s pour </w:t>
      </w:r>
      <w:r>
        <w:rPr>
          <w:lang w:val="fr-FR"/>
        </w:rPr>
        <w:t xml:space="preserve">la </w:t>
      </w:r>
      <w:r w:rsidRPr="00801F5D">
        <w:rPr>
          <w:lang w:val="fr-FR"/>
        </w:rPr>
        <w:t>prise en charge juridique</w:t>
      </w:r>
      <w:r>
        <w:rPr>
          <w:lang w:val="fr-FR"/>
        </w:rPr>
        <w:t xml:space="preserve"> en 2021</w:t>
      </w:r>
      <w:r w:rsidRPr="00801F5D">
        <w:rPr>
          <w:lang w:val="fr-FR"/>
        </w:rPr>
        <w:t>, soit un total de 1 118 victimes/survivant(e)s</w:t>
      </w:r>
      <w:r>
        <w:rPr>
          <w:lang w:val="fr-FR"/>
        </w:rPr>
        <w:t>.</w:t>
      </w:r>
      <w:r w:rsidRPr="00801F5D">
        <w:rPr>
          <w:lang w:val="fr-FR"/>
        </w:rPr>
        <w:t xml:space="preserve"> </w:t>
      </w:r>
    </w:p>
    <w:p w14:paraId="657EF551" w14:textId="7AC943F2" w:rsidR="00037B29" w:rsidRDefault="00037B29" w:rsidP="00037B29">
      <w:pPr>
        <w:jc w:val="both"/>
        <w:rPr>
          <w:lang w:val="fr-FR"/>
        </w:rPr>
      </w:pPr>
      <w:r w:rsidRPr="00801F5D">
        <w:rPr>
          <w:lang w:val="fr-FR"/>
        </w:rPr>
        <w:t xml:space="preserve">L’étude sur l’accès des femmes à la justice a été lancée et le draft du rapport est rendu. Il est actuellement soumis à l’examen des partenaires techniques du projet et sera validé </w:t>
      </w:r>
      <w:r w:rsidR="00FD2C86">
        <w:rPr>
          <w:lang w:val="fr-FR"/>
        </w:rPr>
        <w:t>fin</w:t>
      </w:r>
      <w:r w:rsidRPr="00801F5D">
        <w:rPr>
          <w:lang w:val="fr-FR"/>
        </w:rPr>
        <w:t xml:space="preserve"> Novembre 2021. Cette étude permettra de formuler des recommandations et solutions concrètes d’améliorer et de renforcer l’accès des femmes à la justice en RCA</w:t>
      </w:r>
      <w:r>
        <w:rPr>
          <w:lang w:val="fr-FR"/>
        </w:rPr>
        <w:t>, tout en comblant</w:t>
      </w:r>
      <w:r w:rsidRPr="00801F5D">
        <w:rPr>
          <w:lang w:val="fr-FR"/>
        </w:rPr>
        <w:t xml:space="preserve"> aussi le gap en connaissances </w:t>
      </w:r>
      <w:r>
        <w:rPr>
          <w:lang w:val="fr-FR"/>
        </w:rPr>
        <w:t>identifié</w:t>
      </w:r>
      <w:r w:rsidRPr="00801F5D">
        <w:rPr>
          <w:lang w:val="fr-FR"/>
        </w:rPr>
        <w:t xml:space="preserve"> dans la politique sectorielle de la justice.</w:t>
      </w:r>
    </w:p>
    <w:p w14:paraId="3916A9E7" w14:textId="77777777" w:rsidR="00037B29" w:rsidRDefault="00037B29" w:rsidP="00801F5D">
      <w:pPr>
        <w:jc w:val="both"/>
        <w:rPr>
          <w:lang w:val="fr-FR"/>
        </w:rPr>
      </w:pPr>
    </w:p>
    <w:p w14:paraId="6E086BEB" w14:textId="690D2A25" w:rsidR="00CB3172" w:rsidRPr="00801F5D" w:rsidRDefault="00CB3172" w:rsidP="00801F5D">
      <w:pPr>
        <w:jc w:val="both"/>
        <w:rPr>
          <w:lang w:val="fr-FR"/>
        </w:rPr>
      </w:pPr>
      <w:r w:rsidRPr="00801F5D">
        <w:rPr>
          <w:lang w:val="fr-FR"/>
        </w:rPr>
        <w:t xml:space="preserve">Deux missions de suivi et de renforcement des capacités des femmes à Sibut et </w:t>
      </w:r>
      <w:proofErr w:type="spellStart"/>
      <w:r w:rsidRPr="00801F5D">
        <w:rPr>
          <w:lang w:val="fr-FR"/>
        </w:rPr>
        <w:t>Boda</w:t>
      </w:r>
      <w:proofErr w:type="spellEnd"/>
      <w:r w:rsidRPr="00801F5D">
        <w:rPr>
          <w:lang w:val="fr-FR"/>
        </w:rPr>
        <w:t xml:space="preserve"> ont permis d’assurer non seulement le suivi de la mise en œuvre des activités du projet, mais d’échanger avec 100 femmes sur leurs droits et les mécanismes établis pour faciliter l’accès à la justice.</w:t>
      </w:r>
    </w:p>
    <w:p w14:paraId="25491F6C" w14:textId="77777777" w:rsidR="00801F5D" w:rsidRDefault="00801F5D" w:rsidP="00801F5D">
      <w:pPr>
        <w:jc w:val="both"/>
        <w:rPr>
          <w:lang w:val="fr-FR"/>
        </w:rPr>
      </w:pPr>
    </w:p>
    <w:p w14:paraId="0EAAE829" w14:textId="77777777" w:rsidR="00472CFF" w:rsidRDefault="00CB3172" w:rsidP="00801F5D">
      <w:pPr>
        <w:jc w:val="both"/>
        <w:rPr>
          <w:lang w:val="fr-FR"/>
        </w:rPr>
      </w:pPr>
      <w:r w:rsidRPr="00801F5D">
        <w:rPr>
          <w:lang w:val="fr-FR"/>
        </w:rPr>
        <w:t xml:space="preserve">Dans le cadre de la célébration de de la journée internationale pour l’élimination des violences sexuelles en temps de conflit, l’ONU Femmes et la CPS en collaboration avec la Fondation Bouvier Garzon, ont réalisé une activité de sensibilisation qui a permis de regrouper 60 victimes de violences sexuelles autour des thématiques relatives aux droits des femmes et le fonctionnement des mécanismes de la justice transitionnelle dont la CPS et la CVJRR. </w:t>
      </w:r>
    </w:p>
    <w:p w14:paraId="0827FAEB" w14:textId="77777777" w:rsidR="00472CFF" w:rsidRDefault="00472CFF" w:rsidP="00801F5D">
      <w:pPr>
        <w:jc w:val="both"/>
        <w:rPr>
          <w:lang w:val="fr-FR"/>
        </w:rPr>
      </w:pPr>
    </w:p>
    <w:p w14:paraId="1E3650FE" w14:textId="008DE8ED" w:rsidR="00CB3172" w:rsidRPr="00801F5D" w:rsidRDefault="00CB3172" w:rsidP="00801F5D">
      <w:pPr>
        <w:jc w:val="both"/>
        <w:rPr>
          <w:lang w:val="fr-FR"/>
        </w:rPr>
      </w:pPr>
      <w:r w:rsidRPr="00801F5D">
        <w:rPr>
          <w:lang w:val="fr-FR"/>
        </w:rPr>
        <w:t xml:space="preserve">Des partenariats conclus avec les radios communautaires </w:t>
      </w:r>
      <w:r w:rsidR="00472CFF">
        <w:rPr>
          <w:lang w:val="fr-FR"/>
        </w:rPr>
        <w:t>ont été établis pour</w:t>
      </w:r>
      <w:r w:rsidRPr="00801F5D">
        <w:rPr>
          <w:lang w:val="fr-FR"/>
        </w:rPr>
        <w:t xml:space="preserve"> un changement </w:t>
      </w:r>
      <w:r w:rsidR="00472CFF">
        <w:rPr>
          <w:lang w:val="fr-FR"/>
        </w:rPr>
        <w:t xml:space="preserve">espéré </w:t>
      </w:r>
      <w:r w:rsidRPr="00801F5D">
        <w:rPr>
          <w:lang w:val="fr-FR"/>
        </w:rPr>
        <w:t xml:space="preserve">de comportement des communautés, notamment la perception des questions des droits humains des femmes, de la prévention des VSBG, et d’accès à la justice des victimes. Des sensibilisations réalisées par ces radios et les relais communautaires (porte par porte et campagne publique) sur les droits des femmes ont touchées plus de 88,500 personnes (selon les rapports des </w:t>
      </w:r>
      <w:proofErr w:type="spellStart"/>
      <w:r w:rsidRPr="00801F5D">
        <w:rPr>
          <w:lang w:val="fr-FR"/>
        </w:rPr>
        <w:t>ONGs</w:t>
      </w:r>
      <w:proofErr w:type="spellEnd"/>
      <w:r w:rsidRPr="00801F5D">
        <w:rPr>
          <w:lang w:val="fr-FR"/>
        </w:rPr>
        <w:t xml:space="preserve"> Levier Plus, IDD, GEPAD) et ont permis une prise de conscience des communautés et des leaders locaux sur le</w:t>
      </w:r>
      <w:r w:rsidR="00472CFF">
        <w:rPr>
          <w:lang w:val="fr-FR"/>
        </w:rPr>
        <w:t>ur</w:t>
      </w:r>
      <w:r w:rsidRPr="00801F5D">
        <w:rPr>
          <w:lang w:val="fr-FR"/>
        </w:rPr>
        <w:t xml:space="preserve"> rôle dans la protection des droits humains. </w:t>
      </w:r>
    </w:p>
    <w:p w14:paraId="0399B818" w14:textId="77777777" w:rsidR="00CB3172" w:rsidRPr="00801F5D" w:rsidRDefault="00CB3172" w:rsidP="00801F5D">
      <w:pPr>
        <w:jc w:val="both"/>
        <w:rPr>
          <w:lang w:val="fr-FR"/>
        </w:rPr>
      </w:pPr>
    </w:p>
    <w:bookmarkEnd w:id="9"/>
    <w:p w14:paraId="22DE0A16" w14:textId="77777777" w:rsidR="00F004BF" w:rsidRPr="00333214" w:rsidRDefault="00F004BF" w:rsidP="00473D3A">
      <w:pPr>
        <w:jc w:val="both"/>
        <w:rPr>
          <w:b/>
          <w:lang w:val="fr-FR"/>
        </w:rPr>
      </w:pPr>
    </w:p>
    <w:p w14:paraId="3B35C3DC" w14:textId="77777777" w:rsidR="00F004BF" w:rsidRPr="005D15A3" w:rsidRDefault="00F004BF" w:rsidP="00207CD2">
      <w:pPr>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w:t>
      </w:r>
      <w:r w:rsidRPr="001F17D4">
        <w:rPr>
          <w:b/>
          <w:bCs/>
          <w:color w:val="000000"/>
          <w:lang w:val="fr-FR" w:eastAsia="en-US"/>
        </w:rPr>
        <w:t xml:space="preserve">jeunes ont été assurées dans le cadre de ce </w:t>
      </w:r>
      <w:proofErr w:type="gramStart"/>
      <w:r w:rsidRPr="001F17D4">
        <w:rPr>
          <w:b/>
          <w:bCs/>
          <w:color w:val="000000"/>
          <w:lang w:val="fr-FR" w:eastAsia="en-US"/>
        </w:rPr>
        <w:t>résultat</w:t>
      </w:r>
      <w:r w:rsidRPr="001F17D4">
        <w:rPr>
          <w:b/>
          <w:lang w:val="fr-FR"/>
        </w:rPr>
        <w:t>:</w:t>
      </w:r>
      <w:proofErr w:type="gramEnd"/>
      <w:r w:rsidRPr="001F17D4">
        <w:rPr>
          <w:b/>
          <w:lang w:val="fr-FR"/>
        </w:rPr>
        <w:t xml:space="preserve"> </w:t>
      </w:r>
      <w:r w:rsidRPr="001F17D4">
        <w:rPr>
          <w:i/>
          <w:lang w:val="fr-FR"/>
        </w:rPr>
        <w:t>(</w:t>
      </w:r>
      <w:r w:rsidRPr="001F17D4">
        <w:rPr>
          <w:rFonts w:ascii="inherit" w:hAnsi="inherit"/>
          <w:color w:val="212121"/>
          <w:lang w:val="fr-FR"/>
        </w:rPr>
        <w:t>Limite de 1000 caractères</w:t>
      </w:r>
      <w:r w:rsidRPr="001F17D4">
        <w:rPr>
          <w:i/>
          <w:lang w:val="fr-FR"/>
        </w:rPr>
        <w:t>)</w:t>
      </w:r>
    </w:p>
    <w:p w14:paraId="262CB179" w14:textId="77777777" w:rsidR="00A6110D" w:rsidRPr="008F2372" w:rsidRDefault="00A6110D" w:rsidP="00F004BF">
      <w:pPr>
        <w:ind w:left="-720"/>
        <w:jc w:val="both"/>
        <w:rPr>
          <w:b/>
          <w:lang w:val="fr-FR"/>
        </w:rPr>
      </w:pPr>
    </w:p>
    <w:p w14:paraId="0F88EDF3" w14:textId="77777777" w:rsidR="00CF0047" w:rsidRPr="001F17D4" w:rsidRDefault="00CF0047" w:rsidP="001F17D4">
      <w:pPr>
        <w:jc w:val="both"/>
        <w:rPr>
          <w:lang w:val="fr-FR"/>
        </w:rPr>
      </w:pPr>
      <w:r w:rsidRPr="001F17D4">
        <w:rPr>
          <w:lang w:val="fr-FR"/>
        </w:rPr>
        <w:lastRenderedPageBreak/>
        <w:t xml:space="preserve">Le projet a permis une amélioration institutionnelle en matière de la participation des femmes aux mécanismes nationaux de consolidation de la paix et de résolution des conflits. La loi portant création et fonctionnement de la CVJRR est le premier texte juridique d’institutions ou structure de l’Etat à reprendre le principe de quota et c’est l’un des organes issus des recommandations de l’Accord Politique pour la Paix et la Réconciliation (APPR) </w:t>
      </w:r>
      <w:proofErr w:type="spellStart"/>
      <w:proofErr w:type="gramStart"/>
      <w:r w:rsidRPr="001F17D4">
        <w:rPr>
          <w:lang w:val="fr-FR"/>
        </w:rPr>
        <w:t>a</w:t>
      </w:r>
      <w:proofErr w:type="spellEnd"/>
      <w:proofErr w:type="gramEnd"/>
      <w:r w:rsidRPr="001F17D4">
        <w:rPr>
          <w:lang w:val="fr-FR"/>
        </w:rPr>
        <w:t xml:space="preserve"> avoir plus de 45% de représentativité des femmes.</w:t>
      </w:r>
    </w:p>
    <w:p w14:paraId="131D3E8C" w14:textId="77777777" w:rsidR="00CF0047" w:rsidRPr="001F17D4" w:rsidRDefault="00CF0047" w:rsidP="001F17D4">
      <w:pPr>
        <w:ind w:left="-720"/>
        <w:jc w:val="both"/>
        <w:rPr>
          <w:lang w:val="fr-FR"/>
        </w:rPr>
      </w:pPr>
    </w:p>
    <w:p w14:paraId="63F54E55" w14:textId="7F2AEFA5" w:rsidR="00CF0047" w:rsidRPr="001F17D4" w:rsidRDefault="00CF0047" w:rsidP="001F17D4">
      <w:pPr>
        <w:jc w:val="both"/>
        <w:rPr>
          <w:lang w:val="fr-FR"/>
        </w:rPr>
      </w:pPr>
      <w:r w:rsidRPr="001F17D4">
        <w:rPr>
          <w:lang w:val="fr-FR"/>
        </w:rPr>
        <w:t>La réussite d</w:t>
      </w:r>
      <w:r w:rsidR="00C17616">
        <w:rPr>
          <w:lang w:val="fr-FR"/>
        </w:rPr>
        <w:t>u</w:t>
      </w:r>
      <w:r w:rsidRPr="001F17D4">
        <w:rPr>
          <w:lang w:val="fr-FR"/>
        </w:rPr>
        <w:t xml:space="preserve"> plaidoyer auprès du Gouvernement et des femmes leaders ayant abouti au respect du principe de quota ont suscité une collaboration avec l’équipe de la CPS. La collaboration avec la CPS visera à informer les leaders féminins à susciter des candidatures féminines pendant les recrutements de la CPS</w:t>
      </w:r>
      <w:r w:rsidR="00C17616">
        <w:rPr>
          <w:lang w:val="fr-FR"/>
        </w:rPr>
        <w:t>,</w:t>
      </w:r>
      <w:r w:rsidRPr="001F17D4">
        <w:rPr>
          <w:lang w:val="fr-FR"/>
        </w:rPr>
        <w:t xml:space="preserve"> ainsi qu’à faire un plaidoyer auprès de l’équipe de la CPS pour la sensibilité genre de leur</w:t>
      </w:r>
      <w:r w:rsidR="00C17616">
        <w:rPr>
          <w:lang w:val="fr-FR"/>
        </w:rPr>
        <w:t>s</w:t>
      </w:r>
      <w:r w:rsidRPr="001F17D4">
        <w:rPr>
          <w:lang w:val="fr-FR"/>
        </w:rPr>
        <w:t xml:space="preserve"> </w:t>
      </w:r>
      <w:r w:rsidR="00C17616">
        <w:rPr>
          <w:lang w:val="fr-FR"/>
        </w:rPr>
        <w:t>travaux</w:t>
      </w:r>
      <w:r w:rsidRPr="001F17D4">
        <w:rPr>
          <w:lang w:val="fr-FR"/>
        </w:rPr>
        <w:t>. Le projet a permis la mise à disposition des données qualitatives et quantitatives sur</w:t>
      </w:r>
      <w:r w:rsidR="00C17616">
        <w:rPr>
          <w:lang w:val="fr-FR"/>
        </w:rPr>
        <w:t xml:space="preserve"> l’accès des femmes à la justice à travers l’étude décrite ci-dessus</w:t>
      </w:r>
      <w:r w:rsidRPr="001F17D4">
        <w:rPr>
          <w:lang w:val="fr-FR"/>
        </w:rPr>
        <w:t>.</w:t>
      </w:r>
    </w:p>
    <w:p w14:paraId="04490725" w14:textId="77777777" w:rsidR="00333214" w:rsidRPr="00333214" w:rsidRDefault="00333214" w:rsidP="00207CD2">
      <w:pPr>
        <w:jc w:val="both"/>
        <w:rPr>
          <w:lang w:val="fr-FR"/>
        </w:rPr>
      </w:pPr>
    </w:p>
    <w:p w14:paraId="1876901D" w14:textId="77777777" w:rsidR="00F004BF" w:rsidRPr="00333214" w:rsidRDefault="00F004BF" w:rsidP="00F004BF">
      <w:pPr>
        <w:rPr>
          <w:b/>
          <w:lang w:val="fr-CD"/>
        </w:rPr>
      </w:pPr>
    </w:p>
    <w:p w14:paraId="17836707" w14:textId="77777777" w:rsidR="00F004BF" w:rsidRPr="00333214" w:rsidRDefault="00F004BF" w:rsidP="00F004BF">
      <w:pPr>
        <w:rPr>
          <w:b/>
          <w:u w:val="single"/>
          <w:lang w:val="en-US"/>
        </w:rPr>
      </w:pPr>
      <w:proofErr w:type="spellStart"/>
      <w:r w:rsidRPr="00333214">
        <w:rPr>
          <w:b/>
          <w:u w:val="single"/>
          <w:lang w:val="en-US"/>
        </w:rPr>
        <w:t>Partie</w:t>
      </w:r>
      <w:proofErr w:type="spellEnd"/>
      <w:r w:rsidRPr="00333214">
        <w:rPr>
          <w:b/>
          <w:u w:val="single"/>
          <w:lang w:val="en-US"/>
        </w:rPr>
        <w:t xml:space="preserve"> </w:t>
      </w:r>
      <w:proofErr w:type="gramStart"/>
      <w:r w:rsidR="00F20146" w:rsidRPr="00333214">
        <w:rPr>
          <w:b/>
          <w:u w:val="single"/>
          <w:lang w:val="en-US"/>
        </w:rPr>
        <w:t>III :</w:t>
      </w:r>
      <w:proofErr w:type="gramEnd"/>
      <w:r w:rsidRPr="00333214">
        <w:rPr>
          <w:b/>
          <w:u w:val="single"/>
          <w:lang w:val="en-US"/>
        </w:rPr>
        <w:t xml:space="preserve"> Questions </w:t>
      </w:r>
      <w:proofErr w:type="spellStart"/>
      <w:r w:rsidRPr="00333214">
        <w:rPr>
          <w:b/>
          <w:u w:val="single"/>
          <w:lang w:val="en-US"/>
        </w:rPr>
        <w:t>transversales</w:t>
      </w:r>
      <w:proofErr w:type="spellEnd"/>
    </w:p>
    <w:p w14:paraId="27143DC1" w14:textId="77777777" w:rsidR="00F004BF" w:rsidRPr="00333214" w:rsidRDefault="00F004BF" w:rsidP="00F004BF">
      <w:pPr>
        <w:ind w:left="360"/>
        <w:rPr>
          <w:b/>
          <w:lang w:val="en-US"/>
        </w:rPr>
      </w:pPr>
    </w:p>
    <w:p w14:paraId="4E91D028" w14:textId="77777777" w:rsidR="00F004BF" w:rsidRPr="00333214" w:rsidRDefault="00F004BF" w:rsidP="00F004BF">
      <w:pPr>
        <w:rPr>
          <w:lang w:val="en-US"/>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F004BF" w:rsidRPr="00EE01B0" w14:paraId="4FE5E1A1" w14:textId="77777777" w:rsidTr="00F004BF">
        <w:tc>
          <w:tcPr>
            <w:tcW w:w="4230" w:type="dxa"/>
            <w:shd w:val="clear" w:color="auto" w:fill="auto"/>
          </w:tcPr>
          <w:p w14:paraId="4AEB6D77" w14:textId="77777777" w:rsidR="00F004BF" w:rsidRPr="00742AD4" w:rsidRDefault="00F20146" w:rsidP="00207CD2">
            <w:pPr>
              <w:jc w:val="both"/>
              <w:rPr>
                <w:lang w:val="fr-FR"/>
              </w:rPr>
            </w:pPr>
            <w:r w:rsidRPr="00742AD4">
              <w:rPr>
                <w:b/>
                <w:bCs/>
                <w:u w:val="single"/>
                <w:lang w:val="fr-FR"/>
              </w:rPr>
              <w:t>Suivi</w:t>
            </w:r>
            <w:r w:rsidRPr="00742AD4">
              <w:rPr>
                <w:b/>
                <w:bCs/>
                <w:lang w:val="fr-FR"/>
              </w:rPr>
              <w:t xml:space="preserve"> :</w:t>
            </w:r>
            <w:r w:rsidR="00F004BF" w:rsidRPr="00742AD4">
              <w:rPr>
                <w:b/>
                <w:bCs/>
                <w:lang w:val="fr-FR"/>
              </w:rPr>
              <w:t xml:space="preserve"> </w:t>
            </w:r>
            <w:r w:rsidR="00F004BF" w:rsidRPr="00742AD4">
              <w:rPr>
                <w:lang w:val="fr-FR"/>
              </w:rPr>
              <w:t>Indiquez les activités de suivi conduites dans la période du rapport (Limite de 1000 caractères)</w:t>
            </w:r>
          </w:p>
          <w:p w14:paraId="44D34D64" w14:textId="44D83C4D" w:rsidR="00F004BF" w:rsidRPr="00742AD4" w:rsidRDefault="00F004BF" w:rsidP="00F004BF">
            <w:pPr>
              <w:rPr>
                <w:iCs/>
                <w:lang w:val="fr-FR"/>
              </w:rPr>
            </w:pPr>
          </w:p>
          <w:p w14:paraId="368E3A74" w14:textId="6DB34CC9" w:rsidR="00207CD2" w:rsidRPr="00742AD4" w:rsidRDefault="00207CD2" w:rsidP="00207CD2">
            <w:pPr>
              <w:jc w:val="both"/>
              <w:rPr>
                <w:lang w:val="fr-FR"/>
              </w:rPr>
            </w:pPr>
            <w:r w:rsidRPr="00742AD4">
              <w:rPr>
                <w:lang w:val="fr-FR"/>
              </w:rPr>
              <w:t>Des missions de suivi et évaluation ont été conduites auprès des cliniques juridiques afin d’</w:t>
            </w:r>
            <w:r w:rsidR="00AC68C7" w:rsidRPr="00742AD4">
              <w:rPr>
                <w:lang w:val="fr-FR"/>
              </w:rPr>
              <w:t xml:space="preserve">évaluer les capacités techniques des organisations et la qualité des services rendus aux populations. </w:t>
            </w:r>
          </w:p>
          <w:p w14:paraId="1295AE1D" w14:textId="77777777" w:rsidR="00DC17F1" w:rsidRPr="00742AD4" w:rsidRDefault="00DC17F1" w:rsidP="00207CD2">
            <w:pPr>
              <w:jc w:val="both"/>
              <w:rPr>
                <w:lang w:val="fr-FR"/>
              </w:rPr>
            </w:pPr>
          </w:p>
          <w:p w14:paraId="44A274F6" w14:textId="366596AD" w:rsidR="00AC68C7" w:rsidRPr="00742AD4" w:rsidRDefault="00DC17F1" w:rsidP="00207CD2">
            <w:pPr>
              <w:jc w:val="both"/>
              <w:rPr>
                <w:lang w:val="fr-FR"/>
              </w:rPr>
            </w:pPr>
            <w:r w:rsidRPr="00742AD4">
              <w:rPr>
                <w:lang w:val="fr-FR"/>
              </w:rPr>
              <w:t>Plusieurs</w:t>
            </w:r>
            <w:r w:rsidR="00AC68C7" w:rsidRPr="00742AD4">
              <w:rPr>
                <w:lang w:val="fr-FR"/>
              </w:rPr>
              <w:t xml:space="preserve"> réunions de coordination ont été également organisées </w:t>
            </w:r>
            <w:r w:rsidRPr="00742AD4">
              <w:rPr>
                <w:lang w:val="fr-FR"/>
              </w:rPr>
              <w:t xml:space="preserve">entre les agences d’exécution du projet pour </w:t>
            </w:r>
            <w:r w:rsidR="008A6B6E" w:rsidRPr="00742AD4">
              <w:rPr>
                <w:lang w:val="fr-FR"/>
              </w:rPr>
              <w:t>faire</w:t>
            </w:r>
            <w:r w:rsidRPr="00742AD4">
              <w:rPr>
                <w:lang w:val="fr-FR"/>
              </w:rPr>
              <w:t xml:space="preserve"> un bilan régulier sur la mise en œuvre du projet. </w:t>
            </w:r>
          </w:p>
          <w:p w14:paraId="6FEFAD42" w14:textId="58D6BB74" w:rsidR="00DC17F1" w:rsidRPr="00742AD4" w:rsidRDefault="00DC17F1" w:rsidP="00207CD2">
            <w:pPr>
              <w:jc w:val="both"/>
              <w:rPr>
                <w:lang w:val="fr-FR"/>
              </w:rPr>
            </w:pPr>
          </w:p>
          <w:p w14:paraId="30D3929A" w14:textId="77777777" w:rsidR="008A6B6E" w:rsidRPr="00742AD4" w:rsidRDefault="008A6B6E" w:rsidP="00207CD2">
            <w:pPr>
              <w:jc w:val="both"/>
              <w:rPr>
                <w:lang w:val="fr-FR"/>
              </w:rPr>
            </w:pPr>
            <w:r w:rsidRPr="00742AD4">
              <w:rPr>
                <w:lang w:val="fr-FR"/>
              </w:rPr>
              <w:t xml:space="preserve">Les interventions du projet sont discutées lors des réunions des groupes thématiques de la PSJ, permettant d’assurer leur pertinence et la cohérence avec les priorités nationales et de développer des synergies avec d’autres partenaires. </w:t>
            </w:r>
          </w:p>
          <w:p w14:paraId="422E38A0" w14:textId="77777777" w:rsidR="008A6B6E" w:rsidRPr="00742AD4" w:rsidRDefault="008A6B6E" w:rsidP="00207CD2">
            <w:pPr>
              <w:jc w:val="both"/>
              <w:rPr>
                <w:lang w:val="fr-FR"/>
              </w:rPr>
            </w:pPr>
          </w:p>
          <w:p w14:paraId="79C00376" w14:textId="36FC8591" w:rsidR="00F004BF" w:rsidRPr="00742AD4" w:rsidRDefault="008A6B6E" w:rsidP="008A6B6E">
            <w:pPr>
              <w:jc w:val="both"/>
              <w:rPr>
                <w:iCs/>
                <w:color w:val="002060"/>
                <w:lang w:val="fr-FR"/>
              </w:rPr>
            </w:pPr>
            <w:r w:rsidRPr="00742AD4">
              <w:rPr>
                <w:lang w:val="fr-FR"/>
              </w:rPr>
              <w:t xml:space="preserve">La réunion du Comité de Pilotage </w:t>
            </w:r>
            <w:r w:rsidR="00742AD4" w:rsidRPr="00742AD4">
              <w:rPr>
                <w:lang w:val="fr-FR"/>
              </w:rPr>
              <w:t xml:space="preserve">de la PSJ </w:t>
            </w:r>
            <w:r w:rsidRPr="00742AD4">
              <w:rPr>
                <w:lang w:val="fr-FR"/>
              </w:rPr>
              <w:t>est en cours de préparation.</w:t>
            </w:r>
            <w:r w:rsidRPr="00742AD4">
              <w:rPr>
                <w:iCs/>
                <w:color w:val="002060"/>
                <w:lang w:val="fr-FR"/>
              </w:rPr>
              <w:t xml:space="preserve">  </w:t>
            </w:r>
          </w:p>
        </w:tc>
        <w:tc>
          <w:tcPr>
            <w:tcW w:w="5940" w:type="dxa"/>
            <w:shd w:val="clear" w:color="auto" w:fill="auto"/>
          </w:tcPr>
          <w:p w14:paraId="5651CB2A" w14:textId="6CEF8C98" w:rsidR="00F004BF" w:rsidRPr="00742AD4" w:rsidRDefault="00F004BF" w:rsidP="00636E71">
            <w:pPr>
              <w:jc w:val="both"/>
              <w:rPr>
                <w:lang w:val="fr-FR"/>
              </w:rPr>
            </w:pPr>
            <w:r w:rsidRPr="00742AD4">
              <w:rPr>
                <w:lang w:val="fr-FR"/>
              </w:rPr>
              <w:t xml:space="preserve">Est-ce que les indicateurs des résultats ont des bases de </w:t>
            </w:r>
            <w:r w:rsidR="00F20146" w:rsidRPr="00742AD4">
              <w:rPr>
                <w:lang w:val="fr-FR"/>
              </w:rPr>
              <w:t>référence ?</w:t>
            </w:r>
            <w:r w:rsidRPr="00742AD4">
              <w:rPr>
                <w:lang w:val="fr-FR"/>
              </w:rPr>
              <w:t xml:space="preserve"> </w:t>
            </w:r>
            <w:r w:rsidR="00DC17F1" w:rsidRPr="00742AD4">
              <w:rPr>
                <w:lang w:val="fr-CD"/>
              </w:rPr>
              <w:t>OUI</w:t>
            </w:r>
          </w:p>
          <w:p w14:paraId="1AEBE97F" w14:textId="77777777" w:rsidR="00F004BF" w:rsidRPr="00742AD4" w:rsidRDefault="00F004BF" w:rsidP="00636E71">
            <w:pPr>
              <w:jc w:val="both"/>
              <w:rPr>
                <w:lang w:val="fr-FR"/>
              </w:rPr>
            </w:pPr>
          </w:p>
          <w:p w14:paraId="58DF07EC" w14:textId="5DD2F6E8" w:rsidR="00F004BF" w:rsidRPr="00742AD4" w:rsidRDefault="00F004BF" w:rsidP="00636E71">
            <w:pPr>
              <w:jc w:val="both"/>
              <w:rPr>
                <w:lang w:val="fr-CD"/>
              </w:rPr>
            </w:pPr>
            <w:r w:rsidRPr="00742AD4">
              <w:rPr>
                <w:lang w:val="fr-FR"/>
              </w:rPr>
              <w:t xml:space="preserve">Le projet a-t-il lancé des enquêtes de perception ou d'autres collectes de données </w:t>
            </w:r>
            <w:r w:rsidR="00F20146" w:rsidRPr="00742AD4">
              <w:rPr>
                <w:lang w:val="fr-FR"/>
              </w:rPr>
              <w:t>communautaires ?</w:t>
            </w:r>
            <w:r w:rsidR="00DC17F1" w:rsidRPr="00742AD4">
              <w:rPr>
                <w:lang w:val="fr-FR"/>
              </w:rPr>
              <w:t xml:space="preserve"> </w:t>
            </w:r>
            <w:r w:rsidR="00DC17F1" w:rsidRPr="00742AD4">
              <w:rPr>
                <w:lang w:val="fr-CD"/>
              </w:rPr>
              <w:t>OUI</w:t>
            </w:r>
          </w:p>
          <w:p w14:paraId="4F097131" w14:textId="77777777" w:rsidR="003A4DB0" w:rsidRPr="00742AD4" w:rsidRDefault="003A4DB0" w:rsidP="00636E71">
            <w:pPr>
              <w:jc w:val="both"/>
              <w:rPr>
                <w:lang w:val="fr-FR"/>
              </w:rPr>
            </w:pPr>
          </w:p>
          <w:p w14:paraId="28C4272E" w14:textId="77777777" w:rsidR="002013C9" w:rsidRDefault="008A6B6E" w:rsidP="008A6B6E">
            <w:pPr>
              <w:jc w:val="both"/>
              <w:rPr>
                <w:color w:val="002060"/>
                <w:lang w:val="fr-FR"/>
              </w:rPr>
            </w:pPr>
            <w:r w:rsidRPr="00742AD4">
              <w:rPr>
                <w:lang w:val="fr-FR"/>
              </w:rPr>
              <w:t>Le rapport du 6ème sondage de perception organisé en Décembre 2020 a été finalisé et présenté officiellement</w:t>
            </w:r>
            <w:r w:rsidR="00742AD4">
              <w:rPr>
                <w:lang w:val="fr-FR"/>
              </w:rPr>
              <w:t xml:space="preserve"> en août</w:t>
            </w:r>
            <w:r w:rsidRPr="00742AD4">
              <w:rPr>
                <w:lang w:val="fr-FR"/>
              </w:rPr>
              <w:t xml:space="preserve">. </w:t>
            </w:r>
            <w:r w:rsidR="001A3ED9" w:rsidRPr="00742AD4">
              <w:rPr>
                <w:lang w:val="fr-FR"/>
              </w:rPr>
              <w:t>Il a été mené entre le 23 Novembre et le 25 Décembre 2020 dans 13 préfectures et Bangui auprès de 5 297 personnes</w:t>
            </w:r>
            <w:r w:rsidR="00B804A3" w:rsidRPr="00742AD4">
              <w:rPr>
                <w:lang w:val="fr-FR"/>
              </w:rPr>
              <w:t xml:space="preserve"> représentatif de l’ensemble de la population centrafricaine. </w:t>
            </w:r>
            <w:r w:rsidR="00D73FD6" w:rsidRPr="00742AD4">
              <w:rPr>
                <w:lang w:val="fr-FR"/>
              </w:rPr>
              <w:t>Ce 6</w:t>
            </w:r>
            <w:r w:rsidR="00D73FD6" w:rsidRPr="00742AD4">
              <w:rPr>
                <w:vertAlign w:val="superscript"/>
                <w:lang w:val="fr-FR"/>
              </w:rPr>
              <w:t>ème</w:t>
            </w:r>
            <w:r w:rsidR="00742AD4">
              <w:rPr>
                <w:lang w:val="fr-FR"/>
              </w:rPr>
              <w:t xml:space="preserve"> </w:t>
            </w:r>
            <w:r w:rsidR="00D73FD6" w:rsidRPr="00742AD4">
              <w:rPr>
                <w:lang w:val="fr-FR"/>
              </w:rPr>
              <w:t xml:space="preserve">sondage s’est focalisé sur le processus de justice transitionnelle et les mécanismes </w:t>
            </w:r>
            <w:r w:rsidR="007031B1" w:rsidRPr="00742AD4">
              <w:rPr>
                <w:lang w:val="fr-FR"/>
              </w:rPr>
              <w:t>mis en place dans le cadre de l’Accord de Paix, notamment à travers des questions spécifiques quant au sentiment de confiance dans la CPS, la CVJRR, le système judiciaire ordinaire mais également la perception du rôle de ces mécanismes dans les efforts de consolidation de la paix</w:t>
            </w:r>
            <w:r w:rsidR="003E4F32" w:rsidRPr="00742AD4">
              <w:rPr>
                <w:lang w:val="fr-FR"/>
              </w:rPr>
              <w:t>, le sentiment de victimisation et les aspirations des victimes en matière de réparations.</w:t>
            </w:r>
            <w:r w:rsidR="003E4F32" w:rsidRPr="00742AD4">
              <w:rPr>
                <w:color w:val="002060"/>
                <w:lang w:val="fr-FR"/>
              </w:rPr>
              <w:t xml:space="preserve">  </w:t>
            </w:r>
          </w:p>
          <w:p w14:paraId="4A41640D" w14:textId="77777777" w:rsidR="00742AD4" w:rsidRDefault="00742AD4" w:rsidP="008A6B6E">
            <w:pPr>
              <w:jc w:val="both"/>
              <w:rPr>
                <w:color w:val="002060"/>
                <w:lang w:val="fr-FR"/>
              </w:rPr>
            </w:pPr>
          </w:p>
          <w:p w14:paraId="67695B71" w14:textId="569BB124" w:rsidR="00742AD4" w:rsidRPr="00742AD4" w:rsidRDefault="00742AD4" w:rsidP="008A6B6E">
            <w:pPr>
              <w:jc w:val="both"/>
              <w:rPr>
                <w:lang w:val="fr-FR"/>
              </w:rPr>
            </w:pPr>
            <w:r w:rsidRPr="00742AD4">
              <w:rPr>
                <w:lang w:val="fr-FR"/>
              </w:rPr>
              <w:t>On note qu’un 7ème</w:t>
            </w:r>
            <w:r>
              <w:rPr>
                <w:lang w:val="fr-FR"/>
              </w:rPr>
              <w:t xml:space="preserve"> </w:t>
            </w:r>
            <w:r w:rsidRPr="00742AD4">
              <w:rPr>
                <w:lang w:val="fr-FR"/>
              </w:rPr>
              <w:t xml:space="preserve">sondage était prévu lors du mois de novembre 2021, mais ne pourra pas avoir lieu à cause de la situation sécuritaire – en termes d’accès ainsi que pour ne pas mettre à risque les enquêteurs et personnes sondés. Les fonds alloués à </w:t>
            </w:r>
            <w:proofErr w:type="gramStart"/>
            <w:r w:rsidRPr="00742AD4">
              <w:rPr>
                <w:lang w:val="fr-FR"/>
              </w:rPr>
              <w:t>cette activités</w:t>
            </w:r>
            <w:proofErr w:type="gramEnd"/>
            <w:r w:rsidRPr="00742AD4">
              <w:rPr>
                <w:lang w:val="fr-FR"/>
              </w:rPr>
              <w:t xml:space="preserve"> devront ainsi être rendus au PBF, et le PNUD devra auto-financer le prochaine sondage (attendu pour février 2021).</w:t>
            </w:r>
          </w:p>
        </w:tc>
      </w:tr>
      <w:tr w:rsidR="00F004BF" w:rsidRPr="00EE01B0" w14:paraId="69601A9B" w14:textId="77777777" w:rsidTr="00F004BF">
        <w:tc>
          <w:tcPr>
            <w:tcW w:w="4230" w:type="dxa"/>
            <w:shd w:val="clear" w:color="auto" w:fill="auto"/>
          </w:tcPr>
          <w:p w14:paraId="410DC6B0" w14:textId="77777777" w:rsidR="00F004BF" w:rsidRPr="00742AD4" w:rsidRDefault="00147E2C" w:rsidP="003E4F32">
            <w:pPr>
              <w:jc w:val="both"/>
              <w:rPr>
                <w:lang w:val="fr-FR"/>
              </w:rPr>
            </w:pPr>
            <w:r w:rsidRPr="00742AD4">
              <w:rPr>
                <w:b/>
                <w:bCs/>
                <w:u w:val="single"/>
                <w:lang w:val="fr-FR"/>
              </w:rPr>
              <w:t>Evaluation :</w:t>
            </w:r>
            <w:r w:rsidR="00F004BF" w:rsidRPr="00742AD4">
              <w:rPr>
                <w:lang w:val="fr-FR"/>
              </w:rPr>
              <w:t xml:space="preserve"> Est-ce qu’un exercice évaluatif a été conduit pendant la période du </w:t>
            </w:r>
            <w:r w:rsidR="00FF6E78" w:rsidRPr="00742AD4">
              <w:rPr>
                <w:lang w:val="fr-FR"/>
              </w:rPr>
              <w:t>rapport ?</w:t>
            </w:r>
          </w:p>
          <w:p w14:paraId="488C28AD" w14:textId="39182DC8" w:rsidR="00F004BF" w:rsidRPr="00742AD4" w:rsidRDefault="003E4F32" w:rsidP="00F004BF">
            <w:r w:rsidRPr="00742AD4">
              <w:lastRenderedPageBreak/>
              <w:t>NON</w:t>
            </w:r>
          </w:p>
        </w:tc>
        <w:tc>
          <w:tcPr>
            <w:tcW w:w="5940" w:type="dxa"/>
            <w:shd w:val="clear" w:color="auto" w:fill="auto"/>
          </w:tcPr>
          <w:p w14:paraId="44014D6A" w14:textId="77777777" w:rsidR="00F004BF" w:rsidRPr="00742AD4" w:rsidRDefault="00F004BF" w:rsidP="00F004BF">
            <w:pPr>
              <w:rPr>
                <w:lang w:val="fr-FR"/>
              </w:rPr>
            </w:pPr>
            <w:r w:rsidRPr="00742AD4">
              <w:rPr>
                <w:lang w:val="fr-FR"/>
              </w:rPr>
              <w:lastRenderedPageBreak/>
              <w:t>Budget pour évaluation finale (réponse obligatoire</w:t>
            </w:r>
            <w:r w:rsidR="00147E2C" w:rsidRPr="00742AD4">
              <w:rPr>
                <w:lang w:val="fr-FR"/>
              </w:rPr>
              <w:t>) :</w:t>
            </w:r>
            <w:r w:rsidRPr="00742AD4">
              <w:rPr>
                <w:lang w:val="fr-FR"/>
              </w:rPr>
              <w:t xml:space="preserve">  145 000 USD.</w:t>
            </w:r>
          </w:p>
          <w:p w14:paraId="0103A9D0" w14:textId="77777777" w:rsidR="00F004BF" w:rsidRPr="00742AD4" w:rsidRDefault="00F004BF" w:rsidP="00F004BF">
            <w:pPr>
              <w:rPr>
                <w:lang w:val="fr-FR"/>
              </w:rPr>
            </w:pPr>
          </w:p>
          <w:p w14:paraId="04963CED" w14:textId="6FA1164A" w:rsidR="00F004BF" w:rsidRPr="00742AD4" w:rsidRDefault="00F004BF" w:rsidP="003E4F32">
            <w:pPr>
              <w:jc w:val="both"/>
              <w:rPr>
                <w:lang w:val="fr-FR"/>
              </w:rPr>
            </w:pPr>
            <w:r w:rsidRPr="00742AD4">
              <w:rPr>
                <w:lang w:val="fr-FR"/>
              </w:rPr>
              <w:lastRenderedPageBreak/>
              <w:t xml:space="preserve">Si le projet se termine dans les 6 prochains mois, décrire les préparatifs pour l’évaluation </w:t>
            </w:r>
            <w:r w:rsidRPr="00742AD4">
              <w:rPr>
                <w:i/>
                <w:lang w:val="fr-FR"/>
              </w:rPr>
              <w:t>(</w:t>
            </w:r>
            <w:r w:rsidRPr="00742AD4">
              <w:rPr>
                <w:lang w:val="fr-FR"/>
              </w:rPr>
              <w:t>Limite de 1500 caractères</w:t>
            </w:r>
            <w:r w:rsidR="00FF6E78" w:rsidRPr="00742AD4">
              <w:rPr>
                <w:i/>
                <w:lang w:val="fr-FR"/>
              </w:rPr>
              <w:t>)</w:t>
            </w:r>
            <w:r w:rsidR="00FF6E78" w:rsidRPr="00742AD4">
              <w:rPr>
                <w:lang w:val="fr-FR"/>
              </w:rPr>
              <w:t xml:space="preserve"> :</w:t>
            </w:r>
            <w:r w:rsidRPr="00742AD4">
              <w:rPr>
                <w:lang w:val="fr-FR"/>
              </w:rPr>
              <w:t xml:space="preserve"> </w:t>
            </w:r>
          </w:p>
          <w:p w14:paraId="371725B2" w14:textId="77777777" w:rsidR="003E4F32" w:rsidRPr="00742AD4" w:rsidRDefault="003E4F32" w:rsidP="003E4F32">
            <w:pPr>
              <w:jc w:val="both"/>
              <w:rPr>
                <w:lang w:val="fr-FR"/>
              </w:rPr>
            </w:pPr>
          </w:p>
          <w:p w14:paraId="12ABF198" w14:textId="3164D2B4" w:rsidR="00F004BF" w:rsidRPr="00742AD4" w:rsidRDefault="003E4F32" w:rsidP="003E4F32">
            <w:pPr>
              <w:jc w:val="both"/>
              <w:rPr>
                <w:lang w:val="fr-FR"/>
              </w:rPr>
            </w:pPr>
            <w:r w:rsidRPr="00742AD4">
              <w:rPr>
                <w:lang w:val="fr-FR"/>
              </w:rPr>
              <w:t>Les termes de référence pour le recrutement de deux consultants (un consultant international et un consultant national) sont en cours de finalisation. Ils seront partagés avec le Coordonnateur du Secrétariat du PBF en RCA pour commentaires et validation avant de lancer le processus de recrutement</w:t>
            </w:r>
            <w:r w:rsidR="00742AD4">
              <w:rPr>
                <w:lang w:val="fr-FR"/>
              </w:rPr>
              <w:t>, et l’évaluation sera finalisé avant la clôture du projet</w:t>
            </w:r>
            <w:r w:rsidRPr="00742AD4">
              <w:rPr>
                <w:lang w:val="fr-FR"/>
              </w:rPr>
              <w:t xml:space="preserve">. </w:t>
            </w:r>
          </w:p>
        </w:tc>
      </w:tr>
      <w:tr w:rsidR="00F004BF" w:rsidRPr="00EE01B0" w14:paraId="5A34F3DE" w14:textId="77777777" w:rsidTr="00F004BF">
        <w:tc>
          <w:tcPr>
            <w:tcW w:w="4230" w:type="dxa"/>
            <w:shd w:val="clear" w:color="auto" w:fill="auto"/>
          </w:tcPr>
          <w:p w14:paraId="26E9AAB2" w14:textId="77777777" w:rsidR="00F004BF" w:rsidRPr="00742AD4" w:rsidRDefault="00F004BF" w:rsidP="003E4F32">
            <w:pPr>
              <w:jc w:val="both"/>
              <w:rPr>
                <w:lang w:val="fr-FR"/>
              </w:rPr>
            </w:pPr>
            <w:r w:rsidRPr="00742AD4">
              <w:rPr>
                <w:b/>
                <w:bCs/>
                <w:u w:val="single"/>
                <w:lang w:val="fr-FR"/>
              </w:rPr>
              <w:lastRenderedPageBreak/>
              <w:t>Effets catalytiques (financiers</w:t>
            </w:r>
            <w:r w:rsidR="00D319FE" w:rsidRPr="00742AD4">
              <w:rPr>
                <w:b/>
                <w:bCs/>
                <w:u w:val="single"/>
                <w:lang w:val="fr-FR"/>
              </w:rPr>
              <w:t>)</w:t>
            </w:r>
            <w:r w:rsidR="00D319FE" w:rsidRPr="00742AD4">
              <w:rPr>
                <w:b/>
                <w:bCs/>
                <w:lang w:val="fr-FR"/>
              </w:rPr>
              <w:t xml:space="preserve"> :</w:t>
            </w:r>
            <w:r w:rsidRPr="00742AD4">
              <w:rPr>
                <w:lang w:val="fr-FR"/>
              </w:rPr>
              <w:t xml:space="preserve"> Indiquez le nom de l'agent de financement et le montant du soutien financier non PBF supplémentaire qui a été obtenu par le projet.</w:t>
            </w:r>
          </w:p>
        </w:tc>
        <w:tc>
          <w:tcPr>
            <w:tcW w:w="5940" w:type="dxa"/>
            <w:shd w:val="clear" w:color="auto" w:fill="auto"/>
          </w:tcPr>
          <w:p w14:paraId="6D463A6A" w14:textId="77777777" w:rsidR="00F004BF" w:rsidRPr="00742AD4" w:rsidRDefault="00F004BF" w:rsidP="00F004BF">
            <w:pPr>
              <w:rPr>
                <w:lang w:val="fr-FR"/>
              </w:rPr>
            </w:pPr>
            <w:r w:rsidRPr="00742AD4">
              <w:rPr>
                <w:lang w:val="fr-FR"/>
              </w:rPr>
              <w:t xml:space="preserve">Nom de </w:t>
            </w:r>
            <w:r w:rsidR="00FF6E78" w:rsidRPr="00742AD4">
              <w:rPr>
                <w:lang w:val="fr-FR"/>
              </w:rPr>
              <w:t>donateur :</w:t>
            </w:r>
            <w:r w:rsidRPr="00742AD4">
              <w:rPr>
                <w:lang w:val="fr-FR"/>
              </w:rPr>
              <w:t xml:space="preserve">     Montant ($</w:t>
            </w:r>
            <w:r w:rsidR="004E6986" w:rsidRPr="00742AD4">
              <w:rPr>
                <w:lang w:val="fr-FR"/>
              </w:rPr>
              <w:t>) :</w:t>
            </w:r>
          </w:p>
          <w:p w14:paraId="64D15309" w14:textId="77777777" w:rsidR="00872050" w:rsidRPr="00742AD4" w:rsidRDefault="00872050" w:rsidP="00F004BF">
            <w:pPr>
              <w:rPr>
                <w:b/>
                <w:lang w:val="fr-FR"/>
              </w:rPr>
            </w:pPr>
          </w:p>
          <w:p w14:paraId="7403C5D5" w14:textId="0F31FFD2" w:rsidR="007C797D" w:rsidRPr="00742AD4" w:rsidRDefault="00F004BF" w:rsidP="00F004BF">
            <w:pPr>
              <w:rPr>
                <w:b/>
                <w:lang w:val="fr-FR"/>
              </w:rPr>
            </w:pPr>
            <w:r w:rsidRPr="00742AD4">
              <w:rPr>
                <w:b/>
                <w:lang w:val="fr-FR"/>
              </w:rPr>
              <w:t xml:space="preserve">Pour études de perception : </w:t>
            </w:r>
          </w:p>
          <w:p w14:paraId="5BAB7B5D" w14:textId="77777777" w:rsidR="00F671FD" w:rsidRPr="00F671FD" w:rsidRDefault="00F671FD" w:rsidP="00F004BF">
            <w:pPr>
              <w:rPr>
                <w:lang w:val="fr-FR"/>
              </w:rPr>
            </w:pPr>
          </w:p>
          <w:p w14:paraId="3A3BE6D9" w14:textId="6FDBBB40" w:rsidR="00F004BF" w:rsidRPr="004D0729" w:rsidRDefault="00F004BF" w:rsidP="00F004BF">
            <w:pPr>
              <w:rPr>
                <w:b/>
                <w:bCs/>
                <w:lang w:val="fr-FR"/>
              </w:rPr>
            </w:pPr>
            <w:r w:rsidRPr="004D0729">
              <w:rPr>
                <w:b/>
                <w:bCs/>
                <w:lang w:val="fr-FR"/>
              </w:rPr>
              <w:t>MINUSCA (</w:t>
            </w:r>
            <w:r w:rsidR="00D319FE" w:rsidRPr="004D0729">
              <w:rPr>
                <w:b/>
                <w:bCs/>
                <w:lang w:val="fr-FR"/>
              </w:rPr>
              <w:t>SCIPI)</w:t>
            </w:r>
            <w:r w:rsidR="007C797D" w:rsidRPr="004D0729">
              <w:rPr>
                <w:b/>
                <w:bCs/>
                <w:lang w:val="fr-FR"/>
              </w:rPr>
              <w:t> :</w:t>
            </w:r>
            <w:r w:rsidR="00D319FE" w:rsidRPr="004D0729">
              <w:rPr>
                <w:b/>
                <w:bCs/>
                <w:lang w:val="fr-FR"/>
              </w:rPr>
              <w:t xml:space="preserve"> </w:t>
            </w:r>
            <w:r w:rsidRPr="004D0729">
              <w:rPr>
                <w:b/>
                <w:bCs/>
                <w:lang w:val="fr-FR"/>
              </w:rPr>
              <w:t>100</w:t>
            </w:r>
            <w:r w:rsidR="003E4F32" w:rsidRPr="004D0729">
              <w:rPr>
                <w:b/>
                <w:bCs/>
                <w:lang w:val="fr-FR"/>
              </w:rPr>
              <w:t xml:space="preserve"> </w:t>
            </w:r>
            <w:r w:rsidRPr="004D0729">
              <w:rPr>
                <w:b/>
                <w:bCs/>
                <w:lang w:val="fr-FR"/>
              </w:rPr>
              <w:t>000</w:t>
            </w:r>
            <w:r w:rsidR="00875398" w:rsidRPr="004D0729">
              <w:rPr>
                <w:b/>
                <w:bCs/>
                <w:lang w:val="fr-FR"/>
              </w:rPr>
              <w:t xml:space="preserve"> </w:t>
            </w:r>
            <w:r w:rsidRPr="004D0729">
              <w:rPr>
                <w:b/>
                <w:bCs/>
                <w:lang w:val="fr-FR"/>
              </w:rPr>
              <w:t>USD</w:t>
            </w:r>
            <w:r w:rsidR="00872050" w:rsidRPr="004D0729">
              <w:rPr>
                <w:b/>
                <w:bCs/>
                <w:lang w:val="fr-FR"/>
              </w:rPr>
              <w:t xml:space="preserve"> </w:t>
            </w:r>
          </w:p>
          <w:p w14:paraId="437F47BE" w14:textId="130DD8F0" w:rsidR="00F004BF" w:rsidRPr="00F671FD" w:rsidRDefault="00F004BF" w:rsidP="00636E71">
            <w:pPr>
              <w:jc w:val="both"/>
              <w:rPr>
                <w:lang w:val="fr-FR"/>
              </w:rPr>
            </w:pPr>
            <w:r w:rsidRPr="00F671FD">
              <w:rPr>
                <w:lang w:val="fr-FR"/>
              </w:rPr>
              <w:t>Equipe d’experts des Nations Unies sur l’Etat de droit et sur les violences sexuelles liées au conflit</w:t>
            </w:r>
            <w:r w:rsidR="007C797D" w:rsidRPr="00F671FD">
              <w:rPr>
                <w:lang w:val="fr-FR"/>
              </w:rPr>
              <w:t> :</w:t>
            </w:r>
            <w:r w:rsidRPr="00F671FD">
              <w:rPr>
                <w:lang w:val="fr-FR"/>
              </w:rPr>
              <w:t xml:space="preserve"> </w:t>
            </w:r>
            <w:r w:rsidRPr="004D0729">
              <w:rPr>
                <w:b/>
                <w:bCs/>
                <w:lang w:val="fr-FR"/>
              </w:rPr>
              <w:t>1</w:t>
            </w:r>
            <w:r w:rsidR="009C55AD" w:rsidRPr="004D0729">
              <w:rPr>
                <w:b/>
                <w:bCs/>
                <w:lang w:val="fr-FR"/>
              </w:rPr>
              <w:t>00</w:t>
            </w:r>
            <w:r w:rsidR="003E4F32" w:rsidRPr="004D0729">
              <w:rPr>
                <w:b/>
                <w:bCs/>
                <w:lang w:val="fr-FR"/>
              </w:rPr>
              <w:t xml:space="preserve"> </w:t>
            </w:r>
            <w:r w:rsidRPr="004D0729">
              <w:rPr>
                <w:b/>
                <w:bCs/>
                <w:lang w:val="fr-FR"/>
              </w:rPr>
              <w:t>000USD</w:t>
            </w:r>
          </w:p>
          <w:p w14:paraId="08D94E6E" w14:textId="0B5E05D2" w:rsidR="00F004BF" w:rsidRPr="00F671FD" w:rsidRDefault="00F004BF" w:rsidP="00636E71">
            <w:pPr>
              <w:jc w:val="both"/>
              <w:rPr>
                <w:lang w:val="fr-FR"/>
              </w:rPr>
            </w:pPr>
            <w:r w:rsidRPr="00F671FD">
              <w:rPr>
                <w:lang w:val="fr-FR"/>
              </w:rPr>
              <w:t>Etats-Unis</w:t>
            </w:r>
            <w:r w:rsidR="007C797D" w:rsidRPr="00F671FD">
              <w:rPr>
                <w:lang w:val="fr-FR"/>
              </w:rPr>
              <w:t> :</w:t>
            </w:r>
            <w:r w:rsidRPr="00F671FD">
              <w:rPr>
                <w:lang w:val="fr-FR"/>
              </w:rPr>
              <w:t xml:space="preserve"> </w:t>
            </w:r>
            <w:r w:rsidR="009C55AD" w:rsidRPr="004D0729">
              <w:rPr>
                <w:b/>
                <w:bCs/>
                <w:lang w:val="fr-FR"/>
              </w:rPr>
              <w:t>235</w:t>
            </w:r>
            <w:r w:rsidR="003E4F32" w:rsidRPr="004D0729">
              <w:rPr>
                <w:b/>
                <w:bCs/>
                <w:lang w:val="fr-FR"/>
              </w:rPr>
              <w:t xml:space="preserve"> </w:t>
            </w:r>
            <w:r w:rsidRPr="004D0729">
              <w:rPr>
                <w:b/>
                <w:bCs/>
                <w:lang w:val="fr-FR"/>
              </w:rPr>
              <w:t>000 USD</w:t>
            </w:r>
          </w:p>
          <w:p w14:paraId="16980E48" w14:textId="77777777" w:rsidR="00872050" w:rsidRPr="00F671FD" w:rsidRDefault="00872050" w:rsidP="00636E71">
            <w:pPr>
              <w:jc w:val="both"/>
              <w:rPr>
                <w:lang w:val="fr-FR"/>
              </w:rPr>
            </w:pPr>
          </w:p>
          <w:p w14:paraId="4D5B898F" w14:textId="114114ED" w:rsidR="003828F8" w:rsidRPr="00F671FD" w:rsidRDefault="007E0E18" w:rsidP="00636E71">
            <w:pPr>
              <w:jc w:val="both"/>
              <w:rPr>
                <w:lang w:val="fr-FR"/>
              </w:rPr>
            </w:pPr>
            <w:r w:rsidRPr="00F671FD">
              <w:rPr>
                <w:lang w:val="fr-FR"/>
              </w:rPr>
              <w:t xml:space="preserve">Suisse </w:t>
            </w:r>
            <w:r w:rsidR="007C797D" w:rsidRPr="00F671FD">
              <w:rPr>
                <w:lang w:val="fr-FR"/>
              </w:rPr>
              <w:t>:</w:t>
            </w:r>
            <w:r w:rsidR="003828F8" w:rsidRPr="00F671FD">
              <w:rPr>
                <w:lang w:val="fr-FR"/>
              </w:rPr>
              <w:t xml:space="preserve"> </w:t>
            </w:r>
            <w:r w:rsidR="003E4F32" w:rsidRPr="00F671FD">
              <w:rPr>
                <w:lang w:val="fr-FR"/>
              </w:rPr>
              <w:t>C</w:t>
            </w:r>
            <w:r w:rsidRPr="00F671FD">
              <w:rPr>
                <w:lang w:val="fr-FR"/>
              </w:rPr>
              <w:t xml:space="preserve">ontribution par la mise à disposition </w:t>
            </w:r>
            <w:r w:rsidR="00F671FD" w:rsidRPr="00F671FD">
              <w:rPr>
                <w:lang w:val="fr-FR"/>
              </w:rPr>
              <w:t xml:space="preserve">d’abord d’une P2 du expert pool suisse (2019 – 2021) puis </w:t>
            </w:r>
            <w:r w:rsidRPr="00F671FD">
              <w:rPr>
                <w:lang w:val="fr-FR"/>
              </w:rPr>
              <w:t>d’une</w:t>
            </w:r>
            <w:r w:rsidR="009C55AD" w:rsidRPr="00F671FD">
              <w:rPr>
                <w:lang w:val="fr-FR"/>
              </w:rPr>
              <w:t xml:space="preserve"> JPO </w:t>
            </w:r>
            <w:r w:rsidR="00872050" w:rsidRPr="00F671FD">
              <w:rPr>
                <w:lang w:val="fr-FR"/>
              </w:rPr>
              <w:t>(</w:t>
            </w:r>
            <w:proofErr w:type="spellStart"/>
            <w:r w:rsidR="00872050" w:rsidRPr="00F671FD">
              <w:rPr>
                <w:lang w:val="fr-FR"/>
              </w:rPr>
              <w:t>Expert.e</w:t>
            </w:r>
            <w:proofErr w:type="spellEnd"/>
            <w:r w:rsidR="00872050" w:rsidRPr="00F671FD">
              <w:rPr>
                <w:lang w:val="fr-FR"/>
              </w:rPr>
              <w:t xml:space="preserve"> </w:t>
            </w:r>
            <w:r w:rsidR="009C55AD" w:rsidRPr="00F671FD">
              <w:rPr>
                <w:lang w:val="fr-FR"/>
              </w:rPr>
              <w:t>justice transitionnelle</w:t>
            </w:r>
            <w:r w:rsidR="00872050" w:rsidRPr="00F671FD">
              <w:rPr>
                <w:lang w:val="fr-FR"/>
              </w:rPr>
              <w:t xml:space="preserve">) pour un cout estimé de </w:t>
            </w:r>
            <w:r w:rsidR="008C1722" w:rsidRPr="004D0729">
              <w:rPr>
                <w:b/>
                <w:bCs/>
                <w:lang w:val="fr-FR"/>
              </w:rPr>
              <w:t>200 000 USD/an</w:t>
            </w:r>
            <w:r w:rsidR="00F671FD" w:rsidRPr="00F671FD">
              <w:rPr>
                <w:lang w:val="fr-FR"/>
              </w:rPr>
              <w:t xml:space="preserve">, à partir de janvier </w:t>
            </w:r>
            <w:proofErr w:type="gramStart"/>
            <w:r w:rsidR="00F671FD" w:rsidRPr="00F671FD">
              <w:rPr>
                <w:lang w:val="fr-FR"/>
              </w:rPr>
              <w:t xml:space="preserve">2022 </w:t>
            </w:r>
            <w:r w:rsidR="008C1722" w:rsidRPr="00F671FD">
              <w:rPr>
                <w:lang w:val="fr-FR"/>
              </w:rPr>
              <w:t>.</w:t>
            </w:r>
            <w:proofErr w:type="gramEnd"/>
            <w:r w:rsidR="00F0791C" w:rsidRPr="00F671FD">
              <w:rPr>
                <w:lang w:val="fr-FR"/>
              </w:rPr>
              <w:t xml:space="preserve"> </w:t>
            </w:r>
          </w:p>
          <w:p w14:paraId="17517A5B" w14:textId="77777777" w:rsidR="00831911" w:rsidRPr="00F671FD" w:rsidRDefault="00831911" w:rsidP="00636E71">
            <w:pPr>
              <w:jc w:val="both"/>
              <w:rPr>
                <w:lang w:val="fr-FR"/>
              </w:rPr>
            </w:pPr>
          </w:p>
          <w:p w14:paraId="3083FDAF" w14:textId="08CC871E" w:rsidR="00006ABF" w:rsidRPr="00F671FD" w:rsidRDefault="00831911" w:rsidP="00636E71">
            <w:pPr>
              <w:jc w:val="both"/>
              <w:rPr>
                <w:lang w:val="fr-FR"/>
              </w:rPr>
            </w:pPr>
            <w:r w:rsidRPr="00F671FD">
              <w:rPr>
                <w:lang w:val="fr-FR"/>
              </w:rPr>
              <w:t xml:space="preserve">Union Européenne : </w:t>
            </w:r>
            <w:r w:rsidR="00872050" w:rsidRPr="004D0729">
              <w:rPr>
                <w:b/>
                <w:bCs/>
                <w:lang w:val="fr-FR"/>
              </w:rPr>
              <w:t>139</w:t>
            </w:r>
            <w:r w:rsidR="003E4F32" w:rsidRPr="004D0729">
              <w:rPr>
                <w:b/>
                <w:bCs/>
                <w:lang w:val="fr-FR"/>
              </w:rPr>
              <w:t xml:space="preserve"> </w:t>
            </w:r>
            <w:r w:rsidR="00872050" w:rsidRPr="004D0729">
              <w:rPr>
                <w:b/>
                <w:bCs/>
                <w:lang w:val="fr-FR"/>
              </w:rPr>
              <w:t>000 USD</w:t>
            </w:r>
            <w:r w:rsidR="00872050" w:rsidRPr="00F671FD">
              <w:rPr>
                <w:lang w:val="fr-FR"/>
              </w:rPr>
              <w:t xml:space="preserve"> d’</w:t>
            </w:r>
            <w:r w:rsidRPr="00F671FD">
              <w:rPr>
                <w:lang w:val="fr-FR"/>
              </w:rPr>
              <w:t>appui budgétaire au secteur de la Justice pour la mise en place des mécanismes de l’aide légale</w:t>
            </w:r>
            <w:r w:rsidR="00F671FD" w:rsidRPr="00F671FD">
              <w:rPr>
                <w:lang w:val="fr-FR"/>
              </w:rPr>
              <w:t>.</w:t>
            </w:r>
          </w:p>
          <w:p w14:paraId="0E102846" w14:textId="77777777" w:rsidR="00006ABF" w:rsidRPr="00F671FD" w:rsidRDefault="00006ABF" w:rsidP="00636E71">
            <w:pPr>
              <w:jc w:val="both"/>
              <w:rPr>
                <w:lang w:val="fr-FR"/>
              </w:rPr>
            </w:pPr>
          </w:p>
          <w:p w14:paraId="3697A787" w14:textId="38D4146F" w:rsidR="00006ABF" w:rsidRPr="00F671FD" w:rsidRDefault="00006ABF" w:rsidP="005543FD">
            <w:pPr>
              <w:jc w:val="both"/>
              <w:rPr>
                <w:lang w:val="fr-FR"/>
              </w:rPr>
            </w:pPr>
            <w:r w:rsidRPr="00F671FD">
              <w:rPr>
                <w:lang w:val="fr-FR"/>
              </w:rPr>
              <w:t>ONU Femmes</w:t>
            </w:r>
            <w:r w:rsidR="005543FD" w:rsidRPr="00F671FD">
              <w:rPr>
                <w:lang w:val="fr-FR"/>
              </w:rPr>
              <w:t xml:space="preserve"> : </w:t>
            </w:r>
            <w:r w:rsidRPr="004D0729">
              <w:rPr>
                <w:b/>
                <w:bCs/>
                <w:lang w:val="fr-FR"/>
              </w:rPr>
              <w:t>30</w:t>
            </w:r>
            <w:r w:rsidR="005543FD" w:rsidRPr="004D0729">
              <w:rPr>
                <w:b/>
                <w:bCs/>
                <w:lang w:val="fr-FR"/>
              </w:rPr>
              <w:t xml:space="preserve"> </w:t>
            </w:r>
            <w:r w:rsidRPr="004D0729">
              <w:rPr>
                <w:b/>
                <w:bCs/>
                <w:lang w:val="fr-FR"/>
              </w:rPr>
              <w:t>000</w:t>
            </w:r>
            <w:r w:rsidR="00872050" w:rsidRPr="004D0729">
              <w:rPr>
                <w:b/>
                <w:bCs/>
                <w:lang w:val="fr-FR"/>
              </w:rPr>
              <w:t xml:space="preserve"> USD</w:t>
            </w:r>
            <w:r w:rsidR="00872050" w:rsidRPr="00F671FD">
              <w:rPr>
                <w:lang w:val="fr-FR"/>
              </w:rPr>
              <w:t xml:space="preserve"> pour réaliser une étude sur les lois discriminatoires à l’accès des femmes à la justice.</w:t>
            </w:r>
          </w:p>
          <w:p w14:paraId="5990AFF2" w14:textId="77777777" w:rsidR="00872050" w:rsidRPr="00F671FD" w:rsidRDefault="00872050" w:rsidP="00872050">
            <w:pPr>
              <w:rPr>
                <w:lang w:val="fr-FR"/>
              </w:rPr>
            </w:pPr>
          </w:p>
          <w:p w14:paraId="159EE58A" w14:textId="77777777" w:rsidR="00006ABF" w:rsidRDefault="00D46273" w:rsidP="00636E71">
            <w:pPr>
              <w:jc w:val="both"/>
              <w:rPr>
                <w:lang w:val="fr-FR"/>
              </w:rPr>
            </w:pPr>
            <w:r w:rsidRPr="00F671FD">
              <w:rPr>
                <w:lang w:val="fr-FR"/>
              </w:rPr>
              <w:t>ONU SIDA</w:t>
            </w:r>
            <w:r w:rsidR="005543FD" w:rsidRPr="00F671FD">
              <w:rPr>
                <w:lang w:val="fr-FR"/>
              </w:rPr>
              <w:t xml:space="preserve"> : </w:t>
            </w:r>
            <w:r w:rsidR="00006ABF" w:rsidRPr="004D0729">
              <w:rPr>
                <w:b/>
                <w:bCs/>
                <w:lang w:val="fr-FR"/>
              </w:rPr>
              <w:t>44</w:t>
            </w:r>
            <w:r w:rsidR="009C55AD" w:rsidRPr="004D0729">
              <w:rPr>
                <w:b/>
                <w:bCs/>
                <w:lang w:val="fr-FR"/>
              </w:rPr>
              <w:t xml:space="preserve"> </w:t>
            </w:r>
            <w:r w:rsidR="00006ABF" w:rsidRPr="004D0729">
              <w:rPr>
                <w:b/>
                <w:bCs/>
                <w:lang w:val="fr-FR"/>
              </w:rPr>
              <w:t>600 USD</w:t>
            </w:r>
            <w:r w:rsidR="00006ABF" w:rsidRPr="00F671FD">
              <w:rPr>
                <w:lang w:val="fr-FR"/>
              </w:rPr>
              <w:t xml:space="preserve"> dans le cadre de l’enveloppe pays a contribu</w:t>
            </w:r>
            <w:r w:rsidR="005543FD" w:rsidRPr="00F671FD">
              <w:rPr>
                <w:lang w:val="fr-FR"/>
              </w:rPr>
              <w:t>é</w:t>
            </w:r>
            <w:r w:rsidR="00006ABF" w:rsidRPr="00F671FD">
              <w:rPr>
                <w:lang w:val="fr-FR"/>
              </w:rPr>
              <w:t xml:space="preserve"> aux efforts du projet.</w:t>
            </w:r>
          </w:p>
          <w:p w14:paraId="0E100143" w14:textId="77777777" w:rsidR="00F671FD" w:rsidRDefault="00F671FD" w:rsidP="00636E71">
            <w:pPr>
              <w:jc w:val="both"/>
              <w:rPr>
                <w:lang w:val="fr-CH"/>
              </w:rPr>
            </w:pPr>
          </w:p>
          <w:p w14:paraId="5BDD7742" w14:textId="10F93433" w:rsidR="00F671FD" w:rsidRPr="00742AD4" w:rsidRDefault="00F671FD" w:rsidP="00636E71">
            <w:pPr>
              <w:jc w:val="both"/>
              <w:rPr>
                <w:color w:val="002060"/>
                <w:lang w:val="fr-CH"/>
              </w:rPr>
            </w:pPr>
            <w:r>
              <w:rPr>
                <w:lang w:val="fr-CH"/>
              </w:rPr>
              <w:t xml:space="preserve">MINUSCA DDH/OHCHR : Fonds Programmatiques estimés à </w:t>
            </w:r>
            <w:r w:rsidRPr="004D0729">
              <w:rPr>
                <w:b/>
                <w:bCs/>
                <w:lang w:val="fr-CH"/>
              </w:rPr>
              <w:t>300</w:t>
            </w:r>
            <w:r w:rsidR="004D0729">
              <w:rPr>
                <w:b/>
                <w:bCs/>
                <w:lang w:val="fr-CH"/>
              </w:rPr>
              <w:t> </w:t>
            </w:r>
            <w:r w:rsidRPr="004D0729">
              <w:rPr>
                <w:b/>
                <w:bCs/>
                <w:lang w:val="fr-CH"/>
              </w:rPr>
              <w:t>000</w:t>
            </w:r>
            <w:r w:rsidR="004D0729" w:rsidRPr="004D0729">
              <w:rPr>
                <w:b/>
                <w:bCs/>
                <w:lang w:val="fr-CH"/>
              </w:rPr>
              <w:t xml:space="preserve"> USD</w:t>
            </w:r>
            <w:r>
              <w:rPr>
                <w:lang w:val="fr-CH"/>
              </w:rPr>
              <w:t xml:space="preserve"> pour l’appui à la CVJRR à partir de début 2022</w:t>
            </w:r>
            <w:r w:rsidR="00450108">
              <w:rPr>
                <w:lang w:val="fr-CH"/>
              </w:rPr>
              <w:t xml:space="preserve"> (</w:t>
            </w:r>
            <w:proofErr w:type="spellStart"/>
            <w:r w:rsidR="00450108">
              <w:rPr>
                <w:lang w:val="fr-CH"/>
              </w:rPr>
              <w:t>tbc</w:t>
            </w:r>
            <w:proofErr w:type="spellEnd"/>
            <w:r w:rsidR="00450108">
              <w:rPr>
                <w:lang w:val="fr-CH"/>
              </w:rPr>
              <w:t>).</w:t>
            </w:r>
          </w:p>
        </w:tc>
      </w:tr>
      <w:tr w:rsidR="00F004BF" w:rsidRPr="00EE01B0" w14:paraId="4BD08AAB" w14:textId="77777777" w:rsidTr="00F004BF">
        <w:tc>
          <w:tcPr>
            <w:tcW w:w="4230" w:type="dxa"/>
            <w:shd w:val="clear" w:color="auto" w:fill="auto"/>
          </w:tcPr>
          <w:p w14:paraId="3C7C8422" w14:textId="77777777" w:rsidR="00F004BF" w:rsidRPr="00742AD4" w:rsidRDefault="00E91D4E" w:rsidP="000B5CBE">
            <w:pPr>
              <w:jc w:val="both"/>
              <w:rPr>
                <w:lang w:val="fr-FR"/>
              </w:rPr>
            </w:pPr>
            <w:r w:rsidRPr="00742AD4">
              <w:rPr>
                <w:b/>
                <w:bCs/>
                <w:u w:val="single"/>
                <w:lang w:val="fr-FR"/>
              </w:rPr>
              <w:t>Autre</w:t>
            </w:r>
            <w:r w:rsidRPr="00742AD4">
              <w:rPr>
                <w:lang w:val="fr-FR"/>
              </w:rPr>
              <w:t xml:space="preserve"> :</w:t>
            </w:r>
            <w:r w:rsidR="00F004BF" w:rsidRPr="00742AD4">
              <w:rPr>
                <w:lang w:val="fr-FR"/>
              </w:rPr>
              <w:t xml:space="preserve"> Y a-t-il d'autres points concernant la mise en œuvre du projet que vous souhaitez partager, y compris sur les besoins en capacité des organisations </w:t>
            </w:r>
            <w:proofErr w:type="gramStart"/>
            <w:r w:rsidR="00F004BF" w:rsidRPr="00742AD4">
              <w:rPr>
                <w:lang w:val="fr-FR"/>
              </w:rPr>
              <w:t>bénéficiaires?</w:t>
            </w:r>
            <w:proofErr w:type="gramEnd"/>
            <w:r w:rsidR="00F004BF" w:rsidRPr="00742AD4">
              <w:rPr>
                <w:lang w:val="fr-FR"/>
              </w:rPr>
              <w:t xml:space="preserve"> (Limite de 1500 caractères)</w:t>
            </w:r>
          </w:p>
          <w:p w14:paraId="0FE5E931" w14:textId="77777777" w:rsidR="00F004BF" w:rsidRPr="00742AD4" w:rsidRDefault="00F004BF" w:rsidP="00F004BF">
            <w:pPr>
              <w:rPr>
                <w:lang w:val="fr-FR"/>
              </w:rPr>
            </w:pPr>
          </w:p>
        </w:tc>
        <w:tc>
          <w:tcPr>
            <w:tcW w:w="5940" w:type="dxa"/>
            <w:shd w:val="clear" w:color="auto" w:fill="auto"/>
          </w:tcPr>
          <w:p w14:paraId="49DBFB46" w14:textId="489B7188" w:rsidR="007A79BB" w:rsidRPr="002F2C7D" w:rsidRDefault="00143E2E" w:rsidP="000B5CBE">
            <w:pPr>
              <w:jc w:val="both"/>
              <w:rPr>
                <w:lang w:val="fr-FR"/>
              </w:rPr>
            </w:pPr>
            <w:r w:rsidRPr="002F2C7D">
              <w:rPr>
                <w:lang w:val="fr-FR"/>
              </w:rPr>
              <w:t>L</w:t>
            </w:r>
            <w:r w:rsidR="00C752DA" w:rsidRPr="002F2C7D">
              <w:rPr>
                <w:lang w:val="fr-FR"/>
              </w:rPr>
              <w:t xml:space="preserve">e démarrage </w:t>
            </w:r>
            <w:r w:rsidR="007A79BB" w:rsidRPr="002F2C7D">
              <w:rPr>
                <w:lang w:val="fr-FR"/>
              </w:rPr>
              <w:t xml:space="preserve">tardif </w:t>
            </w:r>
            <w:r w:rsidR="00C752DA" w:rsidRPr="002F2C7D">
              <w:rPr>
                <w:lang w:val="fr-FR"/>
              </w:rPr>
              <w:t xml:space="preserve">de la CVJRR </w:t>
            </w:r>
            <w:r w:rsidR="007F5269" w:rsidRPr="002F2C7D">
              <w:rPr>
                <w:lang w:val="fr-FR"/>
              </w:rPr>
              <w:t xml:space="preserve">a entrainé un retard dans la mise en œuvre </w:t>
            </w:r>
            <w:r w:rsidR="006244D1" w:rsidRPr="002F2C7D">
              <w:rPr>
                <w:lang w:val="fr-FR"/>
              </w:rPr>
              <w:t xml:space="preserve">de certaines activités </w:t>
            </w:r>
            <w:r w:rsidR="007F5269" w:rsidRPr="002F2C7D">
              <w:rPr>
                <w:lang w:val="fr-FR"/>
              </w:rPr>
              <w:t>du projet</w:t>
            </w:r>
            <w:r w:rsidR="007A79BB" w:rsidRPr="002F2C7D">
              <w:rPr>
                <w:lang w:val="fr-FR"/>
              </w:rPr>
              <w:t>, en dépit de l’extension sans cout jusqu’à janvier 2021</w:t>
            </w:r>
            <w:r w:rsidR="007F5269" w:rsidRPr="002F2C7D">
              <w:rPr>
                <w:lang w:val="fr-FR"/>
              </w:rPr>
              <w:t xml:space="preserve">. </w:t>
            </w:r>
          </w:p>
          <w:p w14:paraId="6A723F5B" w14:textId="70D2DCFE" w:rsidR="000F67FF" w:rsidRPr="002F2C7D" w:rsidRDefault="007A79BB" w:rsidP="000F67FF">
            <w:pPr>
              <w:jc w:val="both"/>
              <w:rPr>
                <w:lang w:val="fr-FR"/>
              </w:rPr>
            </w:pPr>
            <w:r w:rsidRPr="002F2C7D">
              <w:rPr>
                <w:lang w:val="fr-FR"/>
              </w:rPr>
              <w:t>Au</w:t>
            </w:r>
            <w:r w:rsidR="004372A0" w:rsidRPr="002F2C7D">
              <w:rPr>
                <w:lang w:val="fr-FR"/>
              </w:rPr>
              <w:t xml:space="preserve"> vu de</w:t>
            </w:r>
            <w:r w:rsidR="000F67FF" w:rsidRPr="002F2C7D">
              <w:rPr>
                <w:lang w:val="fr-FR"/>
              </w:rPr>
              <w:t xml:space="preserve"> la sensibilité de la mission de la CVJRR et de la fin prochaine du financement du PBF (en janvier), il apparait nécessaire de développer un projet conjoint des Nations Unies qui couvrira la durée du mandat de la commission et permettrait aux PTF de s’engager dans la durée. A cet effet, une personne ressource du PNUD – RDC a été déployée à Bangui pour appuyer l’élaboration d’un document de projet conjoint (avec OHCHR et ONU Femmes), en consultation avec les autorités nationales. </w:t>
            </w:r>
          </w:p>
          <w:p w14:paraId="75CEE94A" w14:textId="26CB9079" w:rsidR="000F67FF" w:rsidRPr="002F2C7D" w:rsidRDefault="000F67FF" w:rsidP="000B5CBE">
            <w:pPr>
              <w:jc w:val="both"/>
              <w:rPr>
                <w:lang w:val="fr-FR"/>
              </w:rPr>
            </w:pPr>
          </w:p>
          <w:p w14:paraId="2F93C59F" w14:textId="5CD90A10" w:rsidR="00872050" w:rsidRPr="002F2C7D" w:rsidRDefault="000F67FF" w:rsidP="00821499">
            <w:pPr>
              <w:jc w:val="both"/>
              <w:rPr>
                <w:color w:val="002060"/>
                <w:lang w:val="fr-FR"/>
              </w:rPr>
            </w:pPr>
            <w:r w:rsidRPr="002F2C7D">
              <w:rPr>
                <w:lang w:val="fr-FR"/>
              </w:rPr>
              <w:lastRenderedPageBreak/>
              <w:t xml:space="preserve">Dans l’intervalle et pour </w:t>
            </w:r>
            <w:r w:rsidR="00921EAD" w:rsidRPr="002F2C7D">
              <w:rPr>
                <w:lang w:val="fr-FR"/>
              </w:rPr>
              <w:t xml:space="preserve">éviter la dispersion des ressources </w:t>
            </w:r>
            <w:r w:rsidRPr="002F2C7D">
              <w:rPr>
                <w:lang w:val="fr-FR"/>
              </w:rPr>
              <w:t xml:space="preserve">techniques et financières, </w:t>
            </w:r>
            <w:r w:rsidR="00921EAD" w:rsidRPr="002F2C7D">
              <w:rPr>
                <w:lang w:val="fr-FR"/>
              </w:rPr>
              <w:t>et renforcer les synergies</w:t>
            </w:r>
            <w:r w:rsidR="002D414D" w:rsidRPr="002F2C7D">
              <w:rPr>
                <w:lang w:val="fr-FR"/>
              </w:rPr>
              <w:t>,</w:t>
            </w:r>
            <w:r w:rsidR="006244D1" w:rsidRPr="002F2C7D">
              <w:rPr>
                <w:lang w:val="fr-FR"/>
              </w:rPr>
              <w:t xml:space="preserve"> </w:t>
            </w:r>
            <w:r w:rsidR="002D414D" w:rsidRPr="002F2C7D">
              <w:rPr>
                <w:lang w:val="fr-FR"/>
              </w:rPr>
              <w:t xml:space="preserve">un groupe de coordination des partenaires techniques et financiers </w:t>
            </w:r>
            <w:r w:rsidR="00692034" w:rsidRPr="002F2C7D">
              <w:rPr>
                <w:lang w:val="fr-FR"/>
              </w:rPr>
              <w:t>qui viennent en appui à la CVJRR</w:t>
            </w:r>
            <w:r w:rsidR="006244D1" w:rsidRPr="002F2C7D">
              <w:rPr>
                <w:lang w:val="fr-FR"/>
              </w:rPr>
              <w:t xml:space="preserve"> est établi (PNUD, OHCHR, ONU Femmes, Centre pour le Dialogue Humanitaire, IFJD)</w:t>
            </w:r>
            <w:r w:rsidR="00692034" w:rsidRPr="002F2C7D">
              <w:rPr>
                <w:lang w:val="fr-FR"/>
              </w:rPr>
              <w:t>. Ce mécanisme est complémentaire au groupe thématique de la PSJ et des réunions mensuelles des PTF sur la justice.</w:t>
            </w:r>
            <w:r w:rsidR="00692034" w:rsidRPr="002F2C7D">
              <w:rPr>
                <w:color w:val="002060"/>
                <w:lang w:val="fr-FR"/>
              </w:rPr>
              <w:t xml:space="preserve"> </w:t>
            </w:r>
            <w:r w:rsidR="00D46273" w:rsidRPr="002F2C7D">
              <w:rPr>
                <w:color w:val="002060"/>
                <w:lang w:val="fr-FR"/>
              </w:rPr>
              <w:t xml:space="preserve"> </w:t>
            </w:r>
          </w:p>
          <w:p w14:paraId="7AD801F8" w14:textId="0E47BB21" w:rsidR="00FA547E" w:rsidRPr="00742AD4" w:rsidRDefault="002F2C7D" w:rsidP="00821499">
            <w:pPr>
              <w:jc w:val="both"/>
              <w:rPr>
                <w:color w:val="002060"/>
                <w:lang w:val="fr-FR"/>
              </w:rPr>
            </w:pPr>
            <w:r w:rsidRPr="00EE01B0">
              <w:rPr>
                <w:lang w:val="fr-FR"/>
              </w:rPr>
              <w:t xml:space="preserve">Par ailleurs, nous alertons sur le fait que la </w:t>
            </w:r>
            <w:r w:rsidR="00FA547E" w:rsidRPr="00EE01B0">
              <w:rPr>
                <w:lang w:val="fr-FR"/>
              </w:rPr>
              <w:t xml:space="preserve">fin de ce projet </w:t>
            </w:r>
            <w:r w:rsidRPr="00EE01B0">
              <w:rPr>
                <w:lang w:val="fr-FR"/>
              </w:rPr>
              <w:t xml:space="preserve">marquera la fin de l’appui des Nations Unies aux </w:t>
            </w:r>
            <w:r w:rsidR="00FA547E" w:rsidRPr="00EE01B0">
              <w:rPr>
                <w:lang w:val="fr-FR"/>
              </w:rPr>
              <w:t>cliniques juridiques</w:t>
            </w:r>
            <w:r w:rsidRPr="00EE01B0">
              <w:rPr>
                <w:lang w:val="fr-FR"/>
              </w:rPr>
              <w:t xml:space="preserve">, qui </w:t>
            </w:r>
            <w:r w:rsidR="00FA547E" w:rsidRPr="00EE01B0">
              <w:rPr>
                <w:lang w:val="fr-FR"/>
              </w:rPr>
              <w:t>risque</w:t>
            </w:r>
            <w:r w:rsidRPr="00EE01B0">
              <w:rPr>
                <w:lang w:val="fr-FR"/>
              </w:rPr>
              <w:t>raient de fermer en dépit du fait que des ressources sont encore disponibles. Les cliniques sont souvent les seules portes d’entrées pour les populations</w:t>
            </w:r>
          </w:p>
        </w:tc>
      </w:tr>
    </w:tbl>
    <w:p w14:paraId="1A64B18B" w14:textId="77777777" w:rsidR="00F004BF" w:rsidRPr="008F2372" w:rsidRDefault="00F004BF" w:rsidP="00F004BF">
      <w:pPr>
        <w:rPr>
          <w:b/>
          <w:lang w:val="fr-FR"/>
        </w:rPr>
      </w:pPr>
    </w:p>
    <w:p w14:paraId="4ACAC07E" w14:textId="77777777" w:rsidR="000F67FF" w:rsidRDefault="000F67FF" w:rsidP="003E4B68">
      <w:pPr>
        <w:rPr>
          <w:b/>
          <w:u w:val="single"/>
          <w:lang w:val="fr-FR"/>
        </w:rPr>
      </w:pPr>
    </w:p>
    <w:p w14:paraId="1E1C4E2C" w14:textId="77777777" w:rsidR="00333214" w:rsidRDefault="00333214" w:rsidP="003E4B68">
      <w:pPr>
        <w:rPr>
          <w:b/>
          <w:u w:val="single"/>
          <w:lang w:val="fr-FR"/>
        </w:rPr>
      </w:pPr>
    </w:p>
    <w:p w14:paraId="3413761E" w14:textId="77777777" w:rsidR="003E4B68" w:rsidRPr="00547F47" w:rsidRDefault="003E4B68" w:rsidP="003E4B68">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69A72128" w14:textId="77777777" w:rsidR="003E4B68" w:rsidRPr="00547F47" w:rsidRDefault="003E4B68" w:rsidP="003E4B68">
      <w:pPr>
        <w:rPr>
          <w:b/>
          <w:b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p>
    <w:p w14:paraId="4BAFE794" w14:textId="77777777" w:rsidR="003E4B68" w:rsidRPr="00547F47" w:rsidRDefault="003E4B68" w:rsidP="003E4B68">
      <w:pPr>
        <w:pStyle w:val="ListParagraph"/>
        <w:rPr>
          <w:lang w:val="fr-FR"/>
        </w:rPr>
      </w:pPr>
    </w:p>
    <w:p w14:paraId="3653EFC2" w14:textId="77777777" w:rsidR="003E4B68" w:rsidRPr="001745E8" w:rsidRDefault="003E4B68" w:rsidP="003E4B68">
      <w:pPr>
        <w:pStyle w:val="ListParagraph"/>
        <w:numPr>
          <w:ilvl w:val="0"/>
          <w:numId w:val="48"/>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4D21BAE5" w14:textId="77777777" w:rsidR="003E4B68" w:rsidRPr="001745E8" w:rsidRDefault="003E4B68" w:rsidP="003E4B68">
      <w:pPr>
        <w:rPr>
          <w:lang w:val="fr-FR"/>
        </w:rPr>
      </w:pPr>
    </w:p>
    <w:p w14:paraId="220BBFBB" w14:textId="4D6A36A0" w:rsidR="003E4B68" w:rsidRPr="008F2372" w:rsidRDefault="00014EF4" w:rsidP="00636E71">
      <w:pPr>
        <w:jc w:val="both"/>
        <w:rPr>
          <w:lang w:val="fr-FR"/>
        </w:rPr>
      </w:pPr>
      <w:r>
        <w:rPr>
          <w:lang w:val="fr-FR"/>
        </w:rPr>
        <w:t xml:space="preserve">Pour l’année 2021, aucun ajustement financier lié à la pandémie COVID-19 n’a été nécessaire dans le cadre de la mise en œuvre du projet comme reflété dans le budget annuel en annexe. </w:t>
      </w:r>
    </w:p>
    <w:p w14:paraId="37C728EC" w14:textId="77777777" w:rsidR="003E4B68" w:rsidRPr="003107C9" w:rsidRDefault="003E4B68" w:rsidP="00636E71">
      <w:pPr>
        <w:jc w:val="both"/>
        <w:rPr>
          <w:lang w:val="fr-FR"/>
        </w:rPr>
      </w:pPr>
    </w:p>
    <w:p w14:paraId="6E79C437" w14:textId="77777777" w:rsidR="003E4B68" w:rsidRPr="003107C9" w:rsidRDefault="003E4B68" w:rsidP="00636E71">
      <w:pPr>
        <w:pStyle w:val="ListParagraph"/>
        <w:numPr>
          <w:ilvl w:val="0"/>
          <w:numId w:val="48"/>
        </w:numPr>
        <w:jc w:val="both"/>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373620E3" w14:textId="77777777" w:rsidR="00BA2FD0" w:rsidRDefault="00BA2FD0" w:rsidP="00636E71">
      <w:pPr>
        <w:jc w:val="both"/>
        <w:rPr>
          <w:lang w:val="fr-FR"/>
        </w:rPr>
      </w:pPr>
    </w:p>
    <w:p w14:paraId="3252F265" w14:textId="77777777" w:rsidR="00EC038E" w:rsidRPr="00C84C49" w:rsidRDefault="00EC038E" w:rsidP="00636E71">
      <w:pPr>
        <w:jc w:val="both"/>
        <w:rPr>
          <w:lang w:val="fr-FR"/>
        </w:rPr>
      </w:pPr>
    </w:p>
    <w:p w14:paraId="07DD2A32" w14:textId="6CDB2BF8" w:rsidR="002C10C4" w:rsidRPr="00C1342A" w:rsidRDefault="002C10C4" w:rsidP="00636E71">
      <w:pPr>
        <w:jc w:val="both"/>
        <w:rPr>
          <w:lang w:val="fr-FR"/>
        </w:rPr>
      </w:pPr>
      <w:r w:rsidRPr="00C84C49">
        <w:rPr>
          <w:lang w:val="fr-FR"/>
        </w:rPr>
        <w:t xml:space="preserve">En </w:t>
      </w:r>
      <w:proofErr w:type="gramStart"/>
      <w:r w:rsidRPr="00C84C49">
        <w:rPr>
          <w:lang w:val="fr-FR"/>
        </w:rPr>
        <w:t>2021</w:t>
      </w:r>
      <w:r w:rsidR="00014EF4">
        <w:rPr>
          <w:lang w:val="fr-FR"/>
        </w:rPr>
        <w:t>,</w:t>
      </w:r>
      <w:r w:rsidRPr="00C84C49">
        <w:rPr>
          <w:lang w:val="fr-FR"/>
        </w:rPr>
        <w:t>le</w:t>
      </w:r>
      <w:proofErr w:type="gramEnd"/>
      <w:r w:rsidRPr="00C84C49">
        <w:rPr>
          <w:lang w:val="fr-FR"/>
        </w:rPr>
        <w:t xml:space="preserve"> secteur de la justice a été fortement affecté en 2021 par les infections et décès de certains partenaires</w:t>
      </w:r>
      <w:r w:rsidR="00EC038E" w:rsidRPr="00C84C49">
        <w:rPr>
          <w:lang w:val="fr-FR"/>
        </w:rPr>
        <w:t>-</w:t>
      </w:r>
      <w:r w:rsidRPr="00C84C49">
        <w:rPr>
          <w:lang w:val="fr-FR"/>
        </w:rPr>
        <w:t xml:space="preserve">clés au niveau du Ministère et des tribunaux. Cela a fortement </w:t>
      </w:r>
      <w:proofErr w:type="spellStart"/>
      <w:r w:rsidRPr="00C84C49">
        <w:rPr>
          <w:lang w:val="fr-FR"/>
        </w:rPr>
        <w:t>rallenti</w:t>
      </w:r>
      <w:proofErr w:type="spellEnd"/>
      <w:r w:rsidRPr="00C84C49">
        <w:rPr>
          <w:lang w:val="fr-FR"/>
        </w:rPr>
        <w:t xml:space="preserve"> les activités lié</w:t>
      </w:r>
      <w:r w:rsidR="00EC038E" w:rsidRPr="00C84C49">
        <w:rPr>
          <w:lang w:val="fr-FR"/>
        </w:rPr>
        <w:t>e</w:t>
      </w:r>
      <w:r w:rsidRPr="00C84C49">
        <w:rPr>
          <w:lang w:val="fr-FR"/>
        </w:rPr>
        <w:t xml:space="preserve">s au suivi de la réforme et mise en œuvre de la Politique Sectorielle de la Justice, réduisant ainsi aussi le taux de </w:t>
      </w:r>
      <w:proofErr w:type="spellStart"/>
      <w:r w:rsidRPr="00C84C49">
        <w:rPr>
          <w:lang w:val="fr-FR"/>
        </w:rPr>
        <w:t>delivery</w:t>
      </w:r>
      <w:proofErr w:type="spellEnd"/>
      <w:r w:rsidRPr="00C84C49">
        <w:rPr>
          <w:lang w:val="fr-FR"/>
        </w:rPr>
        <w:t xml:space="preserve"> initialement attendu</w:t>
      </w:r>
      <w:r w:rsidR="00014EF4">
        <w:rPr>
          <w:lang w:val="fr-FR"/>
        </w:rPr>
        <w:t xml:space="preserve"> mais </w:t>
      </w:r>
      <w:r w:rsidR="00BD6710">
        <w:rPr>
          <w:lang w:val="fr-FR"/>
        </w:rPr>
        <w:t xml:space="preserve">cela a pu être rattrapé pendant </w:t>
      </w:r>
      <w:r w:rsidR="00D32C23">
        <w:rPr>
          <w:lang w:val="fr-FR"/>
        </w:rPr>
        <w:t>le deuxième semestre.</w:t>
      </w:r>
    </w:p>
    <w:p w14:paraId="78962383" w14:textId="77777777" w:rsidR="003E4B68" w:rsidRPr="00C1342A" w:rsidRDefault="003E4B68" w:rsidP="00636E71">
      <w:pPr>
        <w:jc w:val="both"/>
        <w:rPr>
          <w:lang w:val="fr-FR"/>
        </w:rPr>
      </w:pPr>
    </w:p>
    <w:p w14:paraId="32DD3E0B" w14:textId="77777777" w:rsidR="003E4B68" w:rsidRDefault="003E4B68" w:rsidP="00636E71">
      <w:pPr>
        <w:pStyle w:val="ListParagraph"/>
        <w:numPr>
          <w:ilvl w:val="0"/>
          <w:numId w:val="48"/>
        </w:numPr>
        <w:jc w:val="both"/>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6CA203BC" w14:textId="77777777" w:rsidR="003E4B68" w:rsidRPr="002D6DA0" w:rsidRDefault="003E4B68" w:rsidP="00636E71">
      <w:pPr>
        <w:pStyle w:val="ListParagraph"/>
        <w:jc w:val="both"/>
        <w:rPr>
          <w:lang w:val="fr-FR"/>
        </w:rPr>
      </w:pPr>
    </w:p>
    <w:p w14:paraId="1E76380A" w14:textId="7F2A0A47" w:rsidR="003E4B68" w:rsidRPr="00CB5499" w:rsidRDefault="00C85C8E" w:rsidP="00636E71">
      <w:pPr>
        <w:jc w:val="both"/>
        <w:rPr>
          <w:lang w:val="fr-FR"/>
        </w:rPr>
      </w:pPr>
      <w:sdt>
        <w:sdtPr>
          <w:rPr>
            <w:lang w:val="fr-FR"/>
          </w:rPr>
          <w:id w:val="402566072"/>
          <w14:checkbox>
            <w14:checked w14:val="1"/>
            <w14:checkedState w14:val="2612" w14:font="MS Gothic"/>
            <w14:uncheckedState w14:val="2610" w14:font="MS Gothic"/>
          </w14:checkbox>
        </w:sdtPr>
        <w:sdtEndPr/>
        <w:sdtContent>
          <w:r w:rsidR="00BA2FD0">
            <w:rPr>
              <w:rFonts w:ascii="MS Gothic" w:eastAsia="MS Gothic" w:hAnsi="MS Gothic" w:hint="eastAsia"/>
              <w:lang w:val="fr-FR"/>
            </w:rPr>
            <w:t>☒</w:t>
          </w:r>
        </w:sdtContent>
      </w:sdt>
      <w:r w:rsidR="003E4B68" w:rsidRPr="00CB5499">
        <w:rPr>
          <w:lang w:val="fr-FR"/>
        </w:rPr>
        <w:t xml:space="preserve"> Renforcer les capacités de gestion de crise et de communication</w:t>
      </w:r>
    </w:p>
    <w:p w14:paraId="38508B1C" w14:textId="77777777" w:rsidR="003E4B68" w:rsidRDefault="00C85C8E" w:rsidP="00636E71">
      <w:pPr>
        <w:jc w:val="both"/>
        <w:rPr>
          <w:lang w:val="fr-FR"/>
        </w:rPr>
      </w:pPr>
      <w:sdt>
        <w:sdtPr>
          <w:rPr>
            <w:lang w:val="fr-FR"/>
          </w:rPr>
          <w:id w:val="1706904896"/>
          <w14:checkbox>
            <w14:checked w14:val="0"/>
            <w14:checkedState w14:val="2612" w14:font="MS Gothic"/>
            <w14:uncheckedState w14:val="2610" w14:font="MS Gothic"/>
          </w14:checkbox>
        </w:sdtPr>
        <w:sdtEndPr/>
        <w:sdtContent>
          <w:r w:rsidR="003E4B68" w:rsidRPr="009E329B">
            <w:rPr>
              <w:rFonts w:ascii="MS Gothic" w:eastAsia="MS Gothic" w:hAnsi="MS Gothic" w:hint="eastAsia"/>
              <w:lang w:val="fr-FR"/>
            </w:rPr>
            <w:t>☐</w:t>
          </w:r>
        </w:sdtContent>
      </w:sdt>
      <w:r w:rsidR="003E4B68" w:rsidRPr="009E329B">
        <w:rPr>
          <w:lang w:val="fr-FR"/>
        </w:rPr>
        <w:t xml:space="preserve"> Assurer une réponse et </w:t>
      </w:r>
      <w:r w:rsidR="003E4B68">
        <w:rPr>
          <w:lang w:val="fr-FR"/>
        </w:rPr>
        <w:t xml:space="preserve">une reprise </w:t>
      </w:r>
      <w:r w:rsidR="003E4B68" w:rsidRPr="009E329B">
        <w:rPr>
          <w:lang w:val="fr-FR"/>
        </w:rPr>
        <w:t>inclusi</w:t>
      </w:r>
      <w:r w:rsidR="003E4B68">
        <w:rPr>
          <w:lang w:val="fr-FR"/>
        </w:rPr>
        <w:t>ves</w:t>
      </w:r>
      <w:r w:rsidR="003E4B68" w:rsidRPr="009E329B">
        <w:rPr>
          <w:lang w:val="fr-FR"/>
        </w:rPr>
        <w:t xml:space="preserve"> et équitables</w:t>
      </w:r>
    </w:p>
    <w:p w14:paraId="04F582D9" w14:textId="2F32C554" w:rsidR="003E4B68" w:rsidRPr="009E329B" w:rsidRDefault="00C85C8E" w:rsidP="00636E71">
      <w:pPr>
        <w:jc w:val="both"/>
        <w:rPr>
          <w:lang w:val="fr-FR"/>
        </w:rPr>
      </w:pPr>
      <w:sdt>
        <w:sdtPr>
          <w:rPr>
            <w:lang w:val="fr-FR"/>
          </w:rPr>
          <w:id w:val="1028075960"/>
          <w14:checkbox>
            <w14:checked w14:val="1"/>
            <w14:checkedState w14:val="2612" w14:font="MS Gothic"/>
            <w14:uncheckedState w14:val="2610" w14:font="MS Gothic"/>
          </w14:checkbox>
        </w:sdtPr>
        <w:sdtEndPr/>
        <w:sdtContent>
          <w:r w:rsidR="00B0360E">
            <w:rPr>
              <w:rFonts w:ascii="MS Gothic" w:eastAsia="MS Gothic" w:hAnsi="MS Gothic" w:hint="eastAsia"/>
              <w:lang w:val="fr-FR"/>
            </w:rPr>
            <w:t>☒</w:t>
          </w:r>
        </w:sdtContent>
      </w:sdt>
      <w:r w:rsidR="003E4B68" w:rsidRPr="009E329B">
        <w:rPr>
          <w:lang w:val="fr-FR"/>
        </w:rPr>
        <w:t xml:space="preserve"> </w:t>
      </w:r>
      <w:r w:rsidR="003E4B68" w:rsidRPr="00953C30">
        <w:rPr>
          <w:lang w:val="fr-FR"/>
        </w:rPr>
        <w:t>Renforcer la cohésion sociale intercommunautaire et la gestion des frontières</w:t>
      </w:r>
    </w:p>
    <w:p w14:paraId="59A971DB" w14:textId="77777777" w:rsidR="003E4B68" w:rsidRPr="00782959" w:rsidRDefault="00C85C8E" w:rsidP="00636E71">
      <w:pPr>
        <w:jc w:val="both"/>
        <w:rPr>
          <w:lang w:val="fr-FR"/>
        </w:rPr>
      </w:pPr>
      <w:sdt>
        <w:sdtPr>
          <w:rPr>
            <w:lang w:val="fr-FR"/>
          </w:rPr>
          <w:id w:val="1433550173"/>
          <w14:checkbox>
            <w14:checked w14:val="0"/>
            <w14:checkedState w14:val="2612" w14:font="MS Gothic"/>
            <w14:uncheckedState w14:val="2610" w14:font="MS Gothic"/>
          </w14:checkbox>
        </w:sdtPr>
        <w:sdtEndPr/>
        <w:sdtContent>
          <w:r w:rsidR="003E4B68" w:rsidRPr="00782959">
            <w:rPr>
              <w:rFonts w:ascii="MS Gothic" w:eastAsia="MS Gothic" w:hAnsi="MS Gothic" w:hint="eastAsia"/>
              <w:lang w:val="fr-FR"/>
            </w:rPr>
            <w:t>☐</w:t>
          </w:r>
        </w:sdtContent>
      </w:sdt>
      <w:r w:rsidR="003E4B68" w:rsidRPr="00782959">
        <w:rPr>
          <w:lang w:val="fr-FR"/>
        </w:rPr>
        <w:t xml:space="preserve"> Lutter contre le discours de haine et la stigmatisation et </w:t>
      </w:r>
      <w:r w:rsidR="003E4B68">
        <w:rPr>
          <w:lang w:val="fr-FR"/>
        </w:rPr>
        <w:t>répondre</w:t>
      </w:r>
      <w:r w:rsidR="003E4B68" w:rsidRPr="00782959">
        <w:rPr>
          <w:lang w:val="fr-FR"/>
        </w:rPr>
        <w:t xml:space="preserve"> </w:t>
      </w:r>
      <w:r w:rsidR="003E4B68">
        <w:rPr>
          <w:lang w:val="fr-FR"/>
        </w:rPr>
        <w:t>aux</w:t>
      </w:r>
      <w:r w:rsidR="003E4B68" w:rsidRPr="00782959">
        <w:rPr>
          <w:lang w:val="fr-FR"/>
        </w:rPr>
        <w:t xml:space="preserve"> traumatismes</w:t>
      </w:r>
    </w:p>
    <w:p w14:paraId="5481D325" w14:textId="77777777" w:rsidR="003E4B68" w:rsidRPr="005D653E" w:rsidRDefault="00C85C8E" w:rsidP="00636E71">
      <w:pPr>
        <w:jc w:val="both"/>
        <w:rPr>
          <w:lang w:val="fr-FR"/>
        </w:rPr>
      </w:pPr>
      <w:sdt>
        <w:sdtPr>
          <w:rPr>
            <w:lang w:val="fr-FR"/>
          </w:rPr>
          <w:id w:val="-197162951"/>
          <w14:checkbox>
            <w14:checked w14:val="0"/>
            <w14:checkedState w14:val="2612" w14:font="MS Gothic"/>
            <w14:uncheckedState w14:val="2610" w14:font="MS Gothic"/>
          </w14:checkbox>
        </w:sdtPr>
        <w:sdtEndPr/>
        <w:sdtContent>
          <w:r w:rsidR="003E4B68" w:rsidRPr="005D653E">
            <w:rPr>
              <w:rFonts w:ascii="MS Gothic" w:eastAsia="MS Gothic" w:hAnsi="MS Gothic" w:hint="eastAsia"/>
              <w:lang w:val="fr-FR"/>
            </w:rPr>
            <w:t>☐</w:t>
          </w:r>
        </w:sdtContent>
      </w:sdt>
      <w:r w:rsidR="003E4B68" w:rsidRPr="005D653E">
        <w:rPr>
          <w:lang w:val="fr-FR"/>
        </w:rPr>
        <w:t xml:space="preserve"> Souten</w:t>
      </w:r>
      <w:r w:rsidR="003E4B68">
        <w:rPr>
          <w:lang w:val="fr-FR"/>
        </w:rPr>
        <w:t>ir</w:t>
      </w:r>
      <w:r w:rsidR="003E4B68" w:rsidRPr="005D653E">
        <w:rPr>
          <w:lang w:val="fr-FR"/>
        </w:rPr>
        <w:t xml:space="preserve"> l'appel du SG </w:t>
      </w:r>
      <w:r w:rsidR="003E4B68">
        <w:rPr>
          <w:lang w:val="fr-FR"/>
        </w:rPr>
        <w:t>au « </w:t>
      </w:r>
      <w:r w:rsidR="003E4B68" w:rsidRPr="005D653E">
        <w:rPr>
          <w:lang w:val="fr-FR"/>
        </w:rPr>
        <w:t>cessez-le-feu mondial</w:t>
      </w:r>
      <w:r w:rsidR="003E4B68">
        <w:rPr>
          <w:lang w:val="fr-FR"/>
        </w:rPr>
        <w:t> »</w:t>
      </w:r>
    </w:p>
    <w:p w14:paraId="138E248F" w14:textId="77777777" w:rsidR="003E4B68" w:rsidRPr="00B456F4" w:rsidRDefault="00C85C8E" w:rsidP="00636E71">
      <w:pPr>
        <w:jc w:val="both"/>
        <w:rPr>
          <w:lang w:val="fr-FR"/>
        </w:rPr>
      </w:pPr>
      <w:sdt>
        <w:sdtPr>
          <w:rPr>
            <w:lang w:val="fr-FR"/>
          </w:rPr>
          <w:id w:val="810906333"/>
          <w14:checkbox>
            <w14:checked w14:val="0"/>
            <w14:checkedState w14:val="2612" w14:font="MS Gothic"/>
            <w14:uncheckedState w14:val="2610" w14:font="MS Gothic"/>
          </w14:checkbox>
        </w:sdtPr>
        <w:sdtEndPr/>
        <w:sdtContent>
          <w:r w:rsidR="003E4B68" w:rsidRPr="00B456F4">
            <w:rPr>
              <w:rFonts w:ascii="MS Gothic" w:eastAsia="MS Gothic" w:hAnsi="MS Gothic" w:hint="eastAsia"/>
              <w:lang w:val="fr-FR"/>
            </w:rPr>
            <w:t>☐</w:t>
          </w:r>
        </w:sdtContent>
      </w:sdt>
      <w:r w:rsidR="003E4B68" w:rsidRPr="00B456F4">
        <w:rPr>
          <w:lang w:val="fr-FR"/>
        </w:rPr>
        <w:t xml:space="preserve"> Autres (veuillez préciser</w:t>
      </w:r>
      <w:proofErr w:type="gramStart"/>
      <w:r w:rsidR="003E4B68" w:rsidRPr="00B456F4">
        <w:rPr>
          <w:lang w:val="fr-FR"/>
        </w:rPr>
        <w:t>):</w:t>
      </w:r>
      <w:proofErr w:type="gramEnd"/>
      <w:r w:rsidR="003E4B68" w:rsidRPr="00B456F4">
        <w:rPr>
          <w:lang w:val="fr-FR"/>
        </w:rPr>
        <w:t xml:space="preserve"> </w:t>
      </w:r>
      <w:r w:rsidR="003E4B68">
        <w:fldChar w:fldCharType="begin">
          <w:ffData>
            <w:name w:val=""/>
            <w:enabled/>
            <w:calcOnExit w:val="0"/>
            <w:textInput>
              <w:maxLength w:val="1500"/>
              <w:format w:val="FIRST CAPITAL"/>
            </w:textInput>
          </w:ffData>
        </w:fldChar>
      </w:r>
      <w:r w:rsidR="003E4B68" w:rsidRPr="00B456F4">
        <w:rPr>
          <w:lang w:val="fr-FR"/>
        </w:rPr>
        <w:instrText xml:space="preserve"> FORMTEXT </w:instrText>
      </w:r>
      <w:r w:rsidR="003E4B68">
        <w:fldChar w:fldCharType="separate"/>
      </w:r>
      <w:r w:rsidR="003E4B68">
        <w:rPr>
          <w:noProof/>
        </w:rPr>
        <w:t> </w:t>
      </w:r>
      <w:r w:rsidR="003E4B68">
        <w:rPr>
          <w:noProof/>
        </w:rPr>
        <w:t> </w:t>
      </w:r>
      <w:r w:rsidR="003E4B68">
        <w:rPr>
          <w:noProof/>
        </w:rPr>
        <w:t> </w:t>
      </w:r>
      <w:r w:rsidR="003E4B68">
        <w:rPr>
          <w:noProof/>
        </w:rPr>
        <w:t> </w:t>
      </w:r>
      <w:r w:rsidR="003E4B68">
        <w:rPr>
          <w:noProof/>
        </w:rPr>
        <w:t> </w:t>
      </w:r>
      <w:r w:rsidR="003E4B68">
        <w:fldChar w:fldCharType="end"/>
      </w:r>
    </w:p>
    <w:p w14:paraId="4F1D4DED" w14:textId="77777777" w:rsidR="003E4B68" w:rsidRPr="00B456F4" w:rsidRDefault="003E4B68" w:rsidP="00636E71">
      <w:pPr>
        <w:ind w:left="2160"/>
        <w:jc w:val="both"/>
        <w:rPr>
          <w:lang w:val="fr-FR"/>
        </w:rPr>
      </w:pPr>
    </w:p>
    <w:p w14:paraId="32435DFB" w14:textId="77777777" w:rsidR="003E4B68" w:rsidRPr="00D61557" w:rsidRDefault="003E4B68" w:rsidP="00636E71">
      <w:pPr>
        <w:jc w:val="both"/>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 xml:space="preserve">comment les ajustements de ce projet ont fait une différence et ont contribué à une </w:t>
      </w:r>
      <w:r w:rsidRPr="00D61557">
        <w:rPr>
          <w:i/>
          <w:iCs/>
          <w:lang w:val="fr-FR"/>
        </w:rPr>
        <w:lastRenderedPageBreak/>
        <w:t>réponse positive à la pandémie / empêché les tensions ou la violence liées à la pandémie, etc.</w:t>
      </w:r>
      <w:r w:rsidRPr="00D61557">
        <w:rPr>
          <w:lang w:val="fr-FR"/>
        </w:rPr>
        <w:t>)</w:t>
      </w:r>
    </w:p>
    <w:p w14:paraId="5D793AB4" w14:textId="77777777" w:rsidR="003E4B68" w:rsidRPr="00D61557" w:rsidRDefault="003E4B68" w:rsidP="003E4B68">
      <w:pPr>
        <w:rPr>
          <w:lang w:val="fr-FR"/>
        </w:rPr>
      </w:pPr>
    </w:p>
    <w:p w14:paraId="0ECDE109" w14:textId="00C9CD52" w:rsidR="003E4B68" w:rsidRPr="00636E71" w:rsidRDefault="00BA2FD0" w:rsidP="003E4B68">
      <w:pPr>
        <w:rPr>
          <w:lang w:val="fr-FR"/>
        </w:rPr>
      </w:pPr>
      <w:r w:rsidRPr="00636E71">
        <w:rPr>
          <w:lang w:val="fr-FR"/>
        </w:rPr>
        <w:t>RAS</w:t>
      </w:r>
    </w:p>
    <w:p w14:paraId="0FB8BF89" w14:textId="18ADF264" w:rsidR="003E4B68" w:rsidRPr="00636E71" w:rsidRDefault="003E4B68" w:rsidP="00F004BF">
      <w:pPr>
        <w:rPr>
          <w:lang w:val="fr-FR"/>
        </w:rPr>
        <w:sectPr w:rsidR="003E4B68" w:rsidRPr="00636E71" w:rsidSect="00F004BF">
          <w:headerReference w:type="default" r:id="rId8"/>
          <w:footerReference w:type="default" r:id="rId9"/>
          <w:pgSz w:w="11906" w:h="16838"/>
          <w:pgMar w:top="1440" w:right="1800" w:bottom="1440" w:left="1800" w:header="720" w:footer="720" w:gutter="0"/>
          <w:cols w:space="720"/>
          <w:docGrid w:linePitch="360"/>
        </w:sectPr>
      </w:pPr>
    </w:p>
    <w:p w14:paraId="3D98B1CD"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25E9E6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194844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r>
        <w:rPr>
          <w:rFonts w:ascii="Times New Roman" w:hAnsi="Times New Roman" w:cs="Times New Roman"/>
          <w:b/>
          <w:sz w:val="24"/>
          <w:szCs w:val="24"/>
          <w:u w:val="single"/>
          <w:lang w:val="fr-FR" w:eastAsia="en-GB"/>
        </w:rPr>
        <w:t>P</w:t>
      </w:r>
      <w:r w:rsidRPr="00675507">
        <w:rPr>
          <w:rFonts w:ascii="Times New Roman" w:hAnsi="Times New Roman" w:cs="Times New Roman"/>
          <w:b/>
          <w:sz w:val="24"/>
          <w:szCs w:val="24"/>
          <w:u w:val="single"/>
          <w:lang w:val="fr-FR" w:eastAsia="en-GB"/>
        </w:rPr>
        <w:t xml:space="preserve">artie IV : ÉVALUATION DE LA PERFORMANCE DU PROJET SUR LA BASE DES </w:t>
      </w:r>
      <w:r w:rsidR="000850E0"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04844FC2"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62F46C70" w14:textId="77777777" w:rsidR="00F004BF" w:rsidRPr="005529F5" w:rsidRDefault="00F004BF" w:rsidP="00DB5416">
      <w:pPr>
        <w:pStyle w:val="HTMLPreformatted"/>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5F0EFE9" w14:textId="77777777" w:rsidR="00F004BF" w:rsidRPr="005529F5" w:rsidRDefault="00F004BF" w:rsidP="00F004BF">
      <w:pPr>
        <w:outlineLvl w:val="0"/>
        <w:rPr>
          <w:sz w:val="22"/>
          <w:szCs w:val="22"/>
          <w:lang w:val="fr-FR" w:eastAsia="en-US"/>
        </w:rPr>
      </w:pPr>
    </w:p>
    <w:tbl>
      <w:tblP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307"/>
        <w:gridCol w:w="1620"/>
        <w:gridCol w:w="2070"/>
        <w:gridCol w:w="2941"/>
        <w:gridCol w:w="3269"/>
      </w:tblGrid>
      <w:tr w:rsidR="00F004BF" w:rsidRPr="00EE01B0" w14:paraId="71FD7A63" w14:textId="77777777" w:rsidTr="00EE01B0">
        <w:trPr>
          <w:tblHeader/>
        </w:trPr>
        <w:tc>
          <w:tcPr>
            <w:tcW w:w="1838" w:type="dxa"/>
          </w:tcPr>
          <w:p w14:paraId="173094B7" w14:textId="77777777" w:rsidR="00F004BF" w:rsidRPr="00147D4F" w:rsidRDefault="00F004BF" w:rsidP="00F004BF">
            <w:pPr>
              <w:jc w:val="center"/>
              <w:rPr>
                <w:b/>
                <w:sz w:val="20"/>
                <w:szCs w:val="20"/>
                <w:lang w:val="fr-FR" w:eastAsia="en-US"/>
              </w:rPr>
            </w:pPr>
          </w:p>
        </w:tc>
        <w:tc>
          <w:tcPr>
            <w:tcW w:w="1985" w:type="dxa"/>
            <w:shd w:val="clear" w:color="auto" w:fill="EEECE1"/>
          </w:tcPr>
          <w:p w14:paraId="3DC5E681" w14:textId="77777777" w:rsidR="00F004BF" w:rsidRPr="00147D4F" w:rsidRDefault="00F004BF" w:rsidP="00F004BF">
            <w:pPr>
              <w:jc w:val="center"/>
              <w:rPr>
                <w:b/>
                <w:sz w:val="20"/>
                <w:szCs w:val="20"/>
                <w:lang w:val="fr-FR" w:eastAsia="en-US"/>
              </w:rPr>
            </w:pPr>
            <w:r w:rsidRPr="00147D4F">
              <w:rPr>
                <w:b/>
                <w:sz w:val="20"/>
                <w:szCs w:val="20"/>
                <w:lang w:val="fr-FR" w:eastAsia="en-US"/>
              </w:rPr>
              <w:t>Indicateurs</w:t>
            </w:r>
          </w:p>
        </w:tc>
        <w:tc>
          <w:tcPr>
            <w:tcW w:w="1307" w:type="dxa"/>
            <w:shd w:val="clear" w:color="auto" w:fill="EEECE1"/>
          </w:tcPr>
          <w:p w14:paraId="6C28BB47" w14:textId="53C9B111" w:rsidR="00F004BF" w:rsidRPr="00147D4F" w:rsidRDefault="00F004BF" w:rsidP="00F004BF">
            <w:pPr>
              <w:jc w:val="center"/>
              <w:rPr>
                <w:b/>
                <w:sz w:val="20"/>
                <w:szCs w:val="20"/>
                <w:lang w:val="fr-FR" w:eastAsia="en-US"/>
              </w:rPr>
            </w:pPr>
            <w:r w:rsidRPr="00147D4F">
              <w:rPr>
                <w:b/>
                <w:sz w:val="20"/>
                <w:szCs w:val="20"/>
                <w:lang w:val="fr-FR" w:eastAsia="en-US"/>
              </w:rPr>
              <w:t xml:space="preserve">Base de </w:t>
            </w:r>
            <w:r w:rsidR="003D2607" w:rsidRPr="00147D4F">
              <w:rPr>
                <w:b/>
                <w:sz w:val="20"/>
                <w:szCs w:val="20"/>
                <w:lang w:val="fr-FR" w:eastAsia="en-US"/>
              </w:rPr>
              <w:t>données</w:t>
            </w:r>
            <w:r w:rsidR="006D1970" w:rsidRPr="00147D4F">
              <w:rPr>
                <w:b/>
                <w:sz w:val="20"/>
                <w:szCs w:val="20"/>
                <w:lang w:val="fr-FR" w:eastAsia="en-US"/>
              </w:rPr>
              <w:t xml:space="preserve"> </w:t>
            </w:r>
          </w:p>
        </w:tc>
        <w:tc>
          <w:tcPr>
            <w:tcW w:w="1620" w:type="dxa"/>
            <w:shd w:val="clear" w:color="auto" w:fill="EEECE1"/>
          </w:tcPr>
          <w:p w14:paraId="71A57984" w14:textId="77777777" w:rsidR="00F004BF" w:rsidRPr="00147D4F" w:rsidRDefault="00F004BF" w:rsidP="00F004BF">
            <w:pPr>
              <w:jc w:val="center"/>
              <w:rPr>
                <w:b/>
                <w:sz w:val="20"/>
                <w:szCs w:val="20"/>
                <w:lang w:val="fr-FR" w:eastAsia="en-US"/>
              </w:rPr>
            </w:pPr>
            <w:r w:rsidRPr="00147D4F">
              <w:rPr>
                <w:b/>
                <w:sz w:val="20"/>
                <w:szCs w:val="20"/>
                <w:lang w:val="fr-FR" w:eastAsia="en-US"/>
              </w:rPr>
              <w:t>Cible de fin de projet</w:t>
            </w:r>
          </w:p>
        </w:tc>
        <w:tc>
          <w:tcPr>
            <w:tcW w:w="2070" w:type="dxa"/>
          </w:tcPr>
          <w:p w14:paraId="7433BE5A" w14:textId="77777777" w:rsidR="00F004BF" w:rsidRPr="00147D4F" w:rsidRDefault="00F004BF" w:rsidP="00F004BF">
            <w:pPr>
              <w:jc w:val="center"/>
              <w:rPr>
                <w:b/>
                <w:sz w:val="20"/>
                <w:szCs w:val="20"/>
                <w:lang w:val="fr-FR" w:eastAsia="en-US"/>
              </w:rPr>
            </w:pPr>
            <w:r w:rsidRPr="00147D4F">
              <w:rPr>
                <w:b/>
                <w:sz w:val="20"/>
                <w:szCs w:val="20"/>
                <w:lang w:val="fr-FR" w:eastAsia="en-US"/>
              </w:rPr>
              <w:t xml:space="preserve">Etapes d’indicateur/ </w:t>
            </w:r>
            <w:proofErr w:type="spellStart"/>
            <w:r w:rsidRPr="00147D4F">
              <w:rPr>
                <w:b/>
                <w:sz w:val="20"/>
                <w:szCs w:val="20"/>
                <w:lang w:val="fr-FR" w:eastAsia="en-US"/>
              </w:rPr>
              <w:t>milestone</w:t>
            </w:r>
            <w:proofErr w:type="spellEnd"/>
          </w:p>
        </w:tc>
        <w:tc>
          <w:tcPr>
            <w:tcW w:w="2941" w:type="dxa"/>
          </w:tcPr>
          <w:p w14:paraId="001A7737" w14:textId="77777777" w:rsidR="00F004BF" w:rsidRPr="00147D4F" w:rsidRDefault="00F004BF" w:rsidP="00F004BF">
            <w:pPr>
              <w:jc w:val="center"/>
              <w:rPr>
                <w:b/>
                <w:sz w:val="20"/>
                <w:szCs w:val="20"/>
                <w:lang w:val="fr-FR" w:eastAsia="en-US"/>
              </w:rPr>
            </w:pPr>
            <w:r w:rsidRPr="00147D4F">
              <w:rPr>
                <w:b/>
                <w:sz w:val="20"/>
                <w:szCs w:val="20"/>
                <w:lang w:val="fr-FR" w:eastAsia="en-US"/>
              </w:rPr>
              <w:t>Progrès actuel de l’indicateur</w:t>
            </w:r>
          </w:p>
        </w:tc>
        <w:tc>
          <w:tcPr>
            <w:tcW w:w="3269" w:type="dxa"/>
          </w:tcPr>
          <w:p w14:paraId="125C177B" w14:textId="77777777" w:rsidR="00F004BF" w:rsidRPr="00147D4F" w:rsidRDefault="00F004BF" w:rsidP="00F004BF">
            <w:pPr>
              <w:jc w:val="center"/>
              <w:rPr>
                <w:b/>
                <w:sz w:val="20"/>
                <w:szCs w:val="20"/>
                <w:lang w:val="fr-FR" w:eastAsia="en-US"/>
              </w:rPr>
            </w:pPr>
            <w:r w:rsidRPr="00147D4F">
              <w:rPr>
                <w:b/>
                <w:sz w:val="20"/>
                <w:szCs w:val="20"/>
                <w:lang w:val="fr-FR" w:eastAsia="en-US"/>
              </w:rPr>
              <w:t>Raisons pour les retards ou changements</w:t>
            </w:r>
          </w:p>
        </w:tc>
      </w:tr>
      <w:tr w:rsidR="00B804F2" w:rsidRPr="00147D4F" w14:paraId="659CEF79" w14:textId="77777777" w:rsidTr="00EE01B0">
        <w:trPr>
          <w:trHeight w:val="548"/>
        </w:trPr>
        <w:tc>
          <w:tcPr>
            <w:tcW w:w="1838" w:type="dxa"/>
            <w:vMerge w:val="restart"/>
          </w:tcPr>
          <w:p w14:paraId="244D12B9" w14:textId="77777777" w:rsidR="00B804F2" w:rsidRPr="00147D4F" w:rsidRDefault="00B804F2" w:rsidP="00147D4F">
            <w:pPr>
              <w:jc w:val="both"/>
              <w:rPr>
                <w:b/>
                <w:sz w:val="20"/>
                <w:szCs w:val="20"/>
                <w:lang w:val="fr-FR" w:eastAsia="en-US"/>
              </w:rPr>
            </w:pPr>
            <w:r w:rsidRPr="00147D4F">
              <w:rPr>
                <w:b/>
                <w:sz w:val="20"/>
                <w:szCs w:val="20"/>
                <w:lang w:val="fr-FR" w:eastAsia="en-US"/>
              </w:rPr>
              <w:t>Résultat 1</w:t>
            </w:r>
          </w:p>
          <w:p w14:paraId="3BD3F855" w14:textId="77777777" w:rsidR="00B804F2" w:rsidRPr="00147D4F" w:rsidRDefault="00B804F2" w:rsidP="00147D4F">
            <w:pPr>
              <w:jc w:val="both"/>
              <w:rPr>
                <w:b/>
                <w:sz w:val="20"/>
                <w:szCs w:val="20"/>
                <w:lang w:val="fr-FR" w:eastAsia="en-US"/>
              </w:rPr>
            </w:pPr>
            <w:r w:rsidRPr="00147D4F">
              <w:rPr>
                <w:sz w:val="20"/>
                <w:szCs w:val="20"/>
                <w:lang w:val="fr-FR" w:eastAsia="en-US"/>
              </w:rPr>
              <w:t>Les institutions du secteur de la justice et les mécanismes de justice transitionnelle sont capables de fournir des services de qualité répondant aux besoins des populations, en particulier des victimes</w:t>
            </w:r>
          </w:p>
        </w:tc>
        <w:tc>
          <w:tcPr>
            <w:tcW w:w="1985" w:type="dxa"/>
            <w:shd w:val="clear" w:color="auto" w:fill="EEECE1"/>
          </w:tcPr>
          <w:p w14:paraId="4DEAA666" w14:textId="77777777" w:rsidR="00B804F2" w:rsidRPr="00147D4F" w:rsidRDefault="00B804F2" w:rsidP="00B804F2">
            <w:pPr>
              <w:jc w:val="both"/>
              <w:rPr>
                <w:sz w:val="20"/>
                <w:szCs w:val="20"/>
                <w:lang w:val="fr-FR" w:eastAsia="en-US"/>
              </w:rPr>
            </w:pPr>
            <w:r w:rsidRPr="00147D4F">
              <w:rPr>
                <w:sz w:val="20"/>
                <w:szCs w:val="20"/>
                <w:lang w:val="fr-FR" w:eastAsia="en-US"/>
              </w:rPr>
              <w:t>Indicateur 1.1</w:t>
            </w:r>
          </w:p>
          <w:p w14:paraId="3DFE88DF" w14:textId="77777777" w:rsidR="00B804F2" w:rsidRPr="00147D4F" w:rsidRDefault="00B804F2" w:rsidP="00B804F2">
            <w:pPr>
              <w:jc w:val="both"/>
              <w:rPr>
                <w:sz w:val="20"/>
                <w:szCs w:val="20"/>
                <w:lang w:val="fr-FR" w:eastAsia="en-US"/>
              </w:rPr>
            </w:pPr>
            <w:r w:rsidRPr="00147D4F">
              <w:rPr>
                <w:sz w:val="20"/>
                <w:szCs w:val="20"/>
                <w:lang w:val="fr-FR" w:eastAsia="en-US"/>
              </w:rPr>
              <w:t>Confiance accrue de la population dans la justice formelle</w:t>
            </w:r>
          </w:p>
        </w:tc>
        <w:tc>
          <w:tcPr>
            <w:tcW w:w="1307" w:type="dxa"/>
            <w:shd w:val="clear" w:color="auto" w:fill="EEECE1"/>
          </w:tcPr>
          <w:p w14:paraId="68D5A97A" w14:textId="77777777" w:rsidR="00B804F2" w:rsidRPr="00147D4F" w:rsidRDefault="00B804F2" w:rsidP="00B804F2">
            <w:pPr>
              <w:rPr>
                <w:sz w:val="20"/>
                <w:szCs w:val="20"/>
                <w:lang w:val="fr-FR" w:eastAsia="en-US"/>
              </w:rPr>
            </w:pPr>
            <w:r w:rsidRPr="00147D4F">
              <w:rPr>
                <w:sz w:val="20"/>
                <w:szCs w:val="20"/>
                <w:lang w:val="fr-FR" w:eastAsia="en-US"/>
              </w:rPr>
              <w:t>50% (58% H / 42% F)</w:t>
            </w:r>
          </w:p>
          <w:p w14:paraId="67D39EAF" w14:textId="77777777" w:rsidR="00B804F2" w:rsidRPr="00147D4F" w:rsidRDefault="00B804F2" w:rsidP="00B804F2">
            <w:pPr>
              <w:rPr>
                <w:sz w:val="20"/>
                <w:szCs w:val="20"/>
                <w:lang w:val="fr-FR" w:eastAsia="en-US"/>
              </w:rPr>
            </w:pPr>
          </w:p>
        </w:tc>
        <w:tc>
          <w:tcPr>
            <w:tcW w:w="1620" w:type="dxa"/>
            <w:shd w:val="clear" w:color="auto" w:fill="EEECE1"/>
          </w:tcPr>
          <w:p w14:paraId="3C7B98F5" w14:textId="2BFB0C37" w:rsidR="00B804F2" w:rsidRPr="00147D4F" w:rsidRDefault="00B804F2" w:rsidP="00B804F2">
            <w:pPr>
              <w:rPr>
                <w:sz w:val="20"/>
                <w:szCs w:val="20"/>
                <w:lang w:val="fr-FR"/>
              </w:rPr>
            </w:pPr>
            <w:r w:rsidRPr="00147D4F">
              <w:rPr>
                <w:sz w:val="20"/>
                <w:szCs w:val="20"/>
                <w:lang w:val="fr-FR" w:eastAsia="en-US"/>
              </w:rPr>
              <w:t>58% (66% H/50%F)</w:t>
            </w:r>
            <w:r w:rsidR="00E6674F" w:rsidRPr="00147D4F" w:rsidDel="00E6674F">
              <w:rPr>
                <w:rStyle w:val="FootnoteReference"/>
                <w:sz w:val="20"/>
                <w:szCs w:val="20"/>
                <w:lang w:val="fr-FR" w:eastAsia="en-US"/>
              </w:rPr>
              <w:t xml:space="preserve"> </w:t>
            </w:r>
          </w:p>
        </w:tc>
        <w:tc>
          <w:tcPr>
            <w:tcW w:w="2070" w:type="dxa"/>
          </w:tcPr>
          <w:p w14:paraId="7D77D017" w14:textId="18D17718" w:rsidR="009D3D15" w:rsidRPr="00147D4F" w:rsidRDefault="009D3D15" w:rsidP="009D3D15">
            <w:pPr>
              <w:rPr>
                <w:sz w:val="20"/>
                <w:szCs w:val="20"/>
                <w:lang w:val="fr-FR" w:eastAsia="en-US"/>
              </w:rPr>
            </w:pPr>
            <w:r w:rsidRPr="00147D4F">
              <w:rPr>
                <w:sz w:val="20"/>
                <w:szCs w:val="20"/>
                <w:lang w:val="fr-FR" w:eastAsia="en-US"/>
              </w:rPr>
              <w:t>46% - 54% Hommes</w:t>
            </w:r>
          </w:p>
          <w:p w14:paraId="6CA7D2BB" w14:textId="186FE623" w:rsidR="00B804F2" w:rsidRPr="00147D4F" w:rsidRDefault="009D3D15" w:rsidP="009D3D15">
            <w:pPr>
              <w:jc w:val="both"/>
              <w:rPr>
                <w:sz w:val="20"/>
                <w:szCs w:val="20"/>
                <w:lang w:val="fr-FR"/>
              </w:rPr>
            </w:pPr>
            <w:r w:rsidRPr="00147D4F">
              <w:rPr>
                <w:sz w:val="20"/>
                <w:szCs w:val="20"/>
                <w:lang w:val="fr-FR" w:eastAsia="en-US"/>
              </w:rPr>
              <w:t xml:space="preserve">41% Femmes </w:t>
            </w:r>
          </w:p>
        </w:tc>
        <w:tc>
          <w:tcPr>
            <w:tcW w:w="2941" w:type="dxa"/>
          </w:tcPr>
          <w:p w14:paraId="7D4C4711" w14:textId="7907A07D" w:rsidR="00B804F2" w:rsidRPr="00147D4F" w:rsidRDefault="005838C9" w:rsidP="00B804F2">
            <w:pPr>
              <w:rPr>
                <w:sz w:val="20"/>
                <w:szCs w:val="20"/>
                <w:lang w:val="fr-FR" w:eastAsia="en-US"/>
              </w:rPr>
            </w:pPr>
            <w:r w:rsidRPr="00147D4F">
              <w:rPr>
                <w:sz w:val="20"/>
                <w:szCs w:val="20"/>
                <w:lang w:val="fr-FR" w:eastAsia="en-US"/>
              </w:rPr>
              <w:t>47% (</w:t>
            </w:r>
            <w:r w:rsidR="00B804F2" w:rsidRPr="00147D4F">
              <w:rPr>
                <w:sz w:val="20"/>
                <w:szCs w:val="20"/>
                <w:lang w:val="fr-FR" w:eastAsia="en-US"/>
              </w:rPr>
              <w:t>5</w:t>
            </w:r>
            <w:r w:rsidR="00025681" w:rsidRPr="00147D4F">
              <w:rPr>
                <w:sz w:val="20"/>
                <w:szCs w:val="20"/>
                <w:lang w:val="fr-FR" w:eastAsia="en-US"/>
              </w:rPr>
              <w:t>4</w:t>
            </w:r>
            <w:r w:rsidR="00B804F2" w:rsidRPr="00147D4F">
              <w:rPr>
                <w:sz w:val="20"/>
                <w:szCs w:val="20"/>
                <w:lang w:val="fr-FR" w:eastAsia="en-US"/>
              </w:rPr>
              <w:t>% Hommes</w:t>
            </w:r>
            <w:r w:rsidRPr="00147D4F">
              <w:rPr>
                <w:sz w:val="20"/>
                <w:szCs w:val="20"/>
                <w:lang w:val="fr-FR" w:eastAsia="en-US"/>
              </w:rPr>
              <w:t> ;</w:t>
            </w:r>
          </w:p>
          <w:p w14:paraId="724F502F" w14:textId="34A4C343" w:rsidR="00B804F2" w:rsidRPr="00147D4F" w:rsidRDefault="00025681" w:rsidP="005838C9">
            <w:pPr>
              <w:jc w:val="both"/>
              <w:rPr>
                <w:sz w:val="20"/>
                <w:szCs w:val="20"/>
                <w:lang w:val="fr-FR"/>
              </w:rPr>
            </w:pPr>
            <w:r w:rsidRPr="00147D4F">
              <w:rPr>
                <w:sz w:val="20"/>
                <w:szCs w:val="20"/>
                <w:lang w:val="fr-FR" w:eastAsia="en-US"/>
              </w:rPr>
              <w:t>41</w:t>
            </w:r>
            <w:r w:rsidR="00B804F2" w:rsidRPr="00147D4F">
              <w:rPr>
                <w:sz w:val="20"/>
                <w:szCs w:val="20"/>
                <w:lang w:val="fr-FR" w:eastAsia="en-US"/>
              </w:rPr>
              <w:t>% Femmes</w:t>
            </w:r>
            <w:r w:rsidR="005838C9" w:rsidRPr="00147D4F">
              <w:rPr>
                <w:sz w:val="20"/>
                <w:szCs w:val="20"/>
                <w:lang w:val="fr-FR" w:eastAsia="en-US"/>
              </w:rPr>
              <w:t>)</w:t>
            </w:r>
          </w:p>
        </w:tc>
        <w:tc>
          <w:tcPr>
            <w:tcW w:w="3269" w:type="dxa"/>
          </w:tcPr>
          <w:p w14:paraId="67C40266" w14:textId="77777777" w:rsidR="00B804F2" w:rsidRPr="00147D4F" w:rsidRDefault="003D0957" w:rsidP="00636E71">
            <w:pPr>
              <w:jc w:val="both"/>
              <w:rPr>
                <w:sz w:val="20"/>
                <w:szCs w:val="20"/>
                <w:lang w:val="fr-FR"/>
              </w:rPr>
            </w:pPr>
            <w:r w:rsidRPr="00147D4F">
              <w:rPr>
                <w:b/>
                <w:sz w:val="20"/>
                <w:szCs w:val="20"/>
                <w:lang w:val="fr-FR" w:eastAsia="en-US"/>
              </w:rPr>
              <w:t>-</w:t>
            </w:r>
          </w:p>
        </w:tc>
      </w:tr>
      <w:tr w:rsidR="00B804F2" w:rsidRPr="00EE01B0" w14:paraId="52633E78" w14:textId="77777777" w:rsidTr="00EE01B0">
        <w:trPr>
          <w:trHeight w:val="548"/>
        </w:trPr>
        <w:tc>
          <w:tcPr>
            <w:tcW w:w="1838" w:type="dxa"/>
            <w:vMerge/>
          </w:tcPr>
          <w:p w14:paraId="509BEECA" w14:textId="77777777" w:rsidR="00B804F2" w:rsidRPr="00147D4F" w:rsidRDefault="00B804F2" w:rsidP="00147D4F">
            <w:pPr>
              <w:jc w:val="both"/>
              <w:rPr>
                <w:b/>
                <w:sz w:val="20"/>
                <w:szCs w:val="20"/>
                <w:lang w:val="fr-FR" w:eastAsia="en-US"/>
              </w:rPr>
            </w:pPr>
          </w:p>
        </w:tc>
        <w:tc>
          <w:tcPr>
            <w:tcW w:w="1985" w:type="dxa"/>
            <w:shd w:val="clear" w:color="auto" w:fill="EEECE1"/>
          </w:tcPr>
          <w:p w14:paraId="0924A290" w14:textId="77777777" w:rsidR="00B804F2" w:rsidRPr="00147D4F" w:rsidRDefault="00B804F2" w:rsidP="00147D4F">
            <w:pPr>
              <w:jc w:val="both"/>
              <w:rPr>
                <w:sz w:val="20"/>
                <w:szCs w:val="20"/>
                <w:lang w:val="fr-FR" w:eastAsia="en-US"/>
              </w:rPr>
            </w:pPr>
            <w:r w:rsidRPr="00147D4F">
              <w:rPr>
                <w:sz w:val="20"/>
                <w:szCs w:val="20"/>
                <w:lang w:val="fr-FR" w:eastAsia="en-US"/>
              </w:rPr>
              <w:t>Indicateur 1.2</w:t>
            </w:r>
          </w:p>
          <w:p w14:paraId="5D7D265B" w14:textId="77777777" w:rsidR="00B804F2" w:rsidRPr="00147D4F" w:rsidRDefault="00B804F2" w:rsidP="00147D4F">
            <w:pPr>
              <w:jc w:val="both"/>
              <w:rPr>
                <w:sz w:val="20"/>
                <w:szCs w:val="20"/>
                <w:lang w:val="fr-FR" w:eastAsia="en-US"/>
              </w:rPr>
            </w:pPr>
            <w:r w:rsidRPr="00147D4F">
              <w:rPr>
                <w:sz w:val="20"/>
                <w:szCs w:val="20"/>
                <w:lang w:val="fr-FR" w:eastAsia="en-US"/>
              </w:rPr>
              <w:t>Existence d’un mécanisme de coordination/complémentarité entre la CVJRR, la justice ordinaire et la CPS</w:t>
            </w:r>
          </w:p>
        </w:tc>
        <w:tc>
          <w:tcPr>
            <w:tcW w:w="1307" w:type="dxa"/>
            <w:shd w:val="clear" w:color="auto" w:fill="EEECE1"/>
          </w:tcPr>
          <w:p w14:paraId="25356C2B" w14:textId="345592DB" w:rsidR="00B804F2" w:rsidRPr="00147D4F" w:rsidRDefault="00875398" w:rsidP="00B804F2">
            <w:pPr>
              <w:rPr>
                <w:sz w:val="20"/>
                <w:szCs w:val="20"/>
                <w:lang w:val="fr-FR"/>
              </w:rPr>
            </w:pPr>
            <w:r w:rsidRPr="00147D4F">
              <w:rPr>
                <w:sz w:val="20"/>
                <w:szCs w:val="20"/>
                <w:lang w:val="fr-FR" w:eastAsia="en-US"/>
              </w:rPr>
              <w:t>Non</w:t>
            </w:r>
          </w:p>
        </w:tc>
        <w:tc>
          <w:tcPr>
            <w:tcW w:w="1620" w:type="dxa"/>
            <w:shd w:val="clear" w:color="auto" w:fill="EEECE1"/>
          </w:tcPr>
          <w:p w14:paraId="0D8371CF" w14:textId="51EFADE7" w:rsidR="00B804F2" w:rsidRPr="00147D4F" w:rsidRDefault="00875398" w:rsidP="00B804F2">
            <w:pPr>
              <w:rPr>
                <w:sz w:val="20"/>
                <w:szCs w:val="20"/>
                <w:lang w:val="fr-FR"/>
              </w:rPr>
            </w:pPr>
            <w:r w:rsidRPr="00147D4F">
              <w:rPr>
                <w:sz w:val="20"/>
                <w:szCs w:val="20"/>
                <w:lang w:val="fr-FR" w:eastAsia="en-US"/>
              </w:rPr>
              <w:t>Oui</w:t>
            </w:r>
          </w:p>
        </w:tc>
        <w:tc>
          <w:tcPr>
            <w:tcW w:w="2070" w:type="dxa"/>
          </w:tcPr>
          <w:p w14:paraId="06B1D0EB" w14:textId="23BE3C6C" w:rsidR="00B804F2" w:rsidRPr="00147D4F" w:rsidRDefault="00BE41A4" w:rsidP="00636E71">
            <w:pPr>
              <w:jc w:val="both"/>
              <w:rPr>
                <w:sz w:val="20"/>
                <w:szCs w:val="20"/>
                <w:lang w:val="fr-FR"/>
              </w:rPr>
            </w:pPr>
            <w:r w:rsidRPr="00147D4F">
              <w:rPr>
                <w:sz w:val="20"/>
                <w:szCs w:val="20"/>
                <w:lang w:val="fr-FR" w:eastAsia="en-US"/>
              </w:rPr>
              <w:t>Existence du groupe thématique sur la « justice transitionnelle et les Droits Humains » de la politique sectorielle de la justice</w:t>
            </w:r>
            <w:r w:rsidR="00E77002" w:rsidRPr="00147D4F">
              <w:rPr>
                <w:sz w:val="20"/>
                <w:szCs w:val="20"/>
                <w:lang w:val="fr-FR" w:eastAsia="en-US"/>
              </w:rPr>
              <w:t xml:space="preserve"> en juin 2020 et existence d’un arrêté portant sur Comité préparatoire des assises criminelles intégrant </w:t>
            </w:r>
            <w:r w:rsidR="008F684C" w:rsidRPr="00147D4F">
              <w:rPr>
                <w:sz w:val="20"/>
                <w:szCs w:val="20"/>
                <w:lang w:val="fr-FR" w:eastAsia="en-US"/>
              </w:rPr>
              <w:t>représentants</w:t>
            </w:r>
            <w:r w:rsidR="00E77002" w:rsidRPr="00147D4F">
              <w:rPr>
                <w:sz w:val="20"/>
                <w:szCs w:val="20"/>
                <w:lang w:val="fr-FR" w:eastAsia="en-US"/>
              </w:rPr>
              <w:t xml:space="preserve"> de la CPS (juin 2020) </w:t>
            </w:r>
          </w:p>
        </w:tc>
        <w:tc>
          <w:tcPr>
            <w:tcW w:w="2941" w:type="dxa"/>
          </w:tcPr>
          <w:p w14:paraId="6EA87C1E" w14:textId="47C0A12D" w:rsidR="00B804F2" w:rsidRPr="00147D4F" w:rsidRDefault="00006ABF" w:rsidP="00147D4F">
            <w:pPr>
              <w:jc w:val="both"/>
              <w:rPr>
                <w:sz w:val="20"/>
                <w:szCs w:val="20"/>
                <w:lang w:val="fr-FR"/>
              </w:rPr>
            </w:pPr>
            <w:r w:rsidRPr="00147D4F">
              <w:rPr>
                <w:b/>
                <w:sz w:val="20"/>
                <w:szCs w:val="20"/>
                <w:lang w:val="fr-FR" w:eastAsia="en-US"/>
              </w:rPr>
              <w:t>Oui</w:t>
            </w:r>
            <w:r w:rsidR="00147D4F" w:rsidRPr="00147D4F">
              <w:rPr>
                <w:b/>
                <w:sz w:val="20"/>
                <w:szCs w:val="20"/>
                <w:lang w:val="fr-FR" w:eastAsia="en-US"/>
              </w:rPr>
              <w:t xml:space="preserve"> – </w:t>
            </w:r>
            <w:r w:rsidR="00263D5B" w:rsidRPr="00147D4F">
              <w:rPr>
                <w:sz w:val="20"/>
                <w:szCs w:val="20"/>
                <w:lang w:val="fr-FR" w:eastAsia="en-US"/>
              </w:rPr>
              <w:t>Le groupe thématique sur la « justice transitionnelle et les Droits Humains » de la politique sectorielle de la justice existe et est opérationnel.</w:t>
            </w:r>
          </w:p>
        </w:tc>
        <w:tc>
          <w:tcPr>
            <w:tcW w:w="3269" w:type="dxa"/>
          </w:tcPr>
          <w:p w14:paraId="50AE864E" w14:textId="7D0B8175" w:rsidR="00B804F2" w:rsidRPr="00147D4F" w:rsidRDefault="00B804F2" w:rsidP="00636E71">
            <w:pPr>
              <w:jc w:val="both"/>
              <w:rPr>
                <w:sz w:val="20"/>
                <w:szCs w:val="20"/>
                <w:lang w:val="fr-FR"/>
              </w:rPr>
            </w:pPr>
          </w:p>
        </w:tc>
      </w:tr>
      <w:tr w:rsidR="00B804F2" w:rsidRPr="00147D4F" w14:paraId="2816F6EF" w14:textId="77777777" w:rsidTr="00EE01B0">
        <w:trPr>
          <w:trHeight w:val="548"/>
        </w:trPr>
        <w:tc>
          <w:tcPr>
            <w:tcW w:w="1838" w:type="dxa"/>
            <w:vMerge w:val="restart"/>
          </w:tcPr>
          <w:p w14:paraId="009F83CC" w14:textId="77777777" w:rsidR="00B804F2" w:rsidRPr="00147D4F" w:rsidRDefault="00B804F2" w:rsidP="00147D4F">
            <w:pPr>
              <w:jc w:val="both"/>
              <w:rPr>
                <w:sz w:val="20"/>
                <w:szCs w:val="20"/>
                <w:lang w:val="fr-FR" w:eastAsia="en-US"/>
              </w:rPr>
            </w:pPr>
            <w:r w:rsidRPr="00147D4F">
              <w:rPr>
                <w:sz w:val="20"/>
                <w:szCs w:val="20"/>
                <w:lang w:val="fr-FR" w:eastAsia="en-US"/>
              </w:rPr>
              <w:t>Produit 1.1</w:t>
            </w:r>
          </w:p>
          <w:p w14:paraId="028FC789" w14:textId="77777777" w:rsidR="00B804F2" w:rsidRPr="00147D4F" w:rsidRDefault="00B804F2" w:rsidP="00147D4F">
            <w:pPr>
              <w:jc w:val="both"/>
              <w:rPr>
                <w:sz w:val="20"/>
                <w:szCs w:val="20"/>
                <w:lang w:val="fr-FR" w:eastAsia="en-US"/>
              </w:rPr>
            </w:pPr>
            <w:r w:rsidRPr="00147D4F">
              <w:rPr>
                <w:sz w:val="20"/>
                <w:szCs w:val="20"/>
                <w:lang w:val="fr-FR" w:eastAsia="en-US"/>
              </w:rPr>
              <w:t xml:space="preserve">Réformes et mécanismes pour une architecture de justice </w:t>
            </w:r>
            <w:r w:rsidRPr="00147D4F">
              <w:rPr>
                <w:sz w:val="20"/>
                <w:szCs w:val="20"/>
                <w:lang w:val="fr-FR" w:eastAsia="en-US"/>
              </w:rPr>
              <w:lastRenderedPageBreak/>
              <w:t>transitionnelle mises en œuvre et communiquées au centrafricains</w:t>
            </w:r>
          </w:p>
          <w:p w14:paraId="60E67C81" w14:textId="77777777" w:rsidR="00B804F2" w:rsidRPr="00147D4F" w:rsidRDefault="00B804F2" w:rsidP="00147D4F">
            <w:pPr>
              <w:jc w:val="both"/>
              <w:rPr>
                <w:b/>
                <w:sz w:val="20"/>
                <w:szCs w:val="20"/>
                <w:lang w:val="fr-FR" w:eastAsia="en-US"/>
              </w:rPr>
            </w:pPr>
          </w:p>
        </w:tc>
        <w:tc>
          <w:tcPr>
            <w:tcW w:w="1985" w:type="dxa"/>
            <w:shd w:val="clear" w:color="auto" w:fill="EEECE1"/>
          </w:tcPr>
          <w:p w14:paraId="05434CE0" w14:textId="77777777" w:rsidR="00B804F2" w:rsidRPr="00147D4F" w:rsidRDefault="00B804F2" w:rsidP="00147D4F">
            <w:pPr>
              <w:jc w:val="both"/>
              <w:rPr>
                <w:sz w:val="20"/>
                <w:szCs w:val="20"/>
                <w:lang w:val="fr-FR" w:eastAsia="en-US"/>
              </w:rPr>
            </w:pPr>
            <w:r w:rsidRPr="00147D4F">
              <w:rPr>
                <w:sz w:val="20"/>
                <w:szCs w:val="20"/>
                <w:lang w:val="fr-FR" w:eastAsia="en-US"/>
              </w:rPr>
              <w:lastRenderedPageBreak/>
              <w:t>Indicateur 1.1.1</w:t>
            </w:r>
          </w:p>
          <w:p w14:paraId="01E8D6BD" w14:textId="77777777" w:rsidR="00B804F2" w:rsidRPr="00147D4F" w:rsidRDefault="00B804F2" w:rsidP="00147D4F">
            <w:pPr>
              <w:jc w:val="both"/>
              <w:rPr>
                <w:sz w:val="20"/>
                <w:szCs w:val="20"/>
                <w:lang w:val="fr-FR" w:eastAsia="en-US"/>
              </w:rPr>
            </w:pPr>
            <w:r w:rsidRPr="00147D4F">
              <w:rPr>
                <w:sz w:val="20"/>
                <w:szCs w:val="20"/>
                <w:lang w:val="fr-FR" w:eastAsia="en-US"/>
              </w:rPr>
              <w:t>La politique sectorielle de la justice est élaborée et validée</w:t>
            </w:r>
          </w:p>
        </w:tc>
        <w:tc>
          <w:tcPr>
            <w:tcW w:w="1307" w:type="dxa"/>
            <w:shd w:val="clear" w:color="auto" w:fill="EEECE1"/>
          </w:tcPr>
          <w:p w14:paraId="5C82CE53" w14:textId="36D62264" w:rsidR="00B804F2" w:rsidRPr="00147D4F" w:rsidRDefault="00B804F2" w:rsidP="00B804F2">
            <w:pPr>
              <w:rPr>
                <w:sz w:val="20"/>
                <w:szCs w:val="20"/>
                <w:lang w:val="fr-FR"/>
              </w:rPr>
            </w:pPr>
            <w:r w:rsidRPr="00147D4F">
              <w:rPr>
                <w:sz w:val="20"/>
                <w:szCs w:val="20"/>
                <w:lang w:val="fr-FR"/>
              </w:rPr>
              <w:t>1 draft exist</w:t>
            </w:r>
            <w:r w:rsidR="00181656" w:rsidRPr="00147D4F">
              <w:rPr>
                <w:sz w:val="20"/>
                <w:szCs w:val="20"/>
                <w:lang w:val="fr-FR"/>
              </w:rPr>
              <w:t>a</w:t>
            </w:r>
            <w:r w:rsidRPr="00147D4F">
              <w:rPr>
                <w:sz w:val="20"/>
                <w:szCs w:val="20"/>
                <w:lang w:val="fr-FR"/>
              </w:rPr>
              <w:t>nt</w:t>
            </w:r>
            <w:r w:rsidR="00875398" w:rsidRPr="00147D4F">
              <w:rPr>
                <w:sz w:val="20"/>
                <w:szCs w:val="20"/>
                <w:lang w:val="fr-FR"/>
              </w:rPr>
              <w:t xml:space="preserve"> </w:t>
            </w:r>
          </w:p>
        </w:tc>
        <w:tc>
          <w:tcPr>
            <w:tcW w:w="1620" w:type="dxa"/>
            <w:shd w:val="clear" w:color="auto" w:fill="EEECE1"/>
          </w:tcPr>
          <w:p w14:paraId="213232CE" w14:textId="77777777" w:rsidR="00B804F2" w:rsidRPr="00147D4F" w:rsidRDefault="00B804F2" w:rsidP="00B804F2">
            <w:pPr>
              <w:rPr>
                <w:sz w:val="20"/>
                <w:szCs w:val="20"/>
                <w:lang w:val="fr-FR"/>
              </w:rPr>
            </w:pPr>
            <w:r w:rsidRPr="00147D4F">
              <w:rPr>
                <w:sz w:val="20"/>
                <w:szCs w:val="20"/>
                <w:lang w:val="fr-FR" w:eastAsia="en-US"/>
              </w:rPr>
              <w:t>Document validé au niveau national et rendu public</w:t>
            </w:r>
          </w:p>
        </w:tc>
        <w:tc>
          <w:tcPr>
            <w:tcW w:w="2070" w:type="dxa"/>
          </w:tcPr>
          <w:p w14:paraId="1DD3BB7D" w14:textId="4FF22FF1" w:rsidR="00B804F2" w:rsidRPr="00147D4F" w:rsidRDefault="00B804F2" w:rsidP="00147D4F">
            <w:pPr>
              <w:jc w:val="both"/>
              <w:rPr>
                <w:sz w:val="20"/>
                <w:szCs w:val="20"/>
                <w:lang w:val="fr-FR"/>
              </w:rPr>
            </w:pPr>
            <w:r w:rsidRPr="00147D4F">
              <w:rPr>
                <w:sz w:val="20"/>
                <w:szCs w:val="20"/>
                <w:lang w:val="fr-FR" w:eastAsia="en-US"/>
              </w:rPr>
              <w:t>1 document validé au niveau national et rendu public</w:t>
            </w:r>
            <w:r w:rsidR="00875398" w:rsidRPr="00147D4F">
              <w:rPr>
                <w:sz w:val="20"/>
                <w:szCs w:val="20"/>
                <w:lang w:val="fr-FR" w:eastAsia="en-US"/>
              </w:rPr>
              <w:t xml:space="preserve"> </w:t>
            </w:r>
          </w:p>
        </w:tc>
        <w:tc>
          <w:tcPr>
            <w:tcW w:w="2941" w:type="dxa"/>
          </w:tcPr>
          <w:p w14:paraId="5ECC7C28" w14:textId="4BE400C0" w:rsidR="00B804F2" w:rsidRPr="00147D4F" w:rsidRDefault="00B804F2" w:rsidP="00147D4F">
            <w:pPr>
              <w:jc w:val="both"/>
              <w:rPr>
                <w:sz w:val="20"/>
                <w:szCs w:val="20"/>
                <w:lang w:val="fr-FR"/>
              </w:rPr>
            </w:pPr>
            <w:r w:rsidRPr="00147D4F">
              <w:rPr>
                <w:sz w:val="20"/>
                <w:szCs w:val="20"/>
                <w:lang w:val="fr-FR" w:eastAsia="en-US"/>
              </w:rPr>
              <w:t>1 document validé au niveau national et rendu public</w:t>
            </w:r>
            <w:r w:rsidR="00B81B7D" w:rsidRPr="00147D4F">
              <w:rPr>
                <w:sz w:val="20"/>
                <w:szCs w:val="20"/>
                <w:lang w:val="fr-FR" w:eastAsia="en-US"/>
              </w:rPr>
              <w:t xml:space="preserve"> (décembre 2019)</w:t>
            </w:r>
          </w:p>
        </w:tc>
        <w:tc>
          <w:tcPr>
            <w:tcW w:w="3269" w:type="dxa"/>
          </w:tcPr>
          <w:p w14:paraId="65C3EAE3" w14:textId="77777777" w:rsidR="00B804F2" w:rsidRPr="00147D4F" w:rsidRDefault="00B804F2" w:rsidP="00B804F2">
            <w:pPr>
              <w:rPr>
                <w:sz w:val="20"/>
                <w:szCs w:val="20"/>
                <w:lang w:val="fr-FR"/>
              </w:rPr>
            </w:pPr>
            <w:r w:rsidRPr="00147D4F">
              <w:rPr>
                <w:b/>
                <w:sz w:val="20"/>
                <w:szCs w:val="20"/>
                <w:lang w:val="fr-FR" w:eastAsia="en-US"/>
              </w:rPr>
              <w:fldChar w:fldCharType="begin">
                <w:ffData>
                  <w:name w:val=""/>
                  <w:enabled/>
                  <w:calcOnExit w:val="0"/>
                  <w:textInput>
                    <w:maxLength w:val="300"/>
                  </w:textInput>
                </w:ffData>
              </w:fldChar>
            </w:r>
            <w:r w:rsidRPr="00147D4F">
              <w:rPr>
                <w:b/>
                <w:sz w:val="20"/>
                <w:szCs w:val="20"/>
                <w:lang w:val="fr-FR" w:eastAsia="en-US"/>
              </w:rPr>
              <w:instrText xml:space="preserve"> FORMTEXT </w:instrText>
            </w:r>
            <w:r w:rsidRPr="00147D4F">
              <w:rPr>
                <w:b/>
                <w:sz w:val="20"/>
                <w:szCs w:val="20"/>
                <w:lang w:val="fr-FR" w:eastAsia="en-US"/>
              </w:rPr>
            </w:r>
            <w:r w:rsidRPr="00147D4F">
              <w:rPr>
                <w:b/>
                <w:sz w:val="20"/>
                <w:szCs w:val="20"/>
                <w:lang w:val="fr-FR" w:eastAsia="en-US"/>
              </w:rPr>
              <w:fldChar w:fldCharType="separate"/>
            </w:r>
            <w:r w:rsidRPr="00147D4F">
              <w:rPr>
                <w:b/>
                <w:noProof/>
                <w:sz w:val="20"/>
                <w:szCs w:val="20"/>
                <w:lang w:val="fr-FR" w:eastAsia="en-US"/>
              </w:rPr>
              <w:t> </w:t>
            </w:r>
            <w:r w:rsidRPr="00147D4F">
              <w:rPr>
                <w:b/>
                <w:noProof/>
                <w:sz w:val="20"/>
                <w:szCs w:val="20"/>
                <w:lang w:val="fr-FR" w:eastAsia="en-US"/>
              </w:rPr>
              <w:t> </w:t>
            </w:r>
            <w:r w:rsidRPr="00147D4F">
              <w:rPr>
                <w:b/>
                <w:noProof/>
                <w:sz w:val="20"/>
                <w:szCs w:val="20"/>
                <w:lang w:val="fr-FR" w:eastAsia="en-US"/>
              </w:rPr>
              <w:t> </w:t>
            </w:r>
            <w:r w:rsidRPr="00147D4F">
              <w:rPr>
                <w:b/>
                <w:noProof/>
                <w:sz w:val="20"/>
                <w:szCs w:val="20"/>
                <w:lang w:val="fr-FR" w:eastAsia="en-US"/>
              </w:rPr>
              <w:t> </w:t>
            </w:r>
            <w:r w:rsidRPr="00147D4F">
              <w:rPr>
                <w:b/>
                <w:noProof/>
                <w:sz w:val="20"/>
                <w:szCs w:val="20"/>
                <w:lang w:val="fr-FR" w:eastAsia="en-US"/>
              </w:rPr>
              <w:t> </w:t>
            </w:r>
            <w:r w:rsidRPr="00147D4F">
              <w:rPr>
                <w:b/>
                <w:sz w:val="20"/>
                <w:szCs w:val="20"/>
                <w:lang w:val="fr-FR" w:eastAsia="en-US"/>
              </w:rPr>
              <w:fldChar w:fldCharType="end"/>
            </w:r>
          </w:p>
        </w:tc>
      </w:tr>
      <w:tr w:rsidR="00B804F2" w:rsidRPr="00EE01B0" w14:paraId="318973C5" w14:textId="77777777" w:rsidTr="00EE01B0">
        <w:trPr>
          <w:trHeight w:val="512"/>
        </w:trPr>
        <w:tc>
          <w:tcPr>
            <w:tcW w:w="1838" w:type="dxa"/>
            <w:vMerge/>
          </w:tcPr>
          <w:p w14:paraId="140BFAF4" w14:textId="77777777" w:rsidR="00B804F2" w:rsidRPr="00147D4F" w:rsidRDefault="00B804F2" w:rsidP="00B804F2">
            <w:pPr>
              <w:rPr>
                <w:b/>
                <w:sz w:val="20"/>
                <w:szCs w:val="20"/>
                <w:lang w:val="fr-FR" w:eastAsia="en-US"/>
              </w:rPr>
            </w:pPr>
          </w:p>
        </w:tc>
        <w:tc>
          <w:tcPr>
            <w:tcW w:w="1985" w:type="dxa"/>
            <w:shd w:val="clear" w:color="auto" w:fill="EEECE1"/>
          </w:tcPr>
          <w:p w14:paraId="2AA72B19" w14:textId="77777777" w:rsidR="00B804F2" w:rsidRPr="00147D4F" w:rsidRDefault="00B804F2" w:rsidP="00B804F2">
            <w:pPr>
              <w:jc w:val="both"/>
              <w:rPr>
                <w:sz w:val="20"/>
                <w:szCs w:val="20"/>
                <w:lang w:val="fr-FR" w:eastAsia="en-US"/>
              </w:rPr>
            </w:pPr>
            <w:r w:rsidRPr="00147D4F">
              <w:rPr>
                <w:sz w:val="20"/>
                <w:szCs w:val="20"/>
                <w:lang w:val="fr-FR" w:eastAsia="en-US"/>
              </w:rPr>
              <w:t>Indicateur 1.1.2</w:t>
            </w:r>
          </w:p>
          <w:p w14:paraId="6A2D2A5B" w14:textId="77777777" w:rsidR="00B804F2" w:rsidRPr="00147D4F" w:rsidRDefault="00B804F2" w:rsidP="00147D4F">
            <w:pPr>
              <w:jc w:val="both"/>
              <w:rPr>
                <w:sz w:val="20"/>
                <w:szCs w:val="20"/>
                <w:lang w:val="fr-FR" w:eastAsia="en-US"/>
              </w:rPr>
            </w:pPr>
            <w:r w:rsidRPr="00147D4F">
              <w:rPr>
                <w:sz w:val="20"/>
                <w:szCs w:val="20"/>
                <w:lang w:val="fr-FR" w:eastAsia="en-US"/>
              </w:rPr>
              <w:t>Un cadre de coordination et de consultation des secteurs de la justice et de la JT installé et fonctionnel</w:t>
            </w:r>
          </w:p>
          <w:p w14:paraId="61BEE1D0" w14:textId="77777777" w:rsidR="00B804F2" w:rsidRPr="00147D4F" w:rsidRDefault="00B804F2" w:rsidP="00B804F2">
            <w:pPr>
              <w:jc w:val="both"/>
              <w:rPr>
                <w:sz w:val="20"/>
                <w:szCs w:val="20"/>
                <w:lang w:val="fr-FR" w:eastAsia="en-US"/>
              </w:rPr>
            </w:pPr>
          </w:p>
        </w:tc>
        <w:tc>
          <w:tcPr>
            <w:tcW w:w="1307" w:type="dxa"/>
            <w:shd w:val="clear" w:color="auto" w:fill="EEECE1"/>
          </w:tcPr>
          <w:p w14:paraId="72E9D2F5" w14:textId="192613AF" w:rsidR="00B804F2" w:rsidRPr="00147D4F" w:rsidRDefault="00B804F2" w:rsidP="00B804F2">
            <w:pPr>
              <w:rPr>
                <w:sz w:val="20"/>
                <w:szCs w:val="20"/>
                <w:lang w:val="fr-FR"/>
              </w:rPr>
            </w:pPr>
            <w:r w:rsidRPr="00147D4F">
              <w:rPr>
                <w:sz w:val="20"/>
                <w:szCs w:val="20"/>
                <w:lang w:val="fr-FR"/>
              </w:rPr>
              <w:t>0 cadre exist</w:t>
            </w:r>
            <w:r w:rsidR="00181656" w:rsidRPr="00147D4F">
              <w:rPr>
                <w:sz w:val="20"/>
                <w:szCs w:val="20"/>
                <w:lang w:val="fr-FR"/>
              </w:rPr>
              <w:t>a</w:t>
            </w:r>
            <w:r w:rsidRPr="00147D4F">
              <w:rPr>
                <w:sz w:val="20"/>
                <w:szCs w:val="20"/>
                <w:lang w:val="fr-FR"/>
              </w:rPr>
              <w:t>nt</w:t>
            </w:r>
            <w:r w:rsidR="00875398" w:rsidRPr="00147D4F">
              <w:rPr>
                <w:sz w:val="20"/>
                <w:szCs w:val="20"/>
                <w:lang w:val="fr-FR"/>
              </w:rPr>
              <w:t xml:space="preserve"> </w:t>
            </w:r>
          </w:p>
          <w:p w14:paraId="0F4EFE83" w14:textId="77777777" w:rsidR="00B804F2" w:rsidRPr="00147D4F" w:rsidRDefault="00B804F2" w:rsidP="00B804F2">
            <w:pPr>
              <w:rPr>
                <w:sz w:val="20"/>
                <w:szCs w:val="20"/>
                <w:lang w:val="fr-FR"/>
              </w:rPr>
            </w:pPr>
          </w:p>
        </w:tc>
        <w:tc>
          <w:tcPr>
            <w:tcW w:w="1620" w:type="dxa"/>
            <w:shd w:val="clear" w:color="auto" w:fill="EEECE1"/>
          </w:tcPr>
          <w:p w14:paraId="6486A4A8" w14:textId="77777777" w:rsidR="00B804F2" w:rsidRPr="00147D4F" w:rsidRDefault="00B804F2" w:rsidP="00B804F2">
            <w:pPr>
              <w:rPr>
                <w:sz w:val="20"/>
                <w:szCs w:val="20"/>
              </w:rPr>
            </w:pPr>
            <w:r w:rsidRPr="00147D4F">
              <w:rPr>
                <w:sz w:val="20"/>
                <w:szCs w:val="20"/>
              </w:rPr>
              <w:t xml:space="preserve">1 cadre </w:t>
            </w:r>
            <w:proofErr w:type="spellStart"/>
            <w:r w:rsidRPr="00147D4F">
              <w:rPr>
                <w:sz w:val="20"/>
                <w:szCs w:val="20"/>
              </w:rPr>
              <w:t>exist</w:t>
            </w:r>
            <w:r w:rsidR="00181656" w:rsidRPr="00147D4F">
              <w:rPr>
                <w:sz w:val="20"/>
                <w:szCs w:val="20"/>
              </w:rPr>
              <w:t>a</w:t>
            </w:r>
            <w:r w:rsidRPr="00147D4F">
              <w:rPr>
                <w:sz w:val="20"/>
                <w:szCs w:val="20"/>
              </w:rPr>
              <w:t>nt</w:t>
            </w:r>
            <w:proofErr w:type="spellEnd"/>
          </w:p>
          <w:p w14:paraId="1C679C4C" w14:textId="77777777" w:rsidR="00B804F2" w:rsidRPr="00147D4F" w:rsidRDefault="00B804F2" w:rsidP="00B804F2">
            <w:pPr>
              <w:rPr>
                <w:sz w:val="20"/>
                <w:szCs w:val="20"/>
                <w:lang w:val="fr-FR"/>
              </w:rPr>
            </w:pPr>
          </w:p>
        </w:tc>
        <w:tc>
          <w:tcPr>
            <w:tcW w:w="2070" w:type="dxa"/>
          </w:tcPr>
          <w:p w14:paraId="6542C0BE" w14:textId="77777777" w:rsidR="00C72024" w:rsidRPr="00147D4F" w:rsidRDefault="00C72024" w:rsidP="00C72024">
            <w:pPr>
              <w:rPr>
                <w:sz w:val="20"/>
                <w:szCs w:val="20"/>
              </w:rPr>
            </w:pPr>
            <w:r w:rsidRPr="00147D4F">
              <w:rPr>
                <w:sz w:val="20"/>
                <w:szCs w:val="20"/>
              </w:rPr>
              <w:t xml:space="preserve">1 cadre </w:t>
            </w:r>
            <w:proofErr w:type="spellStart"/>
            <w:r w:rsidRPr="00147D4F">
              <w:rPr>
                <w:sz w:val="20"/>
                <w:szCs w:val="20"/>
              </w:rPr>
              <w:t>existant</w:t>
            </w:r>
            <w:proofErr w:type="spellEnd"/>
          </w:p>
          <w:p w14:paraId="2806519C" w14:textId="77777777" w:rsidR="00C72024" w:rsidRDefault="00C72024" w:rsidP="00147D4F">
            <w:pPr>
              <w:jc w:val="both"/>
              <w:rPr>
                <w:sz w:val="20"/>
                <w:szCs w:val="20"/>
                <w:lang w:val="fr-FR" w:eastAsia="en-US"/>
              </w:rPr>
            </w:pPr>
          </w:p>
          <w:p w14:paraId="4DE3CC3A" w14:textId="7AF3816F" w:rsidR="00B804F2" w:rsidRPr="00147D4F" w:rsidRDefault="00B804F2" w:rsidP="00147D4F">
            <w:pPr>
              <w:jc w:val="both"/>
              <w:rPr>
                <w:sz w:val="20"/>
                <w:szCs w:val="20"/>
                <w:lang w:val="fr-FR"/>
              </w:rPr>
            </w:pPr>
          </w:p>
        </w:tc>
        <w:tc>
          <w:tcPr>
            <w:tcW w:w="2941" w:type="dxa"/>
          </w:tcPr>
          <w:p w14:paraId="15759348" w14:textId="77777777" w:rsidR="00C72024" w:rsidRPr="00EE01B0" w:rsidRDefault="00C72024" w:rsidP="00C72024">
            <w:pPr>
              <w:rPr>
                <w:sz w:val="20"/>
                <w:szCs w:val="20"/>
                <w:lang w:val="fr-FR"/>
              </w:rPr>
            </w:pPr>
            <w:r w:rsidRPr="00EE01B0">
              <w:rPr>
                <w:sz w:val="20"/>
                <w:szCs w:val="20"/>
                <w:lang w:val="fr-FR"/>
              </w:rPr>
              <w:t>1 cadre existant</w:t>
            </w:r>
          </w:p>
          <w:p w14:paraId="475A1B40" w14:textId="77777777" w:rsidR="00C72024" w:rsidRDefault="00C72024" w:rsidP="00263D5B">
            <w:pPr>
              <w:jc w:val="both"/>
              <w:rPr>
                <w:sz w:val="20"/>
                <w:szCs w:val="20"/>
                <w:lang w:val="fr-FR" w:eastAsia="en-US"/>
              </w:rPr>
            </w:pPr>
          </w:p>
          <w:p w14:paraId="01A6CBAE" w14:textId="5AA0012E" w:rsidR="00B804F2" w:rsidRPr="007A4698" w:rsidRDefault="00263D5B" w:rsidP="00263D5B">
            <w:pPr>
              <w:jc w:val="both"/>
              <w:rPr>
                <w:sz w:val="20"/>
                <w:szCs w:val="20"/>
                <w:lang w:val="fr-FR" w:eastAsia="en-US"/>
              </w:rPr>
            </w:pPr>
            <w:r w:rsidRPr="007A4698">
              <w:rPr>
                <w:sz w:val="20"/>
                <w:szCs w:val="20"/>
                <w:lang w:val="fr-FR" w:eastAsia="en-US"/>
              </w:rPr>
              <w:t>Le groupe thématique sur la « justice transitionnelle et les Droits Humains » de la politique sectorielle de la justice existe et est opérationnel.</w:t>
            </w:r>
          </w:p>
          <w:p w14:paraId="371EA4E3" w14:textId="7AC243F4" w:rsidR="00263D5B" w:rsidRPr="007A4698" w:rsidRDefault="00263D5B" w:rsidP="00263D5B">
            <w:pPr>
              <w:jc w:val="both"/>
              <w:rPr>
                <w:sz w:val="20"/>
                <w:szCs w:val="20"/>
                <w:lang w:val="fr-FR"/>
              </w:rPr>
            </w:pPr>
            <w:r w:rsidRPr="007A4698">
              <w:rPr>
                <w:sz w:val="20"/>
                <w:szCs w:val="20"/>
                <w:lang w:val="fr-FR" w:eastAsia="en-US"/>
              </w:rPr>
              <w:t xml:space="preserve">Les membres de la CPS ont participé à la retraite stratégique de la CVJRR. </w:t>
            </w:r>
          </w:p>
        </w:tc>
        <w:tc>
          <w:tcPr>
            <w:tcW w:w="3269" w:type="dxa"/>
          </w:tcPr>
          <w:p w14:paraId="2DA86DCF" w14:textId="767CCD14" w:rsidR="00B804F2" w:rsidRPr="007A4698" w:rsidRDefault="00263D5B" w:rsidP="00636E71">
            <w:pPr>
              <w:jc w:val="both"/>
              <w:rPr>
                <w:sz w:val="20"/>
                <w:szCs w:val="20"/>
                <w:lang w:val="fr-FR"/>
              </w:rPr>
            </w:pPr>
            <w:r w:rsidRPr="007A4698">
              <w:rPr>
                <w:sz w:val="20"/>
                <w:szCs w:val="20"/>
                <w:lang w:val="fr-FR" w:eastAsia="en-US"/>
              </w:rPr>
              <w:t xml:space="preserve">La prestation de serment de la CVJRR est intervenue le 2 Juillet 2021. </w:t>
            </w:r>
            <w:r w:rsidR="001B52B0" w:rsidRPr="007A4698">
              <w:rPr>
                <w:sz w:val="20"/>
                <w:szCs w:val="20"/>
                <w:lang w:val="fr-FR" w:eastAsia="en-US"/>
              </w:rPr>
              <w:t>Il est désormais important d’assurer leur représentation dans le groupe thématique et de mettre en place des mécanismes de coordination robuste entre les institutions</w:t>
            </w:r>
            <w:r w:rsidR="007A4698" w:rsidRPr="007A4698">
              <w:rPr>
                <w:sz w:val="20"/>
                <w:szCs w:val="20"/>
                <w:lang w:val="fr-FR" w:eastAsia="en-US"/>
              </w:rPr>
              <w:t xml:space="preserve">, notamment à travers un </w:t>
            </w:r>
            <w:proofErr w:type="spellStart"/>
            <w:r w:rsidR="007A4698" w:rsidRPr="007A4698">
              <w:rPr>
                <w:sz w:val="20"/>
                <w:szCs w:val="20"/>
                <w:lang w:val="fr-FR" w:eastAsia="en-US"/>
              </w:rPr>
              <w:t>MoU</w:t>
            </w:r>
            <w:proofErr w:type="spellEnd"/>
            <w:r w:rsidR="001B52B0" w:rsidRPr="007A4698">
              <w:rPr>
                <w:sz w:val="20"/>
                <w:szCs w:val="20"/>
                <w:lang w:val="fr-FR" w:eastAsia="en-US"/>
              </w:rPr>
              <w:t xml:space="preserve">. </w:t>
            </w:r>
          </w:p>
        </w:tc>
      </w:tr>
      <w:tr w:rsidR="00B804F2" w:rsidRPr="00EE01B0" w14:paraId="62088B87" w14:textId="77777777" w:rsidTr="00EE01B0">
        <w:trPr>
          <w:trHeight w:val="440"/>
        </w:trPr>
        <w:tc>
          <w:tcPr>
            <w:tcW w:w="1838" w:type="dxa"/>
          </w:tcPr>
          <w:p w14:paraId="012B10AE" w14:textId="77777777" w:rsidR="00B804F2" w:rsidRPr="00147D4F" w:rsidRDefault="00B804F2" w:rsidP="00251FAC">
            <w:pPr>
              <w:jc w:val="both"/>
              <w:rPr>
                <w:sz w:val="20"/>
                <w:szCs w:val="20"/>
                <w:lang w:val="fr-FR" w:eastAsia="en-US"/>
              </w:rPr>
            </w:pPr>
            <w:r w:rsidRPr="00147D4F">
              <w:rPr>
                <w:sz w:val="20"/>
                <w:szCs w:val="20"/>
                <w:lang w:val="fr-FR" w:eastAsia="en-US"/>
              </w:rPr>
              <w:t>Produit 1.2</w:t>
            </w:r>
          </w:p>
          <w:p w14:paraId="6C2B9AF5" w14:textId="77777777" w:rsidR="00B804F2" w:rsidRPr="00147D4F" w:rsidRDefault="00B804F2" w:rsidP="00251FAC">
            <w:pPr>
              <w:jc w:val="both"/>
              <w:rPr>
                <w:sz w:val="20"/>
                <w:szCs w:val="20"/>
                <w:lang w:val="fr-FR" w:eastAsia="en-US"/>
              </w:rPr>
            </w:pPr>
            <w:r w:rsidRPr="00147D4F">
              <w:rPr>
                <w:sz w:val="20"/>
                <w:szCs w:val="20"/>
                <w:lang w:val="fr-FR" w:eastAsia="en-US"/>
              </w:rPr>
              <w:t>L</w:t>
            </w:r>
            <w:r w:rsidRPr="00147D4F">
              <w:rPr>
                <w:sz w:val="20"/>
                <w:szCs w:val="20"/>
                <w:lang w:val="fr-FR"/>
              </w:rPr>
              <w:t>'</w:t>
            </w:r>
            <w:r w:rsidRPr="00147D4F">
              <w:rPr>
                <w:sz w:val="20"/>
                <w:szCs w:val="20"/>
                <w:lang w:val="fr-FR" w:eastAsia="en-US"/>
              </w:rPr>
              <w:t>Études de perception sur la paix, justice, vérité et sécurité produites à travers 3 sondages</w:t>
            </w:r>
          </w:p>
        </w:tc>
        <w:tc>
          <w:tcPr>
            <w:tcW w:w="1985" w:type="dxa"/>
            <w:shd w:val="clear" w:color="auto" w:fill="EEECE1"/>
          </w:tcPr>
          <w:p w14:paraId="5FE4883D" w14:textId="77777777" w:rsidR="00B804F2" w:rsidRPr="00147D4F" w:rsidRDefault="00B804F2" w:rsidP="00251FAC">
            <w:pPr>
              <w:jc w:val="both"/>
              <w:rPr>
                <w:sz w:val="20"/>
                <w:szCs w:val="20"/>
                <w:lang w:val="fr-FR" w:eastAsia="en-US"/>
              </w:rPr>
            </w:pPr>
            <w:r w:rsidRPr="00147D4F">
              <w:rPr>
                <w:sz w:val="20"/>
                <w:szCs w:val="20"/>
                <w:lang w:val="fr-FR" w:eastAsia="en-US"/>
              </w:rPr>
              <w:t>Indicateur 1.2.1</w:t>
            </w:r>
          </w:p>
          <w:p w14:paraId="5D4B6C71" w14:textId="77777777" w:rsidR="00B804F2" w:rsidRPr="00147D4F" w:rsidRDefault="00B804F2" w:rsidP="00251FAC">
            <w:pPr>
              <w:jc w:val="both"/>
              <w:rPr>
                <w:sz w:val="20"/>
                <w:szCs w:val="20"/>
                <w:lang w:val="fr-FR" w:eastAsia="en-US"/>
              </w:rPr>
            </w:pPr>
            <w:r w:rsidRPr="00147D4F">
              <w:rPr>
                <w:sz w:val="20"/>
                <w:szCs w:val="20"/>
                <w:lang w:val="fr-FR" w:eastAsia="en-US"/>
              </w:rPr>
              <w:t>Nombre de sondages mis en œuvre</w:t>
            </w:r>
          </w:p>
        </w:tc>
        <w:tc>
          <w:tcPr>
            <w:tcW w:w="1307" w:type="dxa"/>
            <w:shd w:val="clear" w:color="auto" w:fill="EEECE1"/>
          </w:tcPr>
          <w:p w14:paraId="318C148D" w14:textId="0AF95819" w:rsidR="00B804F2" w:rsidRPr="00147D4F" w:rsidRDefault="00B804F2" w:rsidP="00251FAC">
            <w:pPr>
              <w:jc w:val="both"/>
              <w:rPr>
                <w:sz w:val="20"/>
                <w:szCs w:val="20"/>
                <w:lang w:val="fr-FR"/>
              </w:rPr>
            </w:pPr>
            <w:r w:rsidRPr="00147D4F">
              <w:rPr>
                <w:sz w:val="20"/>
                <w:szCs w:val="20"/>
                <w:lang w:val="fr-FR" w:eastAsia="en-US"/>
              </w:rPr>
              <w:t>4</w:t>
            </w:r>
            <w:r w:rsidR="00875398" w:rsidRPr="00147D4F">
              <w:rPr>
                <w:sz w:val="20"/>
                <w:szCs w:val="20"/>
                <w:lang w:val="fr-FR" w:eastAsia="en-US"/>
              </w:rPr>
              <w:t xml:space="preserve"> </w:t>
            </w:r>
          </w:p>
        </w:tc>
        <w:tc>
          <w:tcPr>
            <w:tcW w:w="1620" w:type="dxa"/>
            <w:shd w:val="clear" w:color="auto" w:fill="EEECE1"/>
          </w:tcPr>
          <w:p w14:paraId="65FD3578" w14:textId="77777777" w:rsidR="00B804F2" w:rsidRPr="00147D4F" w:rsidRDefault="00B804F2" w:rsidP="00251FAC">
            <w:pPr>
              <w:jc w:val="both"/>
              <w:rPr>
                <w:sz w:val="20"/>
                <w:szCs w:val="20"/>
                <w:lang w:val="fr-FR"/>
              </w:rPr>
            </w:pPr>
            <w:r w:rsidRPr="00147D4F">
              <w:rPr>
                <w:sz w:val="20"/>
                <w:szCs w:val="20"/>
                <w:lang w:val="fr-FR" w:eastAsia="en-US"/>
              </w:rPr>
              <w:t>7</w:t>
            </w:r>
          </w:p>
        </w:tc>
        <w:tc>
          <w:tcPr>
            <w:tcW w:w="2070" w:type="dxa"/>
          </w:tcPr>
          <w:p w14:paraId="3DF92B0A" w14:textId="77777777" w:rsidR="00B804F2" w:rsidRPr="00147D4F" w:rsidRDefault="00181656" w:rsidP="00251FAC">
            <w:pPr>
              <w:jc w:val="both"/>
              <w:rPr>
                <w:sz w:val="20"/>
                <w:szCs w:val="20"/>
                <w:lang w:val="fr-FR"/>
              </w:rPr>
            </w:pPr>
            <w:r w:rsidRPr="00147D4F">
              <w:rPr>
                <w:sz w:val="20"/>
                <w:szCs w:val="20"/>
                <w:lang w:val="fr-FR" w:eastAsia="en-US"/>
              </w:rPr>
              <w:t>6</w:t>
            </w:r>
            <w:r w:rsidR="00EA1436" w:rsidRPr="00147D4F">
              <w:rPr>
                <w:sz w:val="20"/>
                <w:szCs w:val="20"/>
                <w:lang w:val="fr-FR" w:eastAsia="en-US"/>
              </w:rPr>
              <w:t xml:space="preserve"> en décembre 2020</w:t>
            </w:r>
          </w:p>
        </w:tc>
        <w:tc>
          <w:tcPr>
            <w:tcW w:w="2941" w:type="dxa"/>
          </w:tcPr>
          <w:p w14:paraId="1AF4EE6F" w14:textId="111BAB91" w:rsidR="00B804F2" w:rsidRPr="00147D4F" w:rsidRDefault="00284618" w:rsidP="00251FAC">
            <w:pPr>
              <w:jc w:val="both"/>
              <w:rPr>
                <w:sz w:val="20"/>
                <w:szCs w:val="20"/>
                <w:lang w:val="fr-FR"/>
              </w:rPr>
            </w:pPr>
            <w:r w:rsidRPr="00147D4F">
              <w:rPr>
                <w:sz w:val="20"/>
                <w:szCs w:val="20"/>
                <w:lang w:val="fr-FR"/>
              </w:rPr>
              <w:t>6</w:t>
            </w:r>
            <w:r w:rsidR="00981BC3" w:rsidRPr="00147D4F">
              <w:rPr>
                <w:sz w:val="20"/>
                <w:szCs w:val="20"/>
                <w:lang w:val="fr-FR"/>
              </w:rPr>
              <w:t> </w:t>
            </w:r>
            <w:r w:rsidR="00251FAC">
              <w:rPr>
                <w:sz w:val="20"/>
                <w:szCs w:val="20"/>
                <w:lang w:val="fr-FR"/>
              </w:rPr>
              <w:t xml:space="preserve"> </w:t>
            </w:r>
          </w:p>
        </w:tc>
        <w:tc>
          <w:tcPr>
            <w:tcW w:w="3269" w:type="dxa"/>
          </w:tcPr>
          <w:p w14:paraId="416BDCF5" w14:textId="6BDBEAB5" w:rsidR="00B804F2" w:rsidRPr="00147D4F" w:rsidRDefault="00251FAC" w:rsidP="00251FAC">
            <w:pPr>
              <w:jc w:val="both"/>
              <w:rPr>
                <w:sz w:val="20"/>
                <w:szCs w:val="20"/>
                <w:lang w:val="fr-FR"/>
              </w:rPr>
            </w:pPr>
            <w:r>
              <w:rPr>
                <w:sz w:val="20"/>
                <w:szCs w:val="20"/>
                <w:lang w:val="fr-FR"/>
              </w:rPr>
              <w:t>En raison de la situation sécuritaire, le 7</w:t>
            </w:r>
            <w:r w:rsidRPr="00251FAC">
              <w:rPr>
                <w:sz w:val="20"/>
                <w:szCs w:val="20"/>
                <w:vertAlign w:val="superscript"/>
                <w:lang w:val="fr-FR"/>
              </w:rPr>
              <w:t>ème</w:t>
            </w:r>
            <w:r>
              <w:rPr>
                <w:sz w:val="20"/>
                <w:szCs w:val="20"/>
                <w:lang w:val="fr-FR"/>
              </w:rPr>
              <w:t xml:space="preserve"> sondage de perception est reporté pour le premier trimestre 2022. </w:t>
            </w:r>
          </w:p>
        </w:tc>
      </w:tr>
      <w:tr w:rsidR="00B804F2" w:rsidRPr="00EE01B0" w14:paraId="7DE030EC" w14:textId="77777777" w:rsidTr="00EE01B0">
        <w:trPr>
          <w:trHeight w:val="422"/>
        </w:trPr>
        <w:tc>
          <w:tcPr>
            <w:tcW w:w="1838" w:type="dxa"/>
            <w:vMerge w:val="restart"/>
          </w:tcPr>
          <w:p w14:paraId="7CDDA2CA" w14:textId="77777777" w:rsidR="00B804F2" w:rsidRPr="00147D4F" w:rsidRDefault="00B804F2" w:rsidP="00251FAC">
            <w:pPr>
              <w:jc w:val="both"/>
              <w:rPr>
                <w:sz w:val="20"/>
                <w:szCs w:val="20"/>
                <w:lang w:val="fr-FR" w:eastAsia="en-US"/>
              </w:rPr>
            </w:pPr>
            <w:r w:rsidRPr="00147D4F">
              <w:rPr>
                <w:sz w:val="20"/>
                <w:szCs w:val="20"/>
                <w:lang w:val="fr-FR" w:eastAsia="en-US"/>
              </w:rPr>
              <w:t>Produit 1.3</w:t>
            </w:r>
          </w:p>
          <w:p w14:paraId="5DBB1D09" w14:textId="77777777" w:rsidR="00B804F2" w:rsidRPr="00147D4F" w:rsidRDefault="00B804F2" w:rsidP="00251FAC">
            <w:pPr>
              <w:jc w:val="both"/>
              <w:rPr>
                <w:sz w:val="20"/>
                <w:szCs w:val="20"/>
                <w:lang w:val="fr-FR" w:eastAsia="en-US"/>
              </w:rPr>
            </w:pPr>
            <w:r w:rsidRPr="00147D4F">
              <w:rPr>
                <w:sz w:val="20"/>
                <w:szCs w:val="20"/>
                <w:lang w:val="fr-FR" w:eastAsia="en-US"/>
              </w:rPr>
              <w:t>Les options et modalités d’offre de réparations et pour l’établissement d’un fonds fiduciaire pour les réparations sont proposées</w:t>
            </w:r>
          </w:p>
        </w:tc>
        <w:tc>
          <w:tcPr>
            <w:tcW w:w="1985" w:type="dxa"/>
            <w:shd w:val="clear" w:color="auto" w:fill="EEECE1"/>
          </w:tcPr>
          <w:p w14:paraId="6E55D3A2" w14:textId="77777777" w:rsidR="00B804F2" w:rsidRPr="00147D4F" w:rsidRDefault="00B804F2" w:rsidP="00251FAC">
            <w:pPr>
              <w:jc w:val="both"/>
              <w:rPr>
                <w:sz w:val="20"/>
                <w:szCs w:val="20"/>
                <w:lang w:val="fr-FR" w:eastAsia="en-US"/>
              </w:rPr>
            </w:pPr>
            <w:r w:rsidRPr="00147D4F">
              <w:rPr>
                <w:sz w:val="20"/>
                <w:szCs w:val="20"/>
                <w:lang w:val="fr-FR" w:eastAsia="en-US"/>
              </w:rPr>
              <w:t>Indicateur 1.3.1</w:t>
            </w:r>
          </w:p>
          <w:p w14:paraId="6DA4E73C" w14:textId="77777777" w:rsidR="00B804F2" w:rsidRPr="00147D4F" w:rsidRDefault="00B804F2" w:rsidP="00251FAC">
            <w:pPr>
              <w:jc w:val="both"/>
              <w:rPr>
                <w:sz w:val="20"/>
                <w:szCs w:val="20"/>
                <w:lang w:val="fr-FR" w:eastAsia="en-US"/>
              </w:rPr>
            </w:pPr>
            <w:r w:rsidRPr="00147D4F">
              <w:rPr>
                <w:sz w:val="20"/>
                <w:szCs w:val="20"/>
                <w:lang w:val="fr-FR" w:eastAsia="en-US"/>
              </w:rPr>
              <w:t>Une étude comparative sur les options de réparation des victimes est réalisée</w:t>
            </w:r>
          </w:p>
        </w:tc>
        <w:tc>
          <w:tcPr>
            <w:tcW w:w="1307" w:type="dxa"/>
            <w:shd w:val="clear" w:color="auto" w:fill="EEECE1"/>
          </w:tcPr>
          <w:p w14:paraId="6A47CC86" w14:textId="77777777" w:rsidR="00B804F2" w:rsidRPr="00147D4F" w:rsidRDefault="00B804F2" w:rsidP="00251FAC">
            <w:pPr>
              <w:jc w:val="both"/>
              <w:rPr>
                <w:sz w:val="20"/>
                <w:szCs w:val="20"/>
                <w:lang w:val="fr-FR"/>
              </w:rPr>
            </w:pPr>
            <w:r w:rsidRPr="00147D4F">
              <w:rPr>
                <w:sz w:val="20"/>
                <w:szCs w:val="20"/>
                <w:lang w:val="fr-FR" w:eastAsia="en-US"/>
              </w:rPr>
              <w:t>Base de données 2018 = 1 cartographie des victimes par zone disponible</w:t>
            </w:r>
          </w:p>
        </w:tc>
        <w:tc>
          <w:tcPr>
            <w:tcW w:w="1620" w:type="dxa"/>
            <w:shd w:val="clear" w:color="auto" w:fill="EEECE1"/>
          </w:tcPr>
          <w:p w14:paraId="5F7E27E4" w14:textId="4A1003F6" w:rsidR="00B804F2" w:rsidRPr="00147D4F" w:rsidRDefault="00B804F2" w:rsidP="00251FAC">
            <w:pPr>
              <w:jc w:val="both"/>
              <w:rPr>
                <w:sz w:val="20"/>
                <w:szCs w:val="20"/>
                <w:lang w:val="fr-FR"/>
              </w:rPr>
            </w:pPr>
            <w:r w:rsidRPr="00147D4F">
              <w:rPr>
                <w:sz w:val="20"/>
                <w:szCs w:val="20"/>
                <w:lang w:val="fr-FR" w:eastAsia="en-US"/>
              </w:rPr>
              <w:t xml:space="preserve">1 </w:t>
            </w:r>
          </w:p>
        </w:tc>
        <w:tc>
          <w:tcPr>
            <w:tcW w:w="2070" w:type="dxa"/>
          </w:tcPr>
          <w:p w14:paraId="171044F3" w14:textId="77777777" w:rsidR="00FA547E" w:rsidRDefault="00181656" w:rsidP="00251FAC">
            <w:pPr>
              <w:jc w:val="both"/>
              <w:rPr>
                <w:sz w:val="20"/>
                <w:szCs w:val="20"/>
                <w:lang w:val="fr-FR" w:eastAsia="en-US"/>
              </w:rPr>
            </w:pPr>
            <w:r w:rsidRPr="00147D4F">
              <w:rPr>
                <w:sz w:val="20"/>
                <w:szCs w:val="20"/>
                <w:lang w:val="fr-FR" w:eastAsia="en-US"/>
              </w:rPr>
              <w:t xml:space="preserve">1 </w:t>
            </w:r>
          </w:p>
          <w:p w14:paraId="05CD2F4C" w14:textId="6374BE3F" w:rsidR="00B804F2" w:rsidRPr="00147D4F" w:rsidRDefault="00FA547E" w:rsidP="00251FAC">
            <w:pPr>
              <w:jc w:val="both"/>
              <w:rPr>
                <w:sz w:val="20"/>
                <w:szCs w:val="20"/>
                <w:lang w:val="fr-FR"/>
              </w:rPr>
            </w:pPr>
            <w:r>
              <w:rPr>
                <w:sz w:val="20"/>
                <w:szCs w:val="20"/>
                <w:lang w:val="fr-FR" w:eastAsia="en-US"/>
              </w:rPr>
              <w:t>E</w:t>
            </w:r>
            <w:r w:rsidR="00181656" w:rsidRPr="00147D4F">
              <w:rPr>
                <w:sz w:val="20"/>
                <w:szCs w:val="20"/>
                <w:lang w:val="fr-FR" w:eastAsia="en-US"/>
              </w:rPr>
              <w:t>tude réalisée en début 2021.</w:t>
            </w:r>
          </w:p>
        </w:tc>
        <w:tc>
          <w:tcPr>
            <w:tcW w:w="2941" w:type="dxa"/>
          </w:tcPr>
          <w:p w14:paraId="7E2EF11F" w14:textId="77777777" w:rsidR="00FA547E" w:rsidRDefault="00FA547E" w:rsidP="00251FAC">
            <w:pPr>
              <w:jc w:val="both"/>
              <w:rPr>
                <w:sz w:val="20"/>
                <w:szCs w:val="20"/>
                <w:lang w:val="fr-FR"/>
              </w:rPr>
            </w:pPr>
            <w:r>
              <w:rPr>
                <w:sz w:val="20"/>
                <w:szCs w:val="20"/>
                <w:lang w:val="fr-FR"/>
              </w:rPr>
              <w:t>1</w:t>
            </w:r>
          </w:p>
          <w:p w14:paraId="2B9C2571" w14:textId="1E5A02ED" w:rsidR="00B804F2" w:rsidRPr="00147D4F" w:rsidRDefault="00251FAC" w:rsidP="00251FAC">
            <w:pPr>
              <w:jc w:val="both"/>
              <w:rPr>
                <w:sz w:val="20"/>
                <w:szCs w:val="20"/>
                <w:lang w:val="fr-FR"/>
              </w:rPr>
            </w:pPr>
            <w:r>
              <w:rPr>
                <w:sz w:val="20"/>
                <w:szCs w:val="20"/>
                <w:lang w:val="fr-FR"/>
              </w:rPr>
              <w:t>L’étude sur les</w:t>
            </w:r>
            <w:r w:rsidR="0023172D">
              <w:rPr>
                <w:sz w:val="20"/>
                <w:szCs w:val="20"/>
                <w:lang w:val="fr-FR"/>
              </w:rPr>
              <w:t xml:space="preserve"> modalités de réparation a été finalisée et présentée lors de la retraite stratégique de la CVJRR. Elle guidera les réflexions de la sous-commission réparation</w:t>
            </w:r>
            <w:r w:rsidR="00651996">
              <w:rPr>
                <w:sz w:val="20"/>
                <w:szCs w:val="20"/>
                <w:lang w:val="fr-FR"/>
              </w:rPr>
              <w:t xml:space="preserve"> pour la proposition du programme national de réparation tel que stipulé par la loi de la CVJRR.</w:t>
            </w:r>
          </w:p>
        </w:tc>
        <w:tc>
          <w:tcPr>
            <w:tcW w:w="3269" w:type="dxa"/>
          </w:tcPr>
          <w:p w14:paraId="205527AF" w14:textId="0E366304" w:rsidR="00B804F2" w:rsidRPr="00147D4F" w:rsidRDefault="00B804F2" w:rsidP="00251FAC">
            <w:pPr>
              <w:pStyle w:val="ListParagraph"/>
              <w:numPr>
                <w:ilvl w:val="0"/>
                <w:numId w:val="44"/>
              </w:numPr>
              <w:jc w:val="both"/>
              <w:rPr>
                <w:sz w:val="20"/>
                <w:szCs w:val="20"/>
                <w:lang w:val="fr-FR"/>
              </w:rPr>
            </w:pPr>
          </w:p>
        </w:tc>
      </w:tr>
      <w:tr w:rsidR="00B804F2" w:rsidRPr="00EE01B0" w14:paraId="414D52B5" w14:textId="77777777" w:rsidTr="00EE01B0">
        <w:trPr>
          <w:trHeight w:val="422"/>
        </w:trPr>
        <w:tc>
          <w:tcPr>
            <w:tcW w:w="1838" w:type="dxa"/>
            <w:vMerge/>
          </w:tcPr>
          <w:p w14:paraId="1CC1D176" w14:textId="77777777" w:rsidR="00B804F2" w:rsidRPr="00147D4F" w:rsidRDefault="00B804F2" w:rsidP="00B804F2">
            <w:pPr>
              <w:rPr>
                <w:b/>
                <w:sz w:val="20"/>
                <w:szCs w:val="20"/>
                <w:lang w:val="fr-FR" w:eastAsia="en-US"/>
              </w:rPr>
            </w:pPr>
          </w:p>
        </w:tc>
        <w:tc>
          <w:tcPr>
            <w:tcW w:w="1985" w:type="dxa"/>
            <w:shd w:val="clear" w:color="auto" w:fill="EEECE1"/>
          </w:tcPr>
          <w:p w14:paraId="528D5BEE" w14:textId="77777777" w:rsidR="00B804F2" w:rsidRPr="00147D4F" w:rsidRDefault="00B804F2" w:rsidP="0023172D">
            <w:pPr>
              <w:jc w:val="both"/>
              <w:rPr>
                <w:sz w:val="20"/>
                <w:szCs w:val="20"/>
                <w:lang w:val="fr-FR" w:eastAsia="en-US"/>
              </w:rPr>
            </w:pPr>
            <w:r w:rsidRPr="00147D4F">
              <w:rPr>
                <w:sz w:val="20"/>
                <w:szCs w:val="20"/>
                <w:lang w:val="fr-FR" w:eastAsia="en-US"/>
              </w:rPr>
              <w:t>Indicateur 1.3.2</w:t>
            </w:r>
          </w:p>
          <w:p w14:paraId="140C9EEB" w14:textId="77777777" w:rsidR="00B804F2" w:rsidRPr="00147D4F" w:rsidRDefault="00B804F2" w:rsidP="0023172D">
            <w:pPr>
              <w:jc w:val="both"/>
              <w:rPr>
                <w:sz w:val="20"/>
                <w:szCs w:val="20"/>
                <w:lang w:val="fr-FR" w:eastAsia="en-US"/>
              </w:rPr>
            </w:pPr>
            <w:r w:rsidRPr="00147D4F">
              <w:rPr>
                <w:sz w:val="20"/>
                <w:szCs w:val="20"/>
                <w:lang w:val="fr-FR"/>
              </w:rPr>
              <w:t>Une</w:t>
            </w:r>
            <w:r w:rsidRPr="00147D4F">
              <w:rPr>
                <w:sz w:val="20"/>
                <w:szCs w:val="20"/>
                <w:lang w:val="fr-FR" w:eastAsia="en-US"/>
              </w:rPr>
              <w:t xml:space="preserve"> stratégie de mobilisation des ressources pour le Trust </w:t>
            </w:r>
            <w:proofErr w:type="spellStart"/>
            <w:r w:rsidRPr="00147D4F">
              <w:rPr>
                <w:sz w:val="20"/>
                <w:szCs w:val="20"/>
                <w:lang w:val="fr-FR" w:eastAsia="en-US"/>
              </w:rPr>
              <w:t>Fund</w:t>
            </w:r>
            <w:proofErr w:type="spellEnd"/>
            <w:r w:rsidRPr="00147D4F">
              <w:rPr>
                <w:sz w:val="20"/>
                <w:szCs w:val="20"/>
                <w:lang w:val="fr-FR" w:eastAsia="en-US"/>
              </w:rPr>
              <w:t xml:space="preserve"> disponible et validée par le </w:t>
            </w:r>
            <w:proofErr w:type="spellStart"/>
            <w:r w:rsidRPr="00147D4F">
              <w:rPr>
                <w:sz w:val="20"/>
                <w:szCs w:val="20"/>
                <w:lang w:val="fr-FR" w:eastAsia="en-US"/>
              </w:rPr>
              <w:t>GoCAR</w:t>
            </w:r>
            <w:proofErr w:type="spellEnd"/>
          </w:p>
        </w:tc>
        <w:tc>
          <w:tcPr>
            <w:tcW w:w="1307" w:type="dxa"/>
            <w:shd w:val="clear" w:color="auto" w:fill="EEECE1"/>
          </w:tcPr>
          <w:p w14:paraId="43394E99" w14:textId="1AB56BFC" w:rsidR="00B804F2" w:rsidRPr="00147D4F" w:rsidRDefault="00875398" w:rsidP="0023172D">
            <w:pPr>
              <w:jc w:val="both"/>
              <w:rPr>
                <w:sz w:val="20"/>
                <w:szCs w:val="20"/>
                <w:lang w:val="fr-FR"/>
              </w:rPr>
            </w:pPr>
            <w:r w:rsidRPr="00147D4F">
              <w:rPr>
                <w:sz w:val="20"/>
                <w:szCs w:val="20"/>
                <w:lang w:val="fr-FR" w:eastAsia="en-US"/>
              </w:rPr>
              <w:t>Non</w:t>
            </w:r>
          </w:p>
        </w:tc>
        <w:tc>
          <w:tcPr>
            <w:tcW w:w="1620" w:type="dxa"/>
            <w:shd w:val="clear" w:color="auto" w:fill="EEECE1"/>
          </w:tcPr>
          <w:p w14:paraId="08892A63" w14:textId="3CFC5F2A" w:rsidR="00B804F2" w:rsidRPr="00147D4F" w:rsidRDefault="00875398" w:rsidP="0023172D">
            <w:pPr>
              <w:jc w:val="both"/>
              <w:rPr>
                <w:sz w:val="20"/>
                <w:szCs w:val="20"/>
                <w:lang w:val="fr-FR"/>
              </w:rPr>
            </w:pPr>
            <w:r w:rsidRPr="00147D4F">
              <w:rPr>
                <w:sz w:val="20"/>
                <w:szCs w:val="20"/>
                <w:lang w:val="fr-FR" w:eastAsia="en-US"/>
              </w:rPr>
              <w:t>Oui</w:t>
            </w:r>
          </w:p>
        </w:tc>
        <w:tc>
          <w:tcPr>
            <w:tcW w:w="2070" w:type="dxa"/>
          </w:tcPr>
          <w:p w14:paraId="112BD389" w14:textId="7A2FEBE0" w:rsidR="00B804F2" w:rsidRPr="00147D4F" w:rsidRDefault="00C72024" w:rsidP="0023172D">
            <w:pPr>
              <w:jc w:val="both"/>
              <w:rPr>
                <w:sz w:val="20"/>
                <w:szCs w:val="20"/>
                <w:lang w:val="fr-FR"/>
              </w:rPr>
            </w:pPr>
            <w:r>
              <w:rPr>
                <w:sz w:val="20"/>
                <w:szCs w:val="20"/>
                <w:lang w:val="fr-FR" w:eastAsia="en-US"/>
              </w:rPr>
              <w:t xml:space="preserve">Oui </w:t>
            </w:r>
          </w:p>
        </w:tc>
        <w:tc>
          <w:tcPr>
            <w:tcW w:w="2941" w:type="dxa"/>
          </w:tcPr>
          <w:p w14:paraId="595EF1C1" w14:textId="57814FC4" w:rsidR="00B804F2" w:rsidRPr="00651996" w:rsidRDefault="00B81B7D" w:rsidP="0023172D">
            <w:pPr>
              <w:jc w:val="both"/>
              <w:rPr>
                <w:sz w:val="20"/>
                <w:szCs w:val="20"/>
                <w:lang w:val="fr-FR"/>
              </w:rPr>
            </w:pPr>
            <w:r w:rsidRPr="00651996">
              <w:rPr>
                <w:b/>
                <w:sz w:val="20"/>
                <w:szCs w:val="20"/>
                <w:lang w:val="fr-FR" w:eastAsia="en-US"/>
              </w:rPr>
              <w:t>Non</w:t>
            </w:r>
            <w:r w:rsidR="0023172D" w:rsidRPr="00651996">
              <w:rPr>
                <w:b/>
                <w:sz w:val="20"/>
                <w:szCs w:val="20"/>
                <w:lang w:val="fr-FR" w:eastAsia="en-US"/>
              </w:rPr>
              <w:t xml:space="preserve"> </w:t>
            </w:r>
          </w:p>
        </w:tc>
        <w:tc>
          <w:tcPr>
            <w:tcW w:w="3269" w:type="dxa"/>
          </w:tcPr>
          <w:p w14:paraId="2A6D61CA" w14:textId="3BE51A97" w:rsidR="00B804F2" w:rsidRPr="00651996" w:rsidRDefault="0023172D" w:rsidP="0023172D">
            <w:pPr>
              <w:jc w:val="both"/>
              <w:rPr>
                <w:sz w:val="20"/>
                <w:szCs w:val="20"/>
                <w:lang w:val="fr-FR"/>
              </w:rPr>
            </w:pPr>
            <w:r w:rsidRPr="00651996">
              <w:rPr>
                <w:sz w:val="20"/>
                <w:szCs w:val="20"/>
                <w:lang w:val="fr-FR"/>
              </w:rPr>
              <w:t>L’étude sur les modalités de réparation a connu certains retards dans sa mise en œuvre</w:t>
            </w:r>
            <w:r w:rsidR="00651996">
              <w:rPr>
                <w:sz w:val="20"/>
                <w:szCs w:val="20"/>
                <w:lang w:val="fr-FR"/>
              </w:rPr>
              <w:t>, ainsi que l’opérationnalisation de la CVJRR</w:t>
            </w:r>
            <w:r w:rsidRPr="00651996">
              <w:rPr>
                <w:sz w:val="20"/>
                <w:szCs w:val="20"/>
                <w:lang w:val="fr-FR"/>
              </w:rPr>
              <w:t xml:space="preserve">. </w:t>
            </w:r>
            <w:r w:rsidR="00F83ED9" w:rsidRPr="00651996">
              <w:rPr>
                <w:sz w:val="20"/>
                <w:szCs w:val="20"/>
                <w:lang w:val="fr-FR"/>
              </w:rPr>
              <w:t xml:space="preserve">Le développement d’une stratégie de mobilisation de ressource semble prématurée au vu des développements </w:t>
            </w:r>
            <w:r w:rsidR="00F83ED9" w:rsidRPr="00651996">
              <w:rPr>
                <w:sz w:val="20"/>
                <w:szCs w:val="20"/>
                <w:lang w:val="fr-FR"/>
              </w:rPr>
              <w:lastRenderedPageBreak/>
              <w:t xml:space="preserve">au sein de la CVJRR, qui souhaite réellement s’approprier cette partie de son mandat. </w:t>
            </w:r>
          </w:p>
        </w:tc>
      </w:tr>
      <w:tr w:rsidR="00B804F2" w:rsidRPr="00EE01B0" w14:paraId="2E928380" w14:textId="77777777" w:rsidTr="00EE01B0">
        <w:trPr>
          <w:trHeight w:val="422"/>
        </w:trPr>
        <w:tc>
          <w:tcPr>
            <w:tcW w:w="1838" w:type="dxa"/>
            <w:vMerge w:val="restart"/>
          </w:tcPr>
          <w:p w14:paraId="4E6AB8CD" w14:textId="77777777" w:rsidR="00B804F2" w:rsidRPr="00147D4F" w:rsidRDefault="00B804F2" w:rsidP="00F83ED9">
            <w:pPr>
              <w:jc w:val="both"/>
              <w:rPr>
                <w:b/>
                <w:sz w:val="20"/>
                <w:szCs w:val="20"/>
                <w:lang w:val="fr-FR" w:eastAsia="en-US"/>
              </w:rPr>
            </w:pPr>
            <w:r w:rsidRPr="00147D4F">
              <w:rPr>
                <w:b/>
                <w:sz w:val="20"/>
                <w:szCs w:val="20"/>
                <w:lang w:val="fr-FR" w:eastAsia="en-US"/>
              </w:rPr>
              <w:lastRenderedPageBreak/>
              <w:t>Résultat 2</w:t>
            </w:r>
          </w:p>
          <w:p w14:paraId="6F408283" w14:textId="10C53568" w:rsidR="00B804F2" w:rsidRPr="00147D4F" w:rsidRDefault="00B804F2" w:rsidP="00F83ED9">
            <w:pPr>
              <w:jc w:val="both"/>
              <w:rPr>
                <w:b/>
                <w:sz w:val="20"/>
                <w:szCs w:val="20"/>
                <w:lang w:val="fr-FR" w:eastAsia="en-US"/>
              </w:rPr>
            </w:pPr>
            <w:r w:rsidRPr="00147D4F">
              <w:rPr>
                <w:sz w:val="20"/>
                <w:szCs w:val="20"/>
                <w:lang w:val="fr-FR" w:eastAsia="en-US"/>
              </w:rPr>
              <w:t xml:space="preserve">A travers une </w:t>
            </w:r>
            <w:r w:rsidR="00D735FE" w:rsidRPr="00147D4F">
              <w:rPr>
                <w:sz w:val="20"/>
                <w:szCs w:val="20"/>
                <w:lang w:val="fr-FR" w:eastAsia="en-US"/>
              </w:rPr>
              <w:t>Société Civile</w:t>
            </w:r>
            <w:r w:rsidRPr="00147D4F">
              <w:rPr>
                <w:sz w:val="20"/>
                <w:szCs w:val="20"/>
                <w:lang w:val="fr-FR" w:eastAsia="en-US"/>
              </w:rPr>
              <w:t xml:space="preserve"> bénéficiant d’une capacite technique et opérationnelle accrue, les victimes et témoins ont un meilleur accès à la justice, incluant l’aide légale et la protection</w:t>
            </w:r>
          </w:p>
          <w:p w14:paraId="18DBC6F7" w14:textId="77777777" w:rsidR="00B804F2" w:rsidRPr="00147D4F" w:rsidRDefault="00B804F2" w:rsidP="00F83ED9">
            <w:pPr>
              <w:jc w:val="both"/>
              <w:rPr>
                <w:b/>
                <w:sz w:val="20"/>
                <w:szCs w:val="20"/>
                <w:lang w:val="fr-FR" w:eastAsia="en-US"/>
              </w:rPr>
            </w:pPr>
          </w:p>
        </w:tc>
        <w:tc>
          <w:tcPr>
            <w:tcW w:w="1985" w:type="dxa"/>
            <w:shd w:val="clear" w:color="auto" w:fill="EEECE1"/>
          </w:tcPr>
          <w:p w14:paraId="426CB072" w14:textId="77777777" w:rsidR="00B804F2" w:rsidRPr="00147D4F" w:rsidRDefault="00B804F2" w:rsidP="00F83ED9">
            <w:pPr>
              <w:jc w:val="both"/>
              <w:rPr>
                <w:sz w:val="20"/>
                <w:szCs w:val="20"/>
                <w:lang w:val="fr-FR" w:eastAsia="en-US"/>
              </w:rPr>
            </w:pPr>
            <w:r w:rsidRPr="00147D4F">
              <w:rPr>
                <w:sz w:val="20"/>
                <w:szCs w:val="20"/>
                <w:lang w:val="fr-FR" w:eastAsia="en-US"/>
              </w:rPr>
              <w:t>Indicateur 2.1</w:t>
            </w:r>
          </w:p>
          <w:p w14:paraId="5EB9E086" w14:textId="77777777" w:rsidR="00B804F2" w:rsidRPr="00147D4F" w:rsidRDefault="00B804F2" w:rsidP="00F83ED9">
            <w:pPr>
              <w:jc w:val="both"/>
              <w:rPr>
                <w:sz w:val="20"/>
                <w:szCs w:val="20"/>
                <w:lang w:val="fr-FR" w:eastAsia="en-US"/>
              </w:rPr>
            </w:pPr>
            <w:r w:rsidRPr="00147D4F">
              <w:rPr>
                <w:sz w:val="20"/>
                <w:szCs w:val="20"/>
                <w:lang w:val="fr-FR" w:eastAsia="en-US"/>
              </w:rPr>
              <w:t>Nombre de personnes ayant eu accès à l’aide légale et informés sur leur accès à la justice</w:t>
            </w:r>
          </w:p>
        </w:tc>
        <w:tc>
          <w:tcPr>
            <w:tcW w:w="1307" w:type="dxa"/>
            <w:shd w:val="clear" w:color="auto" w:fill="EEECE1"/>
          </w:tcPr>
          <w:p w14:paraId="1BE77017" w14:textId="77777777" w:rsidR="00B804F2" w:rsidRPr="00147D4F" w:rsidRDefault="00B804F2" w:rsidP="00F83ED9">
            <w:pPr>
              <w:jc w:val="both"/>
              <w:rPr>
                <w:sz w:val="20"/>
                <w:szCs w:val="20"/>
                <w:lang w:val="fr-FR"/>
              </w:rPr>
            </w:pPr>
            <w:r w:rsidRPr="00147D4F">
              <w:rPr>
                <w:sz w:val="20"/>
                <w:szCs w:val="20"/>
                <w:lang w:val="fr-FR" w:eastAsia="en-US"/>
              </w:rPr>
              <w:t>17309 (4296 H / 13013 F)</w:t>
            </w:r>
          </w:p>
        </w:tc>
        <w:tc>
          <w:tcPr>
            <w:tcW w:w="1620" w:type="dxa"/>
            <w:shd w:val="clear" w:color="auto" w:fill="EEECE1"/>
          </w:tcPr>
          <w:p w14:paraId="2CDDB351" w14:textId="789E7E1E" w:rsidR="00181656" w:rsidRPr="00147D4F" w:rsidRDefault="00181656" w:rsidP="00F83ED9">
            <w:pPr>
              <w:jc w:val="both"/>
              <w:rPr>
                <w:sz w:val="20"/>
                <w:szCs w:val="20"/>
                <w:lang w:val="fr-FR"/>
              </w:rPr>
            </w:pPr>
            <w:r w:rsidRPr="00147D4F">
              <w:rPr>
                <w:sz w:val="20"/>
                <w:szCs w:val="20"/>
                <w:lang w:val="fr-FR" w:eastAsia="en-US"/>
              </w:rPr>
              <w:t>27 000 (7000 H / 20 000 F)</w:t>
            </w:r>
          </w:p>
        </w:tc>
        <w:tc>
          <w:tcPr>
            <w:tcW w:w="2070" w:type="dxa"/>
          </w:tcPr>
          <w:p w14:paraId="50350709" w14:textId="0AC0635C" w:rsidR="00B804F2" w:rsidRPr="00147D4F" w:rsidRDefault="00181656" w:rsidP="00F83ED9">
            <w:pPr>
              <w:jc w:val="both"/>
              <w:rPr>
                <w:sz w:val="20"/>
                <w:szCs w:val="20"/>
                <w:lang w:val="fr-FR"/>
              </w:rPr>
            </w:pPr>
            <w:r w:rsidRPr="00147D4F">
              <w:rPr>
                <w:sz w:val="20"/>
                <w:szCs w:val="20"/>
                <w:lang w:val="fr-FR" w:eastAsia="en-US"/>
              </w:rPr>
              <w:t>23 000 (6000 H / 17 000 F) début 2021</w:t>
            </w:r>
          </w:p>
        </w:tc>
        <w:tc>
          <w:tcPr>
            <w:tcW w:w="2941" w:type="dxa"/>
          </w:tcPr>
          <w:p w14:paraId="519B37D8" w14:textId="6371A793" w:rsidR="007F4D96" w:rsidRDefault="00FA547E" w:rsidP="007075CE">
            <w:pPr>
              <w:jc w:val="both"/>
              <w:rPr>
                <w:sz w:val="20"/>
                <w:szCs w:val="20"/>
                <w:lang w:val="fr-FR"/>
              </w:rPr>
            </w:pPr>
            <w:r>
              <w:rPr>
                <w:sz w:val="20"/>
                <w:szCs w:val="20"/>
                <w:lang w:val="fr-FR"/>
              </w:rPr>
              <w:t xml:space="preserve">Cliniques juridiques : </w:t>
            </w:r>
            <w:r w:rsidR="007F1B5F">
              <w:rPr>
                <w:sz w:val="20"/>
                <w:szCs w:val="20"/>
                <w:lang w:val="fr-FR"/>
              </w:rPr>
              <w:t xml:space="preserve">11 431 </w:t>
            </w:r>
            <w:r>
              <w:rPr>
                <w:sz w:val="20"/>
                <w:szCs w:val="20"/>
                <w:lang w:val="fr-FR"/>
              </w:rPr>
              <w:t>bénéficiaires (</w:t>
            </w:r>
            <w:r w:rsidR="007F1B5F">
              <w:rPr>
                <w:sz w:val="20"/>
                <w:szCs w:val="20"/>
                <w:lang w:val="fr-FR"/>
              </w:rPr>
              <w:t>9</w:t>
            </w:r>
            <w:r>
              <w:rPr>
                <w:sz w:val="20"/>
                <w:szCs w:val="20"/>
                <w:lang w:val="fr-FR"/>
              </w:rPr>
              <w:t> </w:t>
            </w:r>
            <w:r w:rsidR="007F1B5F">
              <w:rPr>
                <w:sz w:val="20"/>
                <w:szCs w:val="20"/>
                <w:lang w:val="fr-FR"/>
              </w:rPr>
              <w:t>602</w:t>
            </w:r>
            <w:r>
              <w:rPr>
                <w:sz w:val="20"/>
                <w:szCs w:val="20"/>
                <w:lang w:val="fr-FR"/>
              </w:rPr>
              <w:t xml:space="preserve"> F/1829 H) ; Formation </w:t>
            </w:r>
            <w:r w:rsidR="00EF0330" w:rsidRPr="00EF0330">
              <w:rPr>
                <w:sz w:val="20"/>
                <w:szCs w:val="20"/>
                <w:lang w:val="fr-FR"/>
              </w:rPr>
              <w:t>420</w:t>
            </w:r>
            <w:r w:rsidR="00EF0330">
              <w:rPr>
                <w:sz w:val="20"/>
                <w:szCs w:val="20"/>
                <w:lang w:val="fr-FR"/>
              </w:rPr>
              <w:t xml:space="preserve"> personnes</w:t>
            </w:r>
            <w:r w:rsidR="00A842B2">
              <w:rPr>
                <w:sz w:val="20"/>
                <w:szCs w:val="20"/>
                <w:lang w:val="fr-FR"/>
              </w:rPr>
              <w:t xml:space="preserve"> formées (</w:t>
            </w:r>
            <w:r w:rsidR="00EF0330" w:rsidRPr="00EF0330">
              <w:rPr>
                <w:sz w:val="20"/>
                <w:szCs w:val="20"/>
                <w:lang w:val="fr-FR"/>
              </w:rPr>
              <w:t xml:space="preserve">190 </w:t>
            </w:r>
            <w:r>
              <w:rPr>
                <w:sz w:val="20"/>
                <w:szCs w:val="20"/>
                <w:lang w:val="fr-FR"/>
              </w:rPr>
              <w:t xml:space="preserve">F / 230 </w:t>
            </w:r>
            <w:proofErr w:type="gramStart"/>
            <w:r>
              <w:rPr>
                <w:sz w:val="20"/>
                <w:szCs w:val="20"/>
                <w:lang w:val="fr-FR"/>
              </w:rPr>
              <w:t xml:space="preserve">H </w:t>
            </w:r>
            <w:r w:rsidR="00A842B2">
              <w:rPr>
                <w:sz w:val="20"/>
                <w:szCs w:val="20"/>
                <w:lang w:val="fr-FR"/>
              </w:rPr>
              <w:t>)</w:t>
            </w:r>
            <w:proofErr w:type="gramEnd"/>
          </w:p>
          <w:p w14:paraId="62AF692D" w14:textId="3ECADD5A" w:rsidR="007F1B5F" w:rsidRDefault="007F1B5F" w:rsidP="007075CE">
            <w:pPr>
              <w:jc w:val="both"/>
              <w:rPr>
                <w:sz w:val="20"/>
                <w:szCs w:val="20"/>
                <w:lang w:val="fr-FR"/>
              </w:rPr>
            </w:pPr>
          </w:p>
          <w:p w14:paraId="009F086F" w14:textId="079AA3CF" w:rsidR="00A842B2" w:rsidRPr="00147D4F" w:rsidRDefault="00FA547E" w:rsidP="007075CE">
            <w:pPr>
              <w:jc w:val="both"/>
              <w:rPr>
                <w:sz w:val="20"/>
                <w:szCs w:val="20"/>
                <w:lang w:val="fr-FR"/>
              </w:rPr>
            </w:pPr>
            <w:r>
              <w:rPr>
                <w:sz w:val="20"/>
                <w:szCs w:val="20"/>
                <w:lang w:val="fr-FR"/>
              </w:rPr>
              <w:t>Janvier 2020- Octobre 2021</w:t>
            </w:r>
            <w:r w:rsidR="00A842B2">
              <w:rPr>
                <w:sz w:val="20"/>
                <w:szCs w:val="20"/>
                <w:lang w:val="fr-FR"/>
              </w:rPr>
              <w:t xml:space="preserve"> : 17 799 dont </w:t>
            </w:r>
            <w:r w:rsidR="001D2649">
              <w:rPr>
                <w:sz w:val="20"/>
                <w:szCs w:val="20"/>
                <w:lang w:val="fr-FR"/>
              </w:rPr>
              <w:t>14 784 femmes ont eu accès à l’aide légale et sont informés sur l’accès à la justice.</w:t>
            </w:r>
          </w:p>
        </w:tc>
        <w:tc>
          <w:tcPr>
            <w:tcW w:w="3269" w:type="dxa"/>
          </w:tcPr>
          <w:p w14:paraId="701346DD" w14:textId="37E88835" w:rsidR="00B804F2" w:rsidRPr="00147D4F" w:rsidRDefault="00B804F2" w:rsidP="00F83ED9">
            <w:pPr>
              <w:pStyle w:val="ListParagraph"/>
              <w:numPr>
                <w:ilvl w:val="0"/>
                <w:numId w:val="44"/>
              </w:numPr>
              <w:jc w:val="both"/>
              <w:rPr>
                <w:sz w:val="20"/>
                <w:szCs w:val="20"/>
                <w:lang w:val="fr-FR"/>
              </w:rPr>
            </w:pPr>
          </w:p>
        </w:tc>
      </w:tr>
      <w:tr w:rsidR="00B804F2" w:rsidRPr="00EE01B0" w14:paraId="1C6D6F7A" w14:textId="77777777" w:rsidTr="00EE01B0">
        <w:trPr>
          <w:trHeight w:val="422"/>
        </w:trPr>
        <w:tc>
          <w:tcPr>
            <w:tcW w:w="1838" w:type="dxa"/>
            <w:vMerge/>
          </w:tcPr>
          <w:p w14:paraId="45CB8437" w14:textId="77777777" w:rsidR="00B804F2" w:rsidRPr="00147D4F" w:rsidRDefault="00B804F2" w:rsidP="00F83ED9">
            <w:pPr>
              <w:jc w:val="both"/>
              <w:rPr>
                <w:sz w:val="20"/>
                <w:szCs w:val="20"/>
                <w:lang w:val="fr-FR" w:eastAsia="en-US"/>
              </w:rPr>
            </w:pPr>
          </w:p>
        </w:tc>
        <w:tc>
          <w:tcPr>
            <w:tcW w:w="1985" w:type="dxa"/>
            <w:shd w:val="clear" w:color="auto" w:fill="EEECE1"/>
          </w:tcPr>
          <w:p w14:paraId="2B9C0D18" w14:textId="77777777" w:rsidR="00B804F2" w:rsidRPr="00147D4F" w:rsidRDefault="00B804F2" w:rsidP="00F83ED9">
            <w:pPr>
              <w:jc w:val="both"/>
              <w:rPr>
                <w:sz w:val="20"/>
                <w:szCs w:val="20"/>
                <w:lang w:val="fr-FR" w:eastAsia="en-US"/>
              </w:rPr>
            </w:pPr>
            <w:r w:rsidRPr="00147D4F">
              <w:rPr>
                <w:sz w:val="20"/>
                <w:szCs w:val="20"/>
                <w:lang w:val="fr-FR" w:eastAsia="en-US"/>
              </w:rPr>
              <w:t>Indicateur 2.2</w:t>
            </w:r>
          </w:p>
          <w:p w14:paraId="1CAF26C4" w14:textId="77777777" w:rsidR="00B804F2" w:rsidRPr="00147D4F" w:rsidRDefault="00B804F2" w:rsidP="00F83ED9">
            <w:pPr>
              <w:jc w:val="both"/>
              <w:rPr>
                <w:sz w:val="20"/>
                <w:szCs w:val="20"/>
                <w:lang w:val="fr-FR" w:eastAsia="en-US"/>
              </w:rPr>
            </w:pPr>
            <w:r w:rsidRPr="00147D4F">
              <w:rPr>
                <w:sz w:val="20"/>
                <w:szCs w:val="20"/>
                <w:lang w:val="fr-FR" w:eastAsia="en-US"/>
              </w:rPr>
              <w:t>Nombre de victimes et témoins ayant eu accès à la protection</w:t>
            </w:r>
          </w:p>
        </w:tc>
        <w:tc>
          <w:tcPr>
            <w:tcW w:w="1307" w:type="dxa"/>
            <w:shd w:val="clear" w:color="auto" w:fill="EEECE1"/>
          </w:tcPr>
          <w:p w14:paraId="066EE6E7" w14:textId="77777777" w:rsidR="00B804F2" w:rsidRPr="00147D4F" w:rsidRDefault="00B804F2" w:rsidP="00F83ED9">
            <w:pPr>
              <w:jc w:val="both"/>
              <w:rPr>
                <w:sz w:val="20"/>
                <w:szCs w:val="20"/>
                <w:lang w:val="fr-FR"/>
              </w:rPr>
            </w:pPr>
            <w:r w:rsidRPr="00147D4F">
              <w:rPr>
                <w:sz w:val="20"/>
                <w:szCs w:val="20"/>
              </w:rPr>
              <w:t>A determiner</w:t>
            </w:r>
          </w:p>
        </w:tc>
        <w:tc>
          <w:tcPr>
            <w:tcW w:w="1620" w:type="dxa"/>
            <w:shd w:val="clear" w:color="auto" w:fill="EEECE1"/>
          </w:tcPr>
          <w:p w14:paraId="679CDA26" w14:textId="77777777" w:rsidR="00B804F2" w:rsidRPr="00147D4F" w:rsidRDefault="00B804F2" w:rsidP="00F83ED9">
            <w:pPr>
              <w:jc w:val="both"/>
              <w:rPr>
                <w:sz w:val="20"/>
                <w:szCs w:val="20"/>
                <w:lang w:val="fr-FR"/>
              </w:rPr>
            </w:pPr>
            <w:r w:rsidRPr="00147D4F">
              <w:rPr>
                <w:sz w:val="20"/>
                <w:szCs w:val="20"/>
                <w:lang w:val="fr-FR" w:eastAsia="en-US"/>
              </w:rPr>
              <w:t>Besoins à identifier lors de la 1ère phase du projet</w:t>
            </w:r>
          </w:p>
        </w:tc>
        <w:tc>
          <w:tcPr>
            <w:tcW w:w="2070" w:type="dxa"/>
            <w:shd w:val="clear" w:color="auto" w:fill="auto"/>
          </w:tcPr>
          <w:p w14:paraId="0769C06B" w14:textId="0345DE2F" w:rsidR="00B804F2" w:rsidRPr="00147D4F" w:rsidRDefault="00FA2811" w:rsidP="00F83ED9">
            <w:pPr>
              <w:jc w:val="both"/>
              <w:rPr>
                <w:sz w:val="20"/>
                <w:szCs w:val="20"/>
                <w:lang w:val="fr-FR"/>
              </w:rPr>
            </w:pPr>
            <w:r w:rsidRPr="00147D4F">
              <w:rPr>
                <w:sz w:val="20"/>
                <w:szCs w:val="20"/>
                <w:lang w:val="fr-FR" w:eastAsia="en-US"/>
              </w:rPr>
              <w:t xml:space="preserve">A </w:t>
            </w:r>
            <w:r w:rsidR="008F684C" w:rsidRPr="00147D4F">
              <w:rPr>
                <w:sz w:val="20"/>
                <w:szCs w:val="20"/>
                <w:lang w:val="fr-FR" w:eastAsia="en-US"/>
              </w:rPr>
              <w:t>déterminer</w:t>
            </w:r>
          </w:p>
        </w:tc>
        <w:tc>
          <w:tcPr>
            <w:tcW w:w="2941" w:type="dxa"/>
            <w:shd w:val="clear" w:color="auto" w:fill="auto"/>
          </w:tcPr>
          <w:p w14:paraId="7F078FD3" w14:textId="20F3E339" w:rsidR="00B804F2" w:rsidRPr="0095394B" w:rsidRDefault="00875398" w:rsidP="00F83ED9">
            <w:pPr>
              <w:jc w:val="both"/>
              <w:rPr>
                <w:sz w:val="20"/>
                <w:szCs w:val="20"/>
                <w:lang w:val="fr-FR"/>
              </w:rPr>
            </w:pPr>
            <w:r w:rsidRPr="0095394B">
              <w:rPr>
                <w:sz w:val="20"/>
                <w:szCs w:val="20"/>
                <w:lang w:val="fr-FR" w:eastAsia="en-US"/>
              </w:rPr>
              <w:t xml:space="preserve"> </w:t>
            </w:r>
            <w:r w:rsidRPr="0095394B">
              <w:rPr>
                <w:sz w:val="20"/>
                <w:szCs w:val="20"/>
                <w:lang w:val="fr-FR"/>
              </w:rPr>
              <w:t>Non disponible</w:t>
            </w:r>
          </w:p>
        </w:tc>
        <w:tc>
          <w:tcPr>
            <w:tcW w:w="3269" w:type="dxa"/>
            <w:shd w:val="clear" w:color="auto" w:fill="auto"/>
          </w:tcPr>
          <w:p w14:paraId="60259261" w14:textId="4F399C6F" w:rsidR="00B804F2" w:rsidRPr="0095394B" w:rsidRDefault="0006600E" w:rsidP="00F83ED9">
            <w:pPr>
              <w:jc w:val="both"/>
              <w:rPr>
                <w:sz w:val="20"/>
                <w:szCs w:val="20"/>
                <w:lang w:val="fr-FR"/>
              </w:rPr>
            </w:pPr>
            <w:r w:rsidRPr="0095394B">
              <w:rPr>
                <w:sz w:val="20"/>
                <w:szCs w:val="20"/>
                <w:lang w:val="fr-FR" w:eastAsia="en-US"/>
              </w:rPr>
              <w:t xml:space="preserve">Discussions </w:t>
            </w:r>
            <w:r w:rsidR="00914B87" w:rsidRPr="0095394B">
              <w:rPr>
                <w:sz w:val="20"/>
                <w:szCs w:val="20"/>
                <w:lang w:val="fr-FR" w:eastAsia="en-US"/>
              </w:rPr>
              <w:t xml:space="preserve">en cours </w:t>
            </w:r>
            <w:r w:rsidRPr="0095394B">
              <w:rPr>
                <w:sz w:val="20"/>
                <w:szCs w:val="20"/>
                <w:lang w:val="fr-FR" w:eastAsia="en-US"/>
              </w:rPr>
              <w:t xml:space="preserve">avec unité protection de témoins et victimes de la CPS ainsi que partenaires de la </w:t>
            </w:r>
            <w:r w:rsidR="00D735FE" w:rsidRPr="0095394B">
              <w:rPr>
                <w:sz w:val="20"/>
                <w:szCs w:val="20"/>
                <w:lang w:val="fr-FR" w:eastAsia="en-US"/>
              </w:rPr>
              <w:t>Société Civile</w:t>
            </w:r>
            <w:r w:rsidR="00914B87" w:rsidRPr="0095394B">
              <w:rPr>
                <w:sz w:val="20"/>
                <w:szCs w:val="20"/>
                <w:lang w:val="fr-FR" w:eastAsia="en-US"/>
              </w:rPr>
              <w:t xml:space="preserve">. Le retard est </w:t>
            </w:r>
            <w:proofErr w:type="spellStart"/>
            <w:r w:rsidR="00914B87" w:rsidRPr="0095394B">
              <w:rPr>
                <w:sz w:val="20"/>
                <w:szCs w:val="20"/>
                <w:lang w:val="fr-FR" w:eastAsia="en-US"/>
              </w:rPr>
              <w:t>du</w:t>
            </w:r>
            <w:proofErr w:type="spellEnd"/>
            <w:r w:rsidR="00914B87" w:rsidRPr="0095394B">
              <w:rPr>
                <w:sz w:val="20"/>
                <w:szCs w:val="20"/>
                <w:lang w:val="fr-FR" w:eastAsia="en-US"/>
              </w:rPr>
              <w:t xml:space="preserve"> au</w:t>
            </w:r>
            <w:r w:rsidRPr="0095394B">
              <w:rPr>
                <w:sz w:val="20"/>
                <w:szCs w:val="20"/>
                <w:lang w:val="fr-FR" w:eastAsia="en-US"/>
              </w:rPr>
              <w:t xml:space="preserve"> contexte </w:t>
            </w:r>
            <w:r w:rsidR="00651996" w:rsidRPr="0095394B">
              <w:rPr>
                <w:sz w:val="20"/>
                <w:szCs w:val="20"/>
                <w:lang w:val="fr-FR" w:eastAsia="en-US"/>
              </w:rPr>
              <w:t xml:space="preserve">politique, institutionnel et </w:t>
            </w:r>
            <w:r w:rsidRPr="0095394B">
              <w:rPr>
                <w:sz w:val="20"/>
                <w:szCs w:val="20"/>
                <w:lang w:val="fr-FR" w:eastAsia="en-US"/>
              </w:rPr>
              <w:t>sanitaire</w:t>
            </w:r>
            <w:r w:rsidR="00914B87" w:rsidRPr="0095394B">
              <w:rPr>
                <w:sz w:val="20"/>
                <w:szCs w:val="20"/>
                <w:lang w:val="fr-FR" w:eastAsia="en-US"/>
              </w:rPr>
              <w:t xml:space="preserve">, mais un atelier </w:t>
            </w:r>
            <w:r w:rsidR="00651996" w:rsidRPr="0095394B">
              <w:rPr>
                <w:sz w:val="20"/>
                <w:szCs w:val="20"/>
                <w:lang w:val="fr-FR" w:eastAsia="en-US"/>
              </w:rPr>
              <w:t xml:space="preserve">de </w:t>
            </w:r>
            <w:proofErr w:type="spellStart"/>
            <w:r w:rsidR="00651996" w:rsidRPr="0095394B">
              <w:rPr>
                <w:sz w:val="20"/>
                <w:szCs w:val="20"/>
                <w:lang w:val="fr-FR" w:eastAsia="en-US"/>
              </w:rPr>
              <w:t>renfrocement</w:t>
            </w:r>
            <w:proofErr w:type="spellEnd"/>
            <w:r w:rsidR="00651996" w:rsidRPr="0095394B">
              <w:rPr>
                <w:sz w:val="20"/>
                <w:szCs w:val="20"/>
                <w:lang w:val="fr-FR" w:eastAsia="en-US"/>
              </w:rPr>
              <w:t xml:space="preserve"> de capacités des acteurs sur la stratégie de protection des victimes et témoins et prévu pour fin novembre, en collaboration avec les juridictions ordinaires, la CPS et la CVJRR, </w:t>
            </w:r>
            <w:r w:rsidR="00914B87" w:rsidRPr="0095394B">
              <w:rPr>
                <w:sz w:val="20"/>
                <w:szCs w:val="20"/>
                <w:lang w:val="fr-FR" w:eastAsia="en-US"/>
              </w:rPr>
              <w:t>qui permettra d’identifier les gaps</w:t>
            </w:r>
            <w:r w:rsidR="00651996" w:rsidRPr="0095394B">
              <w:rPr>
                <w:sz w:val="20"/>
                <w:szCs w:val="20"/>
                <w:lang w:val="fr-FR" w:eastAsia="en-US"/>
              </w:rPr>
              <w:t xml:space="preserve"> et </w:t>
            </w:r>
            <w:r w:rsidR="00914B87" w:rsidRPr="0095394B">
              <w:rPr>
                <w:sz w:val="20"/>
                <w:szCs w:val="20"/>
                <w:lang w:val="fr-FR" w:eastAsia="en-US"/>
              </w:rPr>
              <w:t xml:space="preserve">points d’actions </w:t>
            </w:r>
            <w:proofErr w:type="spellStart"/>
            <w:r w:rsidR="00914B87" w:rsidRPr="0095394B">
              <w:rPr>
                <w:sz w:val="20"/>
                <w:szCs w:val="20"/>
                <w:lang w:val="fr-FR" w:eastAsia="en-US"/>
              </w:rPr>
              <w:t>concrèts</w:t>
            </w:r>
            <w:proofErr w:type="spellEnd"/>
            <w:r w:rsidR="00651996" w:rsidRPr="0095394B">
              <w:rPr>
                <w:sz w:val="20"/>
                <w:szCs w:val="20"/>
                <w:lang w:val="fr-FR" w:eastAsia="en-US"/>
              </w:rPr>
              <w:t>.</w:t>
            </w:r>
            <w:r w:rsidR="00914B87" w:rsidRPr="0095394B">
              <w:rPr>
                <w:sz w:val="20"/>
                <w:szCs w:val="20"/>
                <w:lang w:val="fr-FR" w:eastAsia="en-US"/>
              </w:rPr>
              <w:t xml:space="preserve"> </w:t>
            </w:r>
          </w:p>
        </w:tc>
      </w:tr>
      <w:tr w:rsidR="00B804F2" w:rsidRPr="00EE01B0" w14:paraId="41A319BE" w14:textId="77777777" w:rsidTr="00EE01B0">
        <w:trPr>
          <w:trHeight w:val="422"/>
        </w:trPr>
        <w:tc>
          <w:tcPr>
            <w:tcW w:w="1838" w:type="dxa"/>
            <w:vMerge w:val="restart"/>
          </w:tcPr>
          <w:p w14:paraId="2D5A65CD" w14:textId="77777777" w:rsidR="00B804F2" w:rsidRPr="00147D4F" w:rsidRDefault="00B804F2" w:rsidP="00F83ED9">
            <w:pPr>
              <w:jc w:val="both"/>
              <w:rPr>
                <w:sz w:val="20"/>
                <w:szCs w:val="20"/>
                <w:lang w:val="fr-FR" w:eastAsia="en-US"/>
              </w:rPr>
            </w:pPr>
            <w:r w:rsidRPr="00147D4F">
              <w:rPr>
                <w:sz w:val="20"/>
                <w:szCs w:val="20"/>
                <w:lang w:val="fr-FR" w:eastAsia="en-US"/>
              </w:rPr>
              <w:t>Produit 2.1</w:t>
            </w:r>
          </w:p>
          <w:p w14:paraId="00003215" w14:textId="77777777" w:rsidR="00B804F2" w:rsidRPr="00147D4F" w:rsidRDefault="00B804F2" w:rsidP="00F83ED9">
            <w:pPr>
              <w:jc w:val="both"/>
              <w:rPr>
                <w:b/>
                <w:sz w:val="20"/>
                <w:szCs w:val="20"/>
                <w:lang w:val="fr-FR" w:eastAsia="en-US"/>
              </w:rPr>
            </w:pPr>
            <w:r w:rsidRPr="00147D4F">
              <w:rPr>
                <w:sz w:val="20"/>
                <w:szCs w:val="20"/>
                <w:lang w:val="fr-FR" w:eastAsia="en-US"/>
              </w:rPr>
              <w:t xml:space="preserve">Au moins 10 000 centrafricains (avec au moins 50% femmes) dans au moins 7 localités ont bénéficié de </w:t>
            </w:r>
            <w:r w:rsidRPr="00147D4F">
              <w:rPr>
                <w:sz w:val="20"/>
                <w:szCs w:val="20"/>
                <w:lang w:val="fr-FR" w:eastAsia="en-US"/>
              </w:rPr>
              <w:lastRenderedPageBreak/>
              <w:t xml:space="preserve">services d’aide légale </w:t>
            </w:r>
            <w:r w:rsidRPr="00147D4F">
              <w:rPr>
                <w:b/>
                <w:sz w:val="20"/>
                <w:szCs w:val="20"/>
                <w:lang w:val="fr-FR" w:eastAsia="en-US"/>
              </w:rPr>
              <w:t> </w:t>
            </w:r>
            <w:r w:rsidRPr="00147D4F">
              <w:rPr>
                <w:b/>
                <w:sz w:val="20"/>
                <w:szCs w:val="20"/>
                <w:lang w:val="fr-FR" w:eastAsia="en-US"/>
              </w:rPr>
              <w:t> </w:t>
            </w:r>
            <w:r w:rsidRPr="00147D4F">
              <w:rPr>
                <w:b/>
                <w:sz w:val="20"/>
                <w:szCs w:val="20"/>
                <w:lang w:val="fr-FR" w:eastAsia="en-US"/>
              </w:rPr>
              <w:t> </w:t>
            </w:r>
            <w:r w:rsidRPr="00147D4F">
              <w:rPr>
                <w:b/>
                <w:sz w:val="20"/>
                <w:szCs w:val="20"/>
                <w:lang w:val="fr-FR" w:eastAsia="en-US"/>
              </w:rPr>
              <w:t> </w:t>
            </w:r>
            <w:r w:rsidRPr="00147D4F">
              <w:rPr>
                <w:b/>
                <w:sz w:val="20"/>
                <w:szCs w:val="20"/>
                <w:lang w:val="fr-FR" w:eastAsia="en-US"/>
              </w:rPr>
              <w:t> </w:t>
            </w:r>
          </w:p>
        </w:tc>
        <w:tc>
          <w:tcPr>
            <w:tcW w:w="1985" w:type="dxa"/>
            <w:shd w:val="clear" w:color="auto" w:fill="EEECE1"/>
          </w:tcPr>
          <w:p w14:paraId="228E037B" w14:textId="77777777" w:rsidR="00B804F2" w:rsidRPr="00147D4F" w:rsidRDefault="00B804F2" w:rsidP="00F83ED9">
            <w:pPr>
              <w:jc w:val="both"/>
              <w:rPr>
                <w:sz w:val="20"/>
                <w:szCs w:val="20"/>
                <w:lang w:val="fr-FR" w:eastAsia="en-US"/>
              </w:rPr>
            </w:pPr>
            <w:proofErr w:type="gramStart"/>
            <w:r w:rsidRPr="00147D4F">
              <w:rPr>
                <w:sz w:val="20"/>
                <w:szCs w:val="20"/>
                <w:lang w:val="fr-FR" w:eastAsia="en-US"/>
              </w:rPr>
              <w:lastRenderedPageBreak/>
              <w:t>Indicateur  2.1.1</w:t>
            </w:r>
            <w:proofErr w:type="gramEnd"/>
          </w:p>
          <w:p w14:paraId="3D2853D6" w14:textId="77777777" w:rsidR="00B804F2" w:rsidRPr="00147D4F" w:rsidRDefault="00B804F2" w:rsidP="00F83ED9">
            <w:pPr>
              <w:jc w:val="both"/>
              <w:rPr>
                <w:sz w:val="20"/>
                <w:szCs w:val="20"/>
                <w:lang w:val="fr-FR" w:eastAsia="en-US"/>
              </w:rPr>
            </w:pPr>
            <w:r w:rsidRPr="00147D4F">
              <w:rPr>
                <w:sz w:val="20"/>
                <w:szCs w:val="20"/>
                <w:lang w:val="fr-FR" w:eastAsia="en-US"/>
              </w:rPr>
              <w:t>Nombre de cliniques d’aides légale opérationnelles     </w:t>
            </w:r>
          </w:p>
        </w:tc>
        <w:tc>
          <w:tcPr>
            <w:tcW w:w="1307" w:type="dxa"/>
            <w:shd w:val="clear" w:color="auto" w:fill="EEECE1"/>
          </w:tcPr>
          <w:p w14:paraId="4F250B50" w14:textId="77777777" w:rsidR="00B804F2" w:rsidRPr="00147D4F" w:rsidRDefault="00B804F2" w:rsidP="00F83ED9">
            <w:pPr>
              <w:jc w:val="both"/>
              <w:rPr>
                <w:sz w:val="20"/>
                <w:szCs w:val="20"/>
                <w:lang w:val="fr-FR"/>
              </w:rPr>
            </w:pPr>
            <w:r w:rsidRPr="00147D4F">
              <w:rPr>
                <w:b/>
                <w:sz w:val="20"/>
                <w:szCs w:val="20"/>
                <w:lang w:val="fr-FR" w:eastAsia="en-US"/>
              </w:rPr>
              <w:t>3</w:t>
            </w:r>
          </w:p>
        </w:tc>
        <w:tc>
          <w:tcPr>
            <w:tcW w:w="1620" w:type="dxa"/>
            <w:shd w:val="clear" w:color="auto" w:fill="EEECE1"/>
          </w:tcPr>
          <w:p w14:paraId="5B2FDC58" w14:textId="77777777" w:rsidR="00B804F2" w:rsidRPr="00147D4F" w:rsidRDefault="00B804F2" w:rsidP="00F83ED9">
            <w:pPr>
              <w:jc w:val="both"/>
              <w:rPr>
                <w:sz w:val="20"/>
                <w:szCs w:val="20"/>
                <w:lang w:val="fr-FR"/>
              </w:rPr>
            </w:pPr>
            <w:r w:rsidRPr="00147D4F">
              <w:rPr>
                <w:b/>
                <w:sz w:val="20"/>
                <w:szCs w:val="20"/>
                <w:lang w:val="fr-FR" w:eastAsia="en-US"/>
              </w:rPr>
              <w:t>8</w:t>
            </w:r>
          </w:p>
        </w:tc>
        <w:tc>
          <w:tcPr>
            <w:tcW w:w="2070" w:type="dxa"/>
          </w:tcPr>
          <w:p w14:paraId="56250577" w14:textId="264ABE20" w:rsidR="00B804F2" w:rsidRPr="00147D4F" w:rsidRDefault="0099077C" w:rsidP="00F83ED9">
            <w:pPr>
              <w:jc w:val="both"/>
              <w:rPr>
                <w:sz w:val="20"/>
                <w:szCs w:val="20"/>
                <w:lang w:val="fr-FR"/>
              </w:rPr>
            </w:pPr>
            <w:r w:rsidRPr="00147D4F">
              <w:rPr>
                <w:sz w:val="20"/>
                <w:szCs w:val="20"/>
                <w:lang w:val="fr-FR" w:eastAsia="en-US"/>
              </w:rPr>
              <w:t>9</w:t>
            </w:r>
          </w:p>
        </w:tc>
        <w:tc>
          <w:tcPr>
            <w:tcW w:w="2941" w:type="dxa"/>
          </w:tcPr>
          <w:p w14:paraId="654F9CD7" w14:textId="6EBE3CD5" w:rsidR="00B804F2" w:rsidRPr="00F83ED9" w:rsidRDefault="0099077C" w:rsidP="00F83ED9">
            <w:pPr>
              <w:jc w:val="both"/>
              <w:rPr>
                <w:bCs/>
                <w:sz w:val="20"/>
                <w:szCs w:val="20"/>
                <w:lang w:val="fr-FR" w:eastAsia="en-US"/>
              </w:rPr>
            </w:pPr>
            <w:r w:rsidRPr="00F83ED9">
              <w:rPr>
                <w:bCs/>
                <w:sz w:val="20"/>
                <w:szCs w:val="20"/>
                <w:lang w:val="fr-FR" w:eastAsia="en-US"/>
              </w:rPr>
              <w:t>9</w:t>
            </w:r>
            <w:r w:rsidR="00F83ED9" w:rsidRPr="00F83ED9">
              <w:rPr>
                <w:bCs/>
                <w:sz w:val="20"/>
                <w:szCs w:val="20"/>
                <w:lang w:val="fr-FR" w:eastAsia="en-US"/>
              </w:rPr>
              <w:t xml:space="preserve"> cliniques juridiques opérationnelles</w:t>
            </w:r>
          </w:p>
          <w:p w14:paraId="3A40D28D" w14:textId="77777777" w:rsidR="00B804F2" w:rsidRPr="00147D4F" w:rsidRDefault="00B804F2" w:rsidP="00F83ED9">
            <w:pPr>
              <w:jc w:val="both"/>
              <w:rPr>
                <w:b/>
                <w:sz w:val="20"/>
                <w:szCs w:val="20"/>
                <w:lang w:val="fr-FR" w:eastAsia="en-US"/>
              </w:rPr>
            </w:pPr>
          </w:p>
          <w:p w14:paraId="63DA3B05" w14:textId="6A88E7E6" w:rsidR="00B804F2" w:rsidRPr="00147D4F" w:rsidRDefault="00B804F2" w:rsidP="00F83ED9">
            <w:pPr>
              <w:jc w:val="both"/>
              <w:rPr>
                <w:sz w:val="20"/>
                <w:szCs w:val="20"/>
                <w:lang w:val="fr-FR"/>
              </w:rPr>
            </w:pPr>
            <w:r w:rsidRPr="00147D4F">
              <w:rPr>
                <w:sz w:val="20"/>
                <w:szCs w:val="20"/>
                <w:lang w:val="fr-FR"/>
              </w:rPr>
              <w:t xml:space="preserve">. </w:t>
            </w:r>
          </w:p>
          <w:p w14:paraId="461719D0" w14:textId="77777777" w:rsidR="00B804F2" w:rsidRPr="00147D4F" w:rsidRDefault="00B804F2" w:rsidP="00F83ED9">
            <w:pPr>
              <w:jc w:val="both"/>
              <w:rPr>
                <w:sz w:val="20"/>
                <w:szCs w:val="20"/>
                <w:lang w:val="fr-FR"/>
              </w:rPr>
            </w:pPr>
          </w:p>
        </w:tc>
        <w:tc>
          <w:tcPr>
            <w:tcW w:w="3269" w:type="dxa"/>
          </w:tcPr>
          <w:p w14:paraId="7F462915" w14:textId="1330A095" w:rsidR="00B804F2" w:rsidRPr="00147D4F" w:rsidRDefault="00651996" w:rsidP="00F83ED9">
            <w:pPr>
              <w:jc w:val="both"/>
              <w:rPr>
                <w:sz w:val="20"/>
                <w:szCs w:val="20"/>
                <w:lang w:val="fr-FR"/>
              </w:rPr>
            </w:pPr>
            <w:r>
              <w:rPr>
                <w:sz w:val="20"/>
                <w:szCs w:val="20"/>
                <w:lang w:val="fr-FR"/>
              </w:rPr>
              <w:t xml:space="preserve">On doit alerter </w:t>
            </w:r>
            <w:r w:rsidR="001A30DD">
              <w:rPr>
                <w:sz w:val="20"/>
                <w:szCs w:val="20"/>
                <w:lang w:val="fr-FR"/>
              </w:rPr>
              <w:t>d</w:t>
            </w:r>
            <w:r>
              <w:rPr>
                <w:sz w:val="20"/>
                <w:szCs w:val="20"/>
                <w:lang w:val="fr-FR"/>
              </w:rPr>
              <w:t xml:space="preserve">u fait qu’avec </w:t>
            </w:r>
            <w:proofErr w:type="gramStart"/>
            <w:r>
              <w:rPr>
                <w:sz w:val="20"/>
                <w:szCs w:val="20"/>
                <w:lang w:val="fr-FR"/>
              </w:rPr>
              <w:t>le fin</w:t>
            </w:r>
            <w:proofErr w:type="gramEnd"/>
            <w:r>
              <w:rPr>
                <w:sz w:val="20"/>
                <w:szCs w:val="20"/>
                <w:lang w:val="fr-FR"/>
              </w:rPr>
              <w:t xml:space="preserve"> de ce projet les cliniques juridiques risquent d’avoir à fermer si d’autre ressources ne sont pas mobilisés dans l’immédiat. Ceci est particulièrement malheureux étant donné que les fonds alloués aux cliniques n’ont pas tous étés dépensés, le fonctionnement des </w:t>
            </w:r>
            <w:r>
              <w:rPr>
                <w:sz w:val="20"/>
                <w:szCs w:val="20"/>
                <w:lang w:val="fr-FR"/>
              </w:rPr>
              <w:lastRenderedPageBreak/>
              <w:t>cliniques coûtant moins qu’initialement prévu (aussi à cause du délai de recrutement et déploiement des avocats dans les provinces).</w:t>
            </w:r>
          </w:p>
        </w:tc>
      </w:tr>
      <w:tr w:rsidR="00B804F2" w:rsidRPr="00EE01B0" w14:paraId="1DA5D4E2" w14:textId="77777777" w:rsidTr="00EE01B0">
        <w:trPr>
          <w:trHeight w:val="458"/>
        </w:trPr>
        <w:tc>
          <w:tcPr>
            <w:tcW w:w="1838" w:type="dxa"/>
            <w:vMerge/>
          </w:tcPr>
          <w:p w14:paraId="291F6577" w14:textId="77777777" w:rsidR="00B804F2" w:rsidRPr="00147D4F" w:rsidRDefault="00B804F2" w:rsidP="00B804F2">
            <w:pPr>
              <w:rPr>
                <w:b/>
                <w:sz w:val="20"/>
                <w:szCs w:val="20"/>
                <w:lang w:val="fr-FR" w:eastAsia="en-US"/>
              </w:rPr>
            </w:pPr>
          </w:p>
        </w:tc>
        <w:tc>
          <w:tcPr>
            <w:tcW w:w="1985" w:type="dxa"/>
            <w:shd w:val="clear" w:color="auto" w:fill="EEECE1"/>
          </w:tcPr>
          <w:p w14:paraId="34845F19" w14:textId="77777777" w:rsidR="00B804F2" w:rsidRPr="00147D4F" w:rsidRDefault="00B804F2" w:rsidP="00F83ED9">
            <w:pPr>
              <w:jc w:val="both"/>
              <w:rPr>
                <w:sz w:val="20"/>
                <w:szCs w:val="20"/>
                <w:lang w:val="fr-FR" w:eastAsia="en-US"/>
              </w:rPr>
            </w:pPr>
            <w:proofErr w:type="gramStart"/>
            <w:r w:rsidRPr="00147D4F">
              <w:rPr>
                <w:sz w:val="20"/>
                <w:szCs w:val="20"/>
                <w:lang w:val="fr-FR" w:eastAsia="en-US"/>
              </w:rPr>
              <w:t>Indicateur  2.1.2</w:t>
            </w:r>
            <w:proofErr w:type="gramEnd"/>
          </w:p>
          <w:p w14:paraId="554105E4" w14:textId="77777777" w:rsidR="00B804F2" w:rsidRPr="00147D4F" w:rsidRDefault="00B804F2" w:rsidP="00F83ED9">
            <w:pPr>
              <w:jc w:val="both"/>
              <w:rPr>
                <w:sz w:val="20"/>
                <w:szCs w:val="20"/>
                <w:lang w:val="fr-FR" w:eastAsia="en-US"/>
              </w:rPr>
            </w:pPr>
            <w:r w:rsidRPr="00147D4F">
              <w:rPr>
                <w:sz w:val="20"/>
                <w:szCs w:val="20"/>
                <w:lang w:val="fr-FR" w:eastAsia="en-US"/>
              </w:rPr>
              <w:t>Nombre de Centrafricains ayant eu accès à l’aide légale</w:t>
            </w:r>
          </w:p>
        </w:tc>
        <w:tc>
          <w:tcPr>
            <w:tcW w:w="1307" w:type="dxa"/>
            <w:shd w:val="clear" w:color="auto" w:fill="EEECE1"/>
          </w:tcPr>
          <w:p w14:paraId="3A8BE46E" w14:textId="77777777" w:rsidR="00B804F2" w:rsidRPr="00147D4F" w:rsidRDefault="00B804F2" w:rsidP="00F83ED9">
            <w:pPr>
              <w:jc w:val="both"/>
              <w:rPr>
                <w:sz w:val="20"/>
                <w:szCs w:val="20"/>
                <w:lang w:val="fr-FR"/>
              </w:rPr>
            </w:pPr>
            <w:r w:rsidRPr="00147D4F">
              <w:rPr>
                <w:sz w:val="20"/>
                <w:szCs w:val="20"/>
              </w:rPr>
              <w:t>10972</w:t>
            </w:r>
          </w:p>
        </w:tc>
        <w:tc>
          <w:tcPr>
            <w:tcW w:w="1620" w:type="dxa"/>
            <w:shd w:val="clear" w:color="auto" w:fill="EEECE1"/>
          </w:tcPr>
          <w:p w14:paraId="23C71951" w14:textId="77777777" w:rsidR="00B804F2" w:rsidRPr="00147D4F" w:rsidRDefault="00B804F2" w:rsidP="00F83ED9">
            <w:pPr>
              <w:jc w:val="both"/>
              <w:rPr>
                <w:sz w:val="20"/>
                <w:szCs w:val="20"/>
                <w:lang w:val="fr-FR"/>
              </w:rPr>
            </w:pPr>
            <w:r w:rsidRPr="00147D4F">
              <w:rPr>
                <w:sz w:val="20"/>
                <w:szCs w:val="20"/>
              </w:rPr>
              <w:t>21000</w:t>
            </w:r>
          </w:p>
        </w:tc>
        <w:tc>
          <w:tcPr>
            <w:tcW w:w="2070" w:type="dxa"/>
          </w:tcPr>
          <w:p w14:paraId="28230B99" w14:textId="6BF5BA02" w:rsidR="00B804F2" w:rsidRPr="00147D4F" w:rsidRDefault="0099077C" w:rsidP="00F83ED9">
            <w:pPr>
              <w:jc w:val="both"/>
              <w:rPr>
                <w:sz w:val="20"/>
                <w:szCs w:val="20"/>
                <w:lang w:val="fr-FR"/>
              </w:rPr>
            </w:pPr>
            <w:r w:rsidRPr="00147D4F">
              <w:rPr>
                <w:sz w:val="20"/>
                <w:szCs w:val="20"/>
                <w:lang w:val="fr-FR" w:eastAsia="en-US"/>
              </w:rPr>
              <w:t xml:space="preserve">19 307 en fin avril </w:t>
            </w:r>
            <w:r w:rsidR="00181656" w:rsidRPr="00147D4F">
              <w:rPr>
                <w:sz w:val="20"/>
                <w:szCs w:val="20"/>
                <w:lang w:val="fr-FR" w:eastAsia="en-US"/>
              </w:rPr>
              <w:t>2021.</w:t>
            </w:r>
          </w:p>
        </w:tc>
        <w:tc>
          <w:tcPr>
            <w:tcW w:w="2941" w:type="dxa"/>
          </w:tcPr>
          <w:p w14:paraId="6380B7E2" w14:textId="0157B56F" w:rsidR="00B804F2" w:rsidRPr="00147D4F" w:rsidRDefault="00FA547E" w:rsidP="002C171E">
            <w:pPr>
              <w:jc w:val="both"/>
              <w:rPr>
                <w:sz w:val="20"/>
                <w:szCs w:val="20"/>
                <w:lang w:val="fr-FR"/>
              </w:rPr>
            </w:pPr>
            <w:r>
              <w:rPr>
                <w:sz w:val="20"/>
                <w:szCs w:val="20"/>
                <w:lang w:val="fr-FR"/>
              </w:rPr>
              <w:t xml:space="preserve">11 431 bénéficiaires (9 602 F/1829 </w:t>
            </w:r>
            <w:proofErr w:type="gramStart"/>
            <w:r>
              <w:rPr>
                <w:sz w:val="20"/>
                <w:szCs w:val="20"/>
                <w:lang w:val="fr-FR"/>
              </w:rPr>
              <w:t>H)</w:t>
            </w:r>
            <w:r w:rsidR="002C171E">
              <w:rPr>
                <w:sz w:val="20"/>
                <w:szCs w:val="20"/>
                <w:lang w:val="fr-FR"/>
              </w:rPr>
              <w:t>Janvier</w:t>
            </w:r>
            <w:proofErr w:type="gramEnd"/>
            <w:r w:rsidR="002C171E">
              <w:rPr>
                <w:sz w:val="20"/>
                <w:szCs w:val="20"/>
                <w:lang w:val="fr-FR"/>
              </w:rPr>
              <w:t xml:space="preserve"> 2020 – Octobre 2021 ; 17 579 bénéficiaires d’aide légale dont 14 594 femmes.</w:t>
            </w:r>
          </w:p>
        </w:tc>
        <w:tc>
          <w:tcPr>
            <w:tcW w:w="3269" w:type="dxa"/>
          </w:tcPr>
          <w:p w14:paraId="5C1B47FE" w14:textId="171A645C" w:rsidR="00B804F2" w:rsidRPr="00147D4F" w:rsidRDefault="00B804F2" w:rsidP="00636E71">
            <w:pPr>
              <w:jc w:val="both"/>
              <w:rPr>
                <w:sz w:val="20"/>
                <w:szCs w:val="20"/>
                <w:lang w:val="fr-FR"/>
              </w:rPr>
            </w:pPr>
          </w:p>
        </w:tc>
      </w:tr>
      <w:tr w:rsidR="00B804F2" w:rsidRPr="00EE01B0" w14:paraId="15E92EC9" w14:textId="77777777" w:rsidTr="00EE01B0">
        <w:trPr>
          <w:trHeight w:val="512"/>
        </w:trPr>
        <w:tc>
          <w:tcPr>
            <w:tcW w:w="1838" w:type="dxa"/>
            <w:vMerge w:val="restart"/>
          </w:tcPr>
          <w:p w14:paraId="7DE4B45F" w14:textId="77777777" w:rsidR="00B804F2" w:rsidRPr="00147D4F" w:rsidRDefault="00B804F2" w:rsidP="00C75E94">
            <w:pPr>
              <w:jc w:val="both"/>
              <w:rPr>
                <w:b/>
                <w:sz w:val="20"/>
                <w:szCs w:val="20"/>
                <w:lang w:val="fr-FR" w:eastAsia="en-US"/>
              </w:rPr>
            </w:pPr>
          </w:p>
          <w:p w14:paraId="49E88B49" w14:textId="77777777" w:rsidR="00B804F2" w:rsidRPr="00147D4F" w:rsidRDefault="00B804F2" w:rsidP="00C75E94">
            <w:pPr>
              <w:jc w:val="both"/>
              <w:rPr>
                <w:sz w:val="20"/>
                <w:szCs w:val="20"/>
                <w:lang w:val="fr-FR" w:eastAsia="en-US"/>
              </w:rPr>
            </w:pPr>
            <w:r w:rsidRPr="00147D4F">
              <w:rPr>
                <w:sz w:val="20"/>
                <w:szCs w:val="20"/>
                <w:lang w:val="fr-FR" w:eastAsia="en-US"/>
              </w:rPr>
              <w:t>Produit 2.2</w:t>
            </w:r>
          </w:p>
          <w:p w14:paraId="79344336" w14:textId="77777777" w:rsidR="00B804F2" w:rsidRPr="00147D4F" w:rsidRDefault="00B804F2" w:rsidP="00C75E94">
            <w:pPr>
              <w:jc w:val="both"/>
              <w:rPr>
                <w:sz w:val="20"/>
                <w:szCs w:val="20"/>
                <w:lang w:val="fr-FR" w:eastAsia="en-US"/>
              </w:rPr>
            </w:pPr>
            <w:r w:rsidRPr="00147D4F">
              <w:rPr>
                <w:sz w:val="20"/>
                <w:szCs w:val="20"/>
                <w:lang w:val="fr-FR" w:eastAsia="en-US"/>
              </w:rPr>
              <w:t>Les victimes et témoins ont accès aux mécanismes de protection en accédant aux juridictions ordinaires, la CPS et/ou la CVJRR</w:t>
            </w:r>
          </w:p>
        </w:tc>
        <w:tc>
          <w:tcPr>
            <w:tcW w:w="1985" w:type="dxa"/>
            <w:shd w:val="clear" w:color="auto" w:fill="EEECE1"/>
          </w:tcPr>
          <w:p w14:paraId="65036AB2" w14:textId="77777777" w:rsidR="00B804F2" w:rsidRPr="00147D4F" w:rsidRDefault="00B804F2" w:rsidP="00C75E94">
            <w:pPr>
              <w:jc w:val="both"/>
              <w:rPr>
                <w:sz w:val="20"/>
                <w:szCs w:val="20"/>
                <w:lang w:val="fr-FR" w:eastAsia="en-US"/>
              </w:rPr>
            </w:pPr>
            <w:proofErr w:type="gramStart"/>
            <w:r w:rsidRPr="00147D4F">
              <w:rPr>
                <w:sz w:val="20"/>
                <w:szCs w:val="20"/>
                <w:lang w:val="fr-FR" w:eastAsia="en-US"/>
              </w:rPr>
              <w:t>Indicateur  2.2.1</w:t>
            </w:r>
            <w:proofErr w:type="gramEnd"/>
          </w:p>
          <w:p w14:paraId="4F212713" w14:textId="77777777" w:rsidR="00B804F2" w:rsidRPr="00147D4F" w:rsidRDefault="00B804F2" w:rsidP="00C75E94">
            <w:pPr>
              <w:jc w:val="both"/>
              <w:rPr>
                <w:sz w:val="20"/>
                <w:szCs w:val="20"/>
                <w:lang w:val="fr-FR" w:eastAsia="en-US"/>
              </w:rPr>
            </w:pPr>
            <w:r w:rsidRPr="00147D4F">
              <w:rPr>
                <w:sz w:val="20"/>
                <w:szCs w:val="20"/>
                <w:lang w:val="fr-FR" w:eastAsia="en-US"/>
              </w:rPr>
              <w:t>Nombre de victimes ayant reçu une assistance de protection V/T</w:t>
            </w:r>
          </w:p>
          <w:p w14:paraId="45E4D9C5" w14:textId="77777777" w:rsidR="00B804F2" w:rsidRPr="00147D4F" w:rsidRDefault="00B804F2" w:rsidP="00C75E94">
            <w:pPr>
              <w:jc w:val="both"/>
              <w:rPr>
                <w:sz w:val="20"/>
                <w:szCs w:val="20"/>
                <w:lang w:val="fr-FR" w:eastAsia="en-US"/>
              </w:rPr>
            </w:pPr>
          </w:p>
        </w:tc>
        <w:tc>
          <w:tcPr>
            <w:tcW w:w="1307" w:type="dxa"/>
            <w:shd w:val="clear" w:color="auto" w:fill="EEECE1"/>
          </w:tcPr>
          <w:p w14:paraId="77833A8C" w14:textId="77777777" w:rsidR="00B804F2" w:rsidRPr="00147D4F" w:rsidRDefault="00B804F2" w:rsidP="00C75E94">
            <w:pPr>
              <w:jc w:val="both"/>
              <w:rPr>
                <w:sz w:val="20"/>
                <w:szCs w:val="20"/>
                <w:lang w:val="fr-FR"/>
              </w:rPr>
            </w:pPr>
            <w:r w:rsidRPr="00147D4F">
              <w:rPr>
                <w:sz w:val="20"/>
                <w:szCs w:val="20"/>
              </w:rPr>
              <w:t>pas disponible</w:t>
            </w:r>
          </w:p>
        </w:tc>
        <w:tc>
          <w:tcPr>
            <w:tcW w:w="1620" w:type="dxa"/>
            <w:shd w:val="clear" w:color="auto" w:fill="EEECE1"/>
          </w:tcPr>
          <w:p w14:paraId="006A00DA" w14:textId="77777777" w:rsidR="00B804F2" w:rsidRPr="00147D4F" w:rsidRDefault="00B804F2" w:rsidP="00C75E94">
            <w:pPr>
              <w:jc w:val="both"/>
              <w:rPr>
                <w:sz w:val="20"/>
                <w:szCs w:val="20"/>
                <w:lang w:val="fr-FR"/>
              </w:rPr>
            </w:pPr>
            <w:r w:rsidRPr="00147D4F">
              <w:rPr>
                <w:sz w:val="20"/>
                <w:szCs w:val="20"/>
                <w:lang w:val="fr-FR" w:eastAsia="en-US"/>
              </w:rPr>
              <w:t>à confirmer durant phase 1 du projet</w:t>
            </w:r>
          </w:p>
        </w:tc>
        <w:tc>
          <w:tcPr>
            <w:tcW w:w="2070" w:type="dxa"/>
          </w:tcPr>
          <w:p w14:paraId="7DAF6590" w14:textId="197FBFB5" w:rsidR="00775F02" w:rsidRPr="00CF301B" w:rsidRDefault="00775F02" w:rsidP="00C75E94">
            <w:pPr>
              <w:jc w:val="both"/>
              <w:rPr>
                <w:sz w:val="20"/>
                <w:szCs w:val="20"/>
                <w:lang w:val="fr-FR"/>
              </w:rPr>
            </w:pPr>
          </w:p>
        </w:tc>
        <w:tc>
          <w:tcPr>
            <w:tcW w:w="2941" w:type="dxa"/>
          </w:tcPr>
          <w:p w14:paraId="4CD83242" w14:textId="2488B4BA" w:rsidR="00775F02" w:rsidRPr="00CF301B" w:rsidRDefault="00534A8D" w:rsidP="00C75E94">
            <w:pPr>
              <w:jc w:val="both"/>
              <w:rPr>
                <w:sz w:val="20"/>
                <w:szCs w:val="20"/>
                <w:lang w:val="fr-FR"/>
              </w:rPr>
            </w:pPr>
            <w:r w:rsidRPr="00CF301B">
              <w:rPr>
                <w:sz w:val="20"/>
                <w:szCs w:val="20"/>
                <w:lang w:val="fr-FR"/>
              </w:rPr>
              <w:t>Non Applicable</w:t>
            </w:r>
          </w:p>
        </w:tc>
        <w:tc>
          <w:tcPr>
            <w:tcW w:w="3269" w:type="dxa"/>
          </w:tcPr>
          <w:p w14:paraId="1D0CFA40" w14:textId="29E7394E" w:rsidR="00B804F2" w:rsidRPr="00CF301B" w:rsidRDefault="00534A8D" w:rsidP="00C75E94">
            <w:pPr>
              <w:jc w:val="both"/>
              <w:rPr>
                <w:sz w:val="20"/>
                <w:szCs w:val="20"/>
                <w:lang w:val="fr-FR"/>
              </w:rPr>
            </w:pPr>
            <w:r w:rsidRPr="00CF301B">
              <w:rPr>
                <w:sz w:val="20"/>
                <w:szCs w:val="20"/>
                <w:lang w:val="fr-FR"/>
              </w:rPr>
              <w:t xml:space="preserve">Aucune session criminelle organisée depuis Janvier 2020. Cependant, </w:t>
            </w:r>
            <w:r w:rsidR="00CF301B">
              <w:rPr>
                <w:sz w:val="20"/>
                <w:szCs w:val="20"/>
                <w:lang w:val="fr-FR"/>
              </w:rPr>
              <w:t xml:space="preserve">des réunions du Comité Préparatoire des assises ont </w:t>
            </w:r>
            <w:proofErr w:type="gramStart"/>
            <w:r w:rsidR="00CF301B">
              <w:rPr>
                <w:sz w:val="20"/>
                <w:szCs w:val="20"/>
                <w:lang w:val="fr-FR"/>
              </w:rPr>
              <w:t>étés</w:t>
            </w:r>
            <w:proofErr w:type="gramEnd"/>
            <w:r w:rsidR="00CF301B">
              <w:rPr>
                <w:sz w:val="20"/>
                <w:szCs w:val="20"/>
                <w:lang w:val="fr-FR"/>
              </w:rPr>
              <w:t xml:space="preserve"> tenues et le budget pour la session de la </w:t>
            </w:r>
            <w:r w:rsidR="00CF301B" w:rsidRPr="00CF301B">
              <w:rPr>
                <w:sz w:val="20"/>
                <w:szCs w:val="20"/>
                <w:lang w:val="fr-FR"/>
              </w:rPr>
              <w:t xml:space="preserve">Cour d’Appel de Bouar </w:t>
            </w:r>
            <w:r w:rsidR="00CF301B">
              <w:rPr>
                <w:sz w:val="20"/>
                <w:szCs w:val="20"/>
                <w:lang w:val="fr-FR"/>
              </w:rPr>
              <w:t>délocalisée à Berberati préparé (partage entre les NU et l’Etat). Le Ministre a émis un arrêté pour la session criminelle débutant le 15 octobre, et la</w:t>
            </w:r>
            <w:r w:rsidRPr="00CF301B">
              <w:rPr>
                <w:sz w:val="20"/>
                <w:szCs w:val="20"/>
                <w:lang w:val="fr-FR"/>
              </w:rPr>
              <w:t xml:space="preserve"> coordination organisée</w:t>
            </w:r>
            <w:r w:rsidR="00CF301B">
              <w:rPr>
                <w:sz w:val="20"/>
                <w:szCs w:val="20"/>
                <w:lang w:val="fr-FR"/>
              </w:rPr>
              <w:t xml:space="preserve"> par le projet</w:t>
            </w:r>
            <w:r w:rsidRPr="00CF301B">
              <w:rPr>
                <w:sz w:val="20"/>
                <w:szCs w:val="20"/>
                <w:lang w:val="fr-FR"/>
              </w:rPr>
              <w:t xml:space="preserve"> entre l’unité spéciale de protection de la CPS et les acteurs judiciaires en vue de la préparation de</w:t>
            </w:r>
            <w:r w:rsidR="00CF301B">
              <w:rPr>
                <w:sz w:val="20"/>
                <w:szCs w:val="20"/>
                <w:lang w:val="fr-FR"/>
              </w:rPr>
              <w:t xml:space="preserve">s </w:t>
            </w:r>
            <w:proofErr w:type="spellStart"/>
            <w:r w:rsidR="00CF301B">
              <w:rPr>
                <w:sz w:val="20"/>
                <w:szCs w:val="20"/>
                <w:lang w:val="fr-FR"/>
              </w:rPr>
              <w:t>assies</w:t>
            </w:r>
            <w:proofErr w:type="spellEnd"/>
            <w:r w:rsidR="00CF301B">
              <w:rPr>
                <w:sz w:val="20"/>
                <w:szCs w:val="20"/>
                <w:lang w:val="fr-FR"/>
              </w:rPr>
              <w:t xml:space="preserve"> et l’appui aux acteurs </w:t>
            </w:r>
            <w:proofErr w:type="spellStart"/>
            <w:r w:rsidR="00CF301B">
              <w:rPr>
                <w:sz w:val="20"/>
                <w:szCs w:val="20"/>
                <w:lang w:val="fr-FR"/>
              </w:rPr>
              <w:t>judiciares</w:t>
            </w:r>
            <w:proofErr w:type="spellEnd"/>
            <w:r w:rsidR="00CF301B">
              <w:rPr>
                <w:sz w:val="20"/>
                <w:szCs w:val="20"/>
                <w:lang w:val="fr-FR"/>
              </w:rPr>
              <w:t xml:space="preserve"> sur la protection, en collaboration avec les cliniques juridiques de Berberati, Nola et Carnot. Néanmoins, en absence du déblocage de fonds de l’Etat pour les assises, la session est</w:t>
            </w:r>
            <w:r w:rsidR="00C75E94" w:rsidRPr="00CF301B">
              <w:rPr>
                <w:sz w:val="20"/>
                <w:szCs w:val="20"/>
                <w:lang w:val="fr-FR"/>
              </w:rPr>
              <w:t xml:space="preserve"> reportée</w:t>
            </w:r>
            <w:r w:rsidR="00CF301B">
              <w:rPr>
                <w:sz w:val="20"/>
                <w:szCs w:val="20"/>
                <w:lang w:val="fr-FR"/>
              </w:rPr>
              <w:t>, avec les déclarations des autorités de la tenir avec la fin de l’année 2021</w:t>
            </w:r>
            <w:r w:rsidR="00C75E94" w:rsidRPr="00CF301B">
              <w:rPr>
                <w:sz w:val="20"/>
                <w:szCs w:val="20"/>
                <w:lang w:val="fr-FR"/>
              </w:rPr>
              <w:t xml:space="preserve">. </w:t>
            </w:r>
          </w:p>
        </w:tc>
      </w:tr>
      <w:tr w:rsidR="00B804F2" w:rsidRPr="00EE01B0" w14:paraId="40B59A46" w14:textId="77777777" w:rsidTr="00EE01B0">
        <w:trPr>
          <w:trHeight w:val="458"/>
        </w:trPr>
        <w:tc>
          <w:tcPr>
            <w:tcW w:w="1838" w:type="dxa"/>
            <w:vMerge/>
          </w:tcPr>
          <w:p w14:paraId="2DB49E13" w14:textId="77777777" w:rsidR="00B804F2" w:rsidRPr="00147D4F" w:rsidRDefault="00B804F2" w:rsidP="00C75E94">
            <w:pPr>
              <w:jc w:val="both"/>
              <w:rPr>
                <w:b/>
                <w:sz w:val="20"/>
                <w:szCs w:val="20"/>
                <w:lang w:val="fr-FR" w:eastAsia="en-US"/>
              </w:rPr>
            </w:pPr>
          </w:p>
        </w:tc>
        <w:tc>
          <w:tcPr>
            <w:tcW w:w="1985" w:type="dxa"/>
            <w:shd w:val="clear" w:color="auto" w:fill="EEECE1"/>
          </w:tcPr>
          <w:p w14:paraId="05211C91" w14:textId="77777777" w:rsidR="00B804F2" w:rsidRPr="00147D4F" w:rsidRDefault="00B804F2" w:rsidP="00C75E94">
            <w:pPr>
              <w:jc w:val="both"/>
              <w:rPr>
                <w:sz w:val="20"/>
                <w:szCs w:val="20"/>
                <w:lang w:val="fr-FR" w:eastAsia="en-US"/>
              </w:rPr>
            </w:pPr>
            <w:proofErr w:type="gramStart"/>
            <w:r w:rsidRPr="00147D4F">
              <w:rPr>
                <w:sz w:val="20"/>
                <w:szCs w:val="20"/>
                <w:lang w:val="fr-FR" w:eastAsia="en-US"/>
              </w:rPr>
              <w:t>Indicateur  2.2.2</w:t>
            </w:r>
            <w:proofErr w:type="gramEnd"/>
          </w:p>
          <w:p w14:paraId="62519C19" w14:textId="4ADE52AC" w:rsidR="00B804F2" w:rsidRPr="00147D4F" w:rsidRDefault="00B804F2" w:rsidP="00C75E94">
            <w:pPr>
              <w:jc w:val="both"/>
              <w:rPr>
                <w:sz w:val="20"/>
                <w:szCs w:val="20"/>
                <w:lang w:val="fr-FR" w:eastAsia="en-US"/>
              </w:rPr>
            </w:pPr>
            <w:r w:rsidRPr="00147D4F">
              <w:rPr>
                <w:sz w:val="20"/>
                <w:szCs w:val="20"/>
                <w:lang w:val="fr-FR" w:eastAsia="en-US"/>
              </w:rPr>
              <w:lastRenderedPageBreak/>
              <w:t xml:space="preserve">Existence de mécanismes de protection des victimes et témoins promouvant la coordination entre l’expertise dans la CPS et l’appui des organisations de la </w:t>
            </w:r>
            <w:r w:rsidR="00D735FE" w:rsidRPr="00147D4F">
              <w:rPr>
                <w:sz w:val="20"/>
                <w:szCs w:val="20"/>
                <w:lang w:val="fr-FR" w:eastAsia="en-US"/>
              </w:rPr>
              <w:t>Société Civile</w:t>
            </w:r>
          </w:p>
        </w:tc>
        <w:tc>
          <w:tcPr>
            <w:tcW w:w="1307" w:type="dxa"/>
            <w:shd w:val="clear" w:color="auto" w:fill="EEECE1"/>
          </w:tcPr>
          <w:p w14:paraId="6FDE587A" w14:textId="77777777" w:rsidR="00B804F2" w:rsidRPr="00147D4F" w:rsidRDefault="00B804F2" w:rsidP="00C75E94">
            <w:pPr>
              <w:jc w:val="both"/>
              <w:rPr>
                <w:sz w:val="20"/>
                <w:szCs w:val="20"/>
                <w:lang w:val="fr-FR"/>
              </w:rPr>
            </w:pPr>
            <w:r w:rsidRPr="00147D4F">
              <w:rPr>
                <w:b/>
                <w:sz w:val="20"/>
                <w:szCs w:val="20"/>
                <w:lang w:val="fr-FR" w:eastAsia="en-US"/>
              </w:rPr>
              <w:lastRenderedPageBreak/>
              <w:t>0</w:t>
            </w:r>
          </w:p>
        </w:tc>
        <w:tc>
          <w:tcPr>
            <w:tcW w:w="1620" w:type="dxa"/>
            <w:shd w:val="clear" w:color="auto" w:fill="EEECE1"/>
          </w:tcPr>
          <w:p w14:paraId="3FF521A7" w14:textId="77777777" w:rsidR="00B804F2" w:rsidRPr="00147D4F" w:rsidRDefault="00B804F2" w:rsidP="00C75E94">
            <w:pPr>
              <w:jc w:val="both"/>
              <w:rPr>
                <w:sz w:val="20"/>
                <w:szCs w:val="20"/>
                <w:lang w:val="fr-FR"/>
              </w:rPr>
            </w:pPr>
            <w:r w:rsidRPr="00147D4F">
              <w:rPr>
                <w:b/>
                <w:sz w:val="20"/>
                <w:szCs w:val="20"/>
                <w:lang w:val="fr-FR" w:eastAsia="en-US"/>
              </w:rPr>
              <w:t>1</w:t>
            </w:r>
          </w:p>
        </w:tc>
        <w:tc>
          <w:tcPr>
            <w:tcW w:w="2070" w:type="dxa"/>
          </w:tcPr>
          <w:p w14:paraId="3A18DBB6" w14:textId="2734DC10" w:rsidR="00B804F2" w:rsidRPr="0059647E" w:rsidRDefault="00FA547E" w:rsidP="00C75E94">
            <w:pPr>
              <w:jc w:val="both"/>
              <w:rPr>
                <w:sz w:val="20"/>
                <w:szCs w:val="20"/>
                <w:lang w:val="fr-FR"/>
              </w:rPr>
            </w:pPr>
            <w:r>
              <w:rPr>
                <w:b/>
                <w:sz w:val="20"/>
                <w:szCs w:val="20"/>
                <w:lang w:val="fr-FR" w:eastAsia="en-US"/>
              </w:rPr>
              <w:t>0</w:t>
            </w:r>
          </w:p>
        </w:tc>
        <w:tc>
          <w:tcPr>
            <w:tcW w:w="2941" w:type="dxa"/>
          </w:tcPr>
          <w:p w14:paraId="66B19900" w14:textId="38825674" w:rsidR="00B804F2" w:rsidRPr="0059647E" w:rsidRDefault="00FA547E" w:rsidP="00C75E94">
            <w:pPr>
              <w:jc w:val="both"/>
              <w:rPr>
                <w:bCs/>
                <w:sz w:val="20"/>
                <w:szCs w:val="20"/>
                <w:lang w:val="fr-FR"/>
              </w:rPr>
            </w:pPr>
            <w:r>
              <w:rPr>
                <w:bCs/>
                <w:sz w:val="20"/>
                <w:szCs w:val="20"/>
                <w:lang w:val="fr-FR" w:eastAsia="en-US"/>
              </w:rPr>
              <w:t>0</w:t>
            </w:r>
          </w:p>
        </w:tc>
        <w:tc>
          <w:tcPr>
            <w:tcW w:w="3269" w:type="dxa"/>
          </w:tcPr>
          <w:p w14:paraId="7585D973" w14:textId="77777777" w:rsidR="00703037" w:rsidRPr="0059647E" w:rsidRDefault="00F06F78" w:rsidP="00E25725">
            <w:pPr>
              <w:spacing w:line="276" w:lineRule="auto"/>
              <w:jc w:val="both"/>
              <w:rPr>
                <w:sz w:val="20"/>
                <w:szCs w:val="20"/>
                <w:lang w:val="fr-FR" w:eastAsia="en-US"/>
              </w:rPr>
            </w:pPr>
            <w:r w:rsidRPr="0059647E">
              <w:rPr>
                <w:sz w:val="20"/>
                <w:szCs w:val="20"/>
                <w:lang w:val="fr-FR" w:eastAsia="en-US"/>
              </w:rPr>
              <w:t>Sera établi durant le 2</w:t>
            </w:r>
            <w:r w:rsidRPr="0059647E">
              <w:rPr>
                <w:sz w:val="20"/>
                <w:szCs w:val="20"/>
                <w:vertAlign w:val="superscript"/>
                <w:lang w:val="fr-FR" w:eastAsia="en-US"/>
              </w:rPr>
              <w:t>ème</w:t>
            </w:r>
            <w:r w:rsidRPr="0059647E">
              <w:rPr>
                <w:sz w:val="20"/>
                <w:szCs w:val="20"/>
                <w:lang w:val="fr-FR" w:eastAsia="en-US"/>
              </w:rPr>
              <w:t xml:space="preserve"> semestre 2021, avec un focus plus fort sur la </w:t>
            </w:r>
            <w:r w:rsidRPr="0059647E">
              <w:rPr>
                <w:sz w:val="20"/>
                <w:szCs w:val="20"/>
                <w:lang w:val="fr-FR" w:eastAsia="en-US"/>
              </w:rPr>
              <w:lastRenderedPageBreak/>
              <w:t>mise en œuvre de la stratégie nationale des victimes et témoins, dans le cadre des GT3 (demande de justice) et GT4 (chaîne pénale) de la politique sectorielle de la justice</w:t>
            </w:r>
            <w:r w:rsidR="00E25725" w:rsidRPr="0059647E">
              <w:rPr>
                <w:sz w:val="20"/>
                <w:szCs w:val="20"/>
                <w:lang w:val="fr-FR" w:eastAsia="en-US"/>
              </w:rPr>
              <w:t>.</w:t>
            </w:r>
          </w:p>
          <w:p w14:paraId="6CFD8461" w14:textId="77777777" w:rsidR="00703037" w:rsidRPr="0059647E" w:rsidRDefault="00703037" w:rsidP="00E25725">
            <w:pPr>
              <w:spacing w:line="276" w:lineRule="auto"/>
              <w:jc w:val="both"/>
              <w:rPr>
                <w:sz w:val="20"/>
                <w:szCs w:val="20"/>
                <w:lang w:val="fr-FR" w:eastAsia="en-US"/>
              </w:rPr>
            </w:pPr>
          </w:p>
          <w:p w14:paraId="46478491" w14:textId="54CC6649" w:rsidR="00B804F2" w:rsidRPr="0059647E" w:rsidRDefault="00E25725" w:rsidP="00E25725">
            <w:pPr>
              <w:spacing w:line="276" w:lineRule="auto"/>
              <w:jc w:val="both"/>
              <w:rPr>
                <w:bCs/>
                <w:color w:val="002060"/>
                <w:lang w:val="fr-FR"/>
              </w:rPr>
            </w:pPr>
            <w:r w:rsidRPr="0059647E">
              <w:rPr>
                <w:sz w:val="20"/>
                <w:szCs w:val="20"/>
                <w:lang w:val="fr-FR" w:eastAsia="en-US"/>
              </w:rPr>
              <w:t>Il est prévu un atelier de renforcement des capacités des acteurs sur les mesures de protection ainsi que la diffusion de la stratégie de protection des victimes et des témoins collaborant avec les juridictions ordinaires, la CPS et la CVJRR</w:t>
            </w:r>
            <w:r w:rsidR="00703037" w:rsidRPr="0059647E">
              <w:rPr>
                <w:sz w:val="20"/>
                <w:szCs w:val="20"/>
                <w:lang w:val="fr-FR" w:eastAsia="en-US"/>
              </w:rPr>
              <w:t>.</w:t>
            </w:r>
          </w:p>
        </w:tc>
      </w:tr>
      <w:tr w:rsidR="00B804F2" w:rsidRPr="0012006C" w14:paraId="7738A29E" w14:textId="77777777" w:rsidTr="00EE01B0">
        <w:trPr>
          <w:trHeight w:val="458"/>
        </w:trPr>
        <w:tc>
          <w:tcPr>
            <w:tcW w:w="1838" w:type="dxa"/>
            <w:vMerge w:val="restart"/>
          </w:tcPr>
          <w:p w14:paraId="11EC42FA" w14:textId="77777777" w:rsidR="00B804F2" w:rsidRPr="00147D4F" w:rsidRDefault="00B804F2" w:rsidP="00703037">
            <w:pPr>
              <w:jc w:val="both"/>
              <w:rPr>
                <w:b/>
                <w:sz w:val="20"/>
                <w:szCs w:val="20"/>
                <w:lang w:val="fr-FR" w:eastAsia="en-US"/>
              </w:rPr>
            </w:pPr>
            <w:r w:rsidRPr="00147D4F">
              <w:rPr>
                <w:b/>
                <w:sz w:val="20"/>
                <w:szCs w:val="20"/>
                <w:lang w:val="fr-FR" w:eastAsia="en-US"/>
              </w:rPr>
              <w:lastRenderedPageBreak/>
              <w:t>Résultat 3</w:t>
            </w:r>
          </w:p>
          <w:p w14:paraId="2FD2389A" w14:textId="4E167F27" w:rsidR="00B804F2" w:rsidRPr="00147D4F" w:rsidRDefault="00B804F2" w:rsidP="00703037">
            <w:pPr>
              <w:jc w:val="both"/>
              <w:rPr>
                <w:b/>
                <w:sz w:val="20"/>
                <w:szCs w:val="20"/>
                <w:lang w:val="fr-FR" w:eastAsia="en-US"/>
              </w:rPr>
            </w:pPr>
            <w:r w:rsidRPr="00147D4F">
              <w:rPr>
                <w:sz w:val="20"/>
                <w:szCs w:val="20"/>
                <w:lang w:val="fr-FR" w:eastAsia="en-US"/>
              </w:rPr>
              <w:t xml:space="preserve">Le travail de gestion de la mémoire et de recherche de la vérité est engagé par un appui technique et opérationnel à la Commission Vérité, Justice, Réparation et Réconciliation CVJRR) et aux organisations de la </w:t>
            </w:r>
            <w:r w:rsidR="00D735FE" w:rsidRPr="00147D4F">
              <w:rPr>
                <w:sz w:val="20"/>
                <w:szCs w:val="20"/>
                <w:lang w:val="fr-FR" w:eastAsia="en-US"/>
              </w:rPr>
              <w:t>Société Civile</w:t>
            </w:r>
            <w:r w:rsidRPr="00147D4F">
              <w:rPr>
                <w:sz w:val="20"/>
                <w:szCs w:val="20"/>
                <w:lang w:val="fr-FR" w:eastAsia="en-US"/>
              </w:rPr>
              <w:t>, y compris les associations de victimes</w:t>
            </w:r>
          </w:p>
        </w:tc>
        <w:tc>
          <w:tcPr>
            <w:tcW w:w="1985" w:type="dxa"/>
            <w:shd w:val="clear" w:color="auto" w:fill="EEECE1"/>
          </w:tcPr>
          <w:p w14:paraId="2ED2463C" w14:textId="77777777" w:rsidR="00B804F2" w:rsidRPr="00147D4F" w:rsidRDefault="00B804F2" w:rsidP="00703037">
            <w:pPr>
              <w:jc w:val="both"/>
              <w:rPr>
                <w:sz w:val="20"/>
                <w:szCs w:val="20"/>
                <w:lang w:val="fr-FR" w:eastAsia="en-US"/>
              </w:rPr>
            </w:pPr>
            <w:r w:rsidRPr="00147D4F">
              <w:rPr>
                <w:sz w:val="20"/>
                <w:szCs w:val="20"/>
                <w:lang w:val="fr-FR" w:eastAsia="en-US"/>
              </w:rPr>
              <w:t>Indicateur 3.1</w:t>
            </w:r>
          </w:p>
          <w:p w14:paraId="53DD40EA" w14:textId="77777777" w:rsidR="00B804F2" w:rsidRPr="00147D4F" w:rsidRDefault="00B804F2" w:rsidP="00703037">
            <w:pPr>
              <w:jc w:val="both"/>
              <w:rPr>
                <w:sz w:val="20"/>
                <w:szCs w:val="20"/>
                <w:lang w:val="fr-FR" w:eastAsia="en-US"/>
              </w:rPr>
            </w:pPr>
            <w:r w:rsidRPr="00147D4F">
              <w:rPr>
                <w:sz w:val="20"/>
                <w:szCs w:val="20"/>
                <w:lang w:val="fr-FR" w:eastAsia="en-US"/>
              </w:rPr>
              <w:t xml:space="preserve">La Commission vérité, justice, réparation et réconciliation est créée et opérationnelle </w:t>
            </w:r>
          </w:p>
          <w:p w14:paraId="6A103808" w14:textId="77777777" w:rsidR="00B804F2" w:rsidRPr="00147D4F" w:rsidRDefault="00B804F2" w:rsidP="00703037">
            <w:pPr>
              <w:jc w:val="both"/>
              <w:rPr>
                <w:sz w:val="20"/>
                <w:szCs w:val="20"/>
                <w:lang w:val="fr-FR" w:eastAsia="en-US"/>
              </w:rPr>
            </w:pPr>
          </w:p>
        </w:tc>
        <w:tc>
          <w:tcPr>
            <w:tcW w:w="1307" w:type="dxa"/>
            <w:shd w:val="clear" w:color="auto" w:fill="EEECE1"/>
          </w:tcPr>
          <w:p w14:paraId="0B4281BF" w14:textId="77777777" w:rsidR="00B804F2" w:rsidRPr="00147D4F" w:rsidRDefault="00B804F2" w:rsidP="00703037">
            <w:pPr>
              <w:jc w:val="both"/>
              <w:rPr>
                <w:sz w:val="20"/>
                <w:szCs w:val="20"/>
                <w:lang w:val="fr-FR"/>
              </w:rPr>
            </w:pPr>
            <w:r w:rsidRPr="00147D4F">
              <w:rPr>
                <w:b/>
                <w:sz w:val="20"/>
                <w:szCs w:val="20"/>
                <w:lang w:val="fr-FR" w:eastAsia="en-US"/>
              </w:rPr>
              <w:t>0</w:t>
            </w:r>
          </w:p>
        </w:tc>
        <w:tc>
          <w:tcPr>
            <w:tcW w:w="1620" w:type="dxa"/>
            <w:shd w:val="clear" w:color="auto" w:fill="EEECE1"/>
          </w:tcPr>
          <w:p w14:paraId="11783303" w14:textId="77777777" w:rsidR="00B804F2" w:rsidRPr="00147D4F" w:rsidRDefault="00B804F2" w:rsidP="00703037">
            <w:pPr>
              <w:jc w:val="both"/>
              <w:rPr>
                <w:sz w:val="20"/>
                <w:szCs w:val="20"/>
                <w:lang w:val="fr-FR"/>
              </w:rPr>
            </w:pPr>
            <w:r w:rsidRPr="00147D4F">
              <w:rPr>
                <w:b/>
                <w:sz w:val="20"/>
                <w:szCs w:val="20"/>
                <w:lang w:val="fr-FR" w:eastAsia="en-US"/>
              </w:rPr>
              <w:t>1</w:t>
            </w:r>
          </w:p>
        </w:tc>
        <w:tc>
          <w:tcPr>
            <w:tcW w:w="2070" w:type="dxa"/>
          </w:tcPr>
          <w:p w14:paraId="4B49BD86" w14:textId="7B3B7452" w:rsidR="00B804F2" w:rsidRPr="00147D4F" w:rsidRDefault="00B804F2" w:rsidP="00703037">
            <w:pPr>
              <w:jc w:val="both"/>
              <w:rPr>
                <w:sz w:val="20"/>
                <w:szCs w:val="20"/>
                <w:lang w:val="fr-FR"/>
              </w:rPr>
            </w:pPr>
            <w:r w:rsidRPr="00147D4F">
              <w:rPr>
                <w:sz w:val="20"/>
                <w:szCs w:val="20"/>
                <w:lang w:val="fr-FR" w:eastAsia="en-US"/>
              </w:rPr>
              <w:t>1</w:t>
            </w:r>
            <w:r w:rsidR="00181656" w:rsidRPr="00147D4F">
              <w:rPr>
                <w:sz w:val="20"/>
                <w:szCs w:val="20"/>
                <w:lang w:val="fr-FR" w:eastAsia="en-US"/>
              </w:rPr>
              <w:t xml:space="preserve"> </w:t>
            </w:r>
          </w:p>
        </w:tc>
        <w:tc>
          <w:tcPr>
            <w:tcW w:w="2941" w:type="dxa"/>
          </w:tcPr>
          <w:p w14:paraId="57D76D83" w14:textId="77777777" w:rsidR="00C72024" w:rsidRDefault="00703037" w:rsidP="00703037">
            <w:pPr>
              <w:jc w:val="both"/>
              <w:rPr>
                <w:b/>
                <w:sz w:val="20"/>
                <w:szCs w:val="20"/>
                <w:lang w:val="fr-FR" w:eastAsia="en-US"/>
              </w:rPr>
            </w:pPr>
            <w:r>
              <w:rPr>
                <w:b/>
                <w:sz w:val="20"/>
                <w:szCs w:val="20"/>
                <w:lang w:val="fr-FR" w:eastAsia="en-US"/>
              </w:rPr>
              <w:t>1</w:t>
            </w:r>
          </w:p>
          <w:p w14:paraId="66F8A9CD" w14:textId="6414F744" w:rsidR="00B804F2" w:rsidRPr="00147D4F" w:rsidRDefault="00B804F2" w:rsidP="00703037">
            <w:pPr>
              <w:jc w:val="both"/>
              <w:rPr>
                <w:sz w:val="20"/>
                <w:szCs w:val="20"/>
                <w:lang w:val="fr-FR"/>
              </w:rPr>
            </w:pPr>
          </w:p>
        </w:tc>
        <w:tc>
          <w:tcPr>
            <w:tcW w:w="3269" w:type="dxa"/>
          </w:tcPr>
          <w:p w14:paraId="6C96FB6E" w14:textId="68236B2E" w:rsidR="00A940C7" w:rsidRPr="00147D4F" w:rsidRDefault="00A940C7" w:rsidP="00703037">
            <w:pPr>
              <w:jc w:val="both"/>
              <w:rPr>
                <w:sz w:val="20"/>
                <w:szCs w:val="20"/>
                <w:lang w:val="fr-FR"/>
              </w:rPr>
            </w:pPr>
            <w:r>
              <w:rPr>
                <w:sz w:val="20"/>
                <w:szCs w:val="20"/>
                <w:lang w:val="fr-FR"/>
              </w:rPr>
              <w:t xml:space="preserve"> </w:t>
            </w:r>
          </w:p>
        </w:tc>
      </w:tr>
      <w:tr w:rsidR="00B804F2" w:rsidRPr="00EE01B0" w14:paraId="440BAF8B" w14:textId="77777777" w:rsidTr="00EE01B0">
        <w:trPr>
          <w:trHeight w:val="458"/>
        </w:trPr>
        <w:tc>
          <w:tcPr>
            <w:tcW w:w="1838" w:type="dxa"/>
            <w:vMerge/>
          </w:tcPr>
          <w:p w14:paraId="52C38ABF" w14:textId="77777777" w:rsidR="00B804F2" w:rsidRPr="00147D4F" w:rsidRDefault="00B804F2" w:rsidP="00B804F2">
            <w:pPr>
              <w:rPr>
                <w:sz w:val="20"/>
                <w:szCs w:val="20"/>
                <w:lang w:val="fr-FR" w:eastAsia="en-US"/>
              </w:rPr>
            </w:pPr>
          </w:p>
        </w:tc>
        <w:tc>
          <w:tcPr>
            <w:tcW w:w="1985" w:type="dxa"/>
            <w:shd w:val="clear" w:color="auto" w:fill="EEECE1"/>
          </w:tcPr>
          <w:p w14:paraId="32AEAB43" w14:textId="77777777" w:rsidR="00B804F2" w:rsidRPr="00147D4F" w:rsidRDefault="00B804F2" w:rsidP="00B804F2">
            <w:pPr>
              <w:jc w:val="both"/>
              <w:rPr>
                <w:sz w:val="20"/>
                <w:szCs w:val="20"/>
                <w:lang w:val="fr-FR" w:eastAsia="en-US"/>
              </w:rPr>
            </w:pPr>
            <w:r w:rsidRPr="00147D4F">
              <w:rPr>
                <w:sz w:val="20"/>
                <w:szCs w:val="20"/>
                <w:lang w:val="fr-FR" w:eastAsia="en-US"/>
              </w:rPr>
              <w:t>Indicateur 3.2</w:t>
            </w:r>
          </w:p>
          <w:p w14:paraId="71ECF610" w14:textId="77777777" w:rsidR="00B804F2" w:rsidRPr="00147D4F" w:rsidRDefault="00B804F2" w:rsidP="00B804F2">
            <w:pPr>
              <w:jc w:val="both"/>
              <w:rPr>
                <w:sz w:val="20"/>
                <w:szCs w:val="20"/>
                <w:lang w:val="fr-FR" w:eastAsia="en-US"/>
              </w:rPr>
            </w:pPr>
            <w:r w:rsidRPr="00147D4F">
              <w:rPr>
                <w:sz w:val="20"/>
                <w:szCs w:val="20"/>
                <w:lang w:val="fr-FR" w:eastAsia="en-US"/>
              </w:rPr>
              <w:t>Taux de la population étant informée de l’existence et des missions de la CVJRR (désagrégé par sexe)</w:t>
            </w:r>
          </w:p>
        </w:tc>
        <w:tc>
          <w:tcPr>
            <w:tcW w:w="1307" w:type="dxa"/>
            <w:shd w:val="clear" w:color="auto" w:fill="EEECE1"/>
          </w:tcPr>
          <w:p w14:paraId="2AA8C404" w14:textId="77777777" w:rsidR="00B804F2" w:rsidRPr="00147D4F" w:rsidRDefault="00B804F2" w:rsidP="00B804F2">
            <w:pPr>
              <w:rPr>
                <w:sz w:val="20"/>
                <w:szCs w:val="20"/>
                <w:lang w:val="fr-FR"/>
              </w:rPr>
            </w:pPr>
            <w:r w:rsidRPr="00147D4F">
              <w:rPr>
                <w:b/>
                <w:sz w:val="20"/>
                <w:szCs w:val="20"/>
                <w:lang w:val="fr-FR" w:eastAsia="en-US"/>
              </w:rPr>
              <w:t>0</w:t>
            </w:r>
          </w:p>
        </w:tc>
        <w:tc>
          <w:tcPr>
            <w:tcW w:w="1620" w:type="dxa"/>
            <w:shd w:val="clear" w:color="auto" w:fill="EEECE1"/>
          </w:tcPr>
          <w:p w14:paraId="27749F34" w14:textId="77777777" w:rsidR="00B804F2" w:rsidRPr="00147D4F" w:rsidRDefault="00B804F2" w:rsidP="00B804F2">
            <w:pPr>
              <w:rPr>
                <w:sz w:val="20"/>
                <w:szCs w:val="20"/>
                <w:lang w:val="fr-FR"/>
              </w:rPr>
            </w:pPr>
            <w:r w:rsidRPr="00147D4F">
              <w:rPr>
                <w:sz w:val="20"/>
                <w:szCs w:val="20"/>
              </w:rPr>
              <w:t>50% H/F</w:t>
            </w:r>
          </w:p>
        </w:tc>
        <w:tc>
          <w:tcPr>
            <w:tcW w:w="2070" w:type="dxa"/>
          </w:tcPr>
          <w:p w14:paraId="51D6BEF5" w14:textId="4EA7E785" w:rsidR="00A95573" w:rsidRPr="00147D4F" w:rsidRDefault="00240041" w:rsidP="00240041">
            <w:pPr>
              <w:pStyle w:val="ListParagraph"/>
              <w:numPr>
                <w:ilvl w:val="0"/>
                <w:numId w:val="44"/>
              </w:numPr>
              <w:rPr>
                <w:bCs/>
                <w:sz w:val="20"/>
                <w:szCs w:val="20"/>
                <w:lang w:val="fr-FR"/>
              </w:rPr>
            </w:pPr>
            <w:r w:rsidRPr="00147D4F">
              <w:rPr>
                <w:bCs/>
                <w:sz w:val="20"/>
                <w:szCs w:val="20"/>
                <w:lang w:val="fr-FR"/>
              </w:rPr>
              <w:t xml:space="preserve">- </w:t>
            </w:r>
            <w:r w:rsidR="00A95573" w:rsidRPr="00147D4F">
              <w:rPr>
                <w:bCs/>
                <w:sz w:val="20"/>
                <w:szCs w:val="20"/>
                <w:lang w:val="fr-FR"/>
              </w:rPr>
              <w:t xml:space="preserve">Entendu parler de la CVJRR – 59% ; </w:t>
            </w:r>
          </w:p>
          <w:p w14:paraId="3668A6F4" w14:textId="6472528C" w:rsidR="00A95573" w:rsidRPr="00147D4F" w:rsidRDefault="00240041" w:rsidP="00240041">
            <w:pPr>
              <w:pStyle w:val="ListParagraph"/>
              <w:numPr>
                <w:ilvl w:val="0"/>
                <w:numId w:val="44"/>
              </w:numPr>
              <w:rPr>
                <w:bCs/>
                <w:sz w:val="20"/>
                <w:szCs w:val="20"/>
                <w:lang w:val="fr-FR"/>
              </w:rPr>
            </w:pPr>
            <w:r w:rsidRPr="00147D4F">
              <w:rPr>
                <w:bCs/>
                <w:sz w:val="20"/>
                <w:szCs w:val="20"/>
                <w:lang w:val="fr-FR"/>
              </w:rPr>
              <w:t xml:space="preserve">- </w:t>
            </w:r>
            <w:r w:rsidR="00A95573" w:rsidRPr="00147D4F">
              <w:rPr>
                <w:bCs/>
                <w:sz w:val="20"/>
                <w:szCs w:val="20"/>
                <w:lang w:val="fr-FR"/>
              </w:rPr>
              <w:t>Bonne connaissance de la CVJRR - 43% ;</w:t>
            </w:r>
          </w:p>
          <w:p w14:paraId="400C47E3" w14:textId="6EE842AE" w:rsidR="00B804F2" w:rsidRPr="00147D4F" w:rsidRDefault="00240041" w:rsidP="00240041">
            <w:pPr>
              <w:pStyle w:val="ListParagraph"/>
              <w:numPr>
                <w:ilvl w:val="0"/>
                <w:numId w:val="44"/>
              </w:numPr>
              <w:rPr>
                <w:bCs/>
                <w:sz w:val="20"/>
                <w:szCs w:val="20"/>
                <w:lang w:val="fr-FR"/>
              </w:rPr>
            </w:pPr>
            <w:r w:rsidRPr="00147D4F">
              <w:rPr>
                <w:bCs/>
                <w:sz w:val="20"/>
                <w:szCs w:val="20"/>
                <w:lang w:val="fr-FR"/>
              </w:rPr>
              <w:t xml:space="preserve">- </w:t>
            </w:r>
            <w:r w:rsidR="00A95573" w:rsidRPr="00147D4F">
              <w:rPr>
                <w:bCs/>
                <w:sz w:val="20"/>
                <w:szCs w:val="20"/>
                <w:lang w:val="fr-FR"/>
              </w:rPr>
              <w:t>Confiance dans la CVJRR – 40%</w:t>
            </w:r>
          </w:p>
        </w:tc>
        <w:tc>
          <w:tcPr>
            <w:tcW w:w="2941" w:type="dxa"/>
          </w:tcPr>
          <w:p w14:paraId="40C6422B" w14:textId="421A3847" w:rsidR="003B47EA" w:rsidRPr="00147D4F" w:rsidRDefault="00CD3B0F">
            <w:pPr>
              <w:jc w:val="both"/>
              <w:rPr>
                <w:bCs/>
                <w:sz w:val="20"/>
                <w:szCs w:val="20"/>
                <w:lang w:val="fr-FR"/>
              </w:rPr>
            </w:pPr>
            <w:r>
              <w:rPr>
                <w:bCs/>
                <w:sz w:val="20"/>
                <w:szCs w:val="20"/>
                <w:lang w:val="fr-FR"/>
              </w:rPr>
              <w:t xml:space="preserve">59% </w:t>
            </w:r>
            <w:r w:rsidR="00B51432">
              <w:rPr>
                <w:bCs/>
                <w:sz w:val="20"/>
                <w:szCs w:val="20"/>
                <w:lang w:val="fr-FR"/>
              </w:rPr>
              <w:t>déclarent avoir entendu parler de la CVJRR</w:t>
            </w:r>
            <w:r w:rsidR="00C72024">
              <w:rPr>
                <w:bCs/>
                <w:sz w:val="20"/>
                <w:szCs w:val="20"/>
                <w:lang w:val="fr-FR"/>
              </w:rPr>
              <w:t xml:space="preserve"> ; </w:t>
            </w:r>
            <w:r w:rsidR="00B51432">
              <w:rPr>
                <w:bCs/>
                <w:sz w:val="20"/>
                <w:szCs w:val="20"/>
                <w:lang w:val="fr-FR"/>
              </w:rPr>
              <w:t>43% affirment avoir une bonne connaissance de la CVJRR</w:t>
            </w:r>
            <w:r w:rsidR="00C72024">
              <w:rPr>
                <w:bCs/>
                <w:sz w:val="20"/>
                <w:szCs w:val="20"/>
                <w:lang w:val="fr-FR"/>
              </w:rPr>
              <w:t xml:space="preserve"> ; </w:t>
            </w:r>
            <w:r w:rsidR="003B47EA">
              <w:rPr>
                <w:bCs/>
                <w:sz w:val="20"/>
                <w:szCs w:val="20"/>
                <w:lang w:val="fr-FR"/>
              </w:rPr>
              <w:t xml:space="preserve">40% déclarent avoir confiance dans la CVJRR ; </w:t>
            </w:r>
          </w:p>
        </w:tc>
        <w:tc>
          <w:tcPr>
            <w:tcW w:w="3269" w:type="dxa"/>
          </w:tcPr>
          <w:p w14:paraId="10E53414" w14:textId="45C90C2A" w:rsidR="00652E73" w:rsidRPr="00147D4F" w:rsidRDefault="00652E73" w:rsidP="00B804F2">
            <w:pPr>
              <w:rPr>
                <w:bCs/>
                <w:sz w:val="20"/>
                <w:szCs w:val="20"/>
                <w:lang w:val="fr-FR"/>
              </w:rPr>
            </w:pPr>
          </w:p>
        </w:tc>
      </w:tr>
      <w:tr w:rsidR="00B804F2" w:rsidRPr="00EE01B0" w14:paraId="006F7104" w14:textId="77777777" w:rsidTr="00EE01B0">
        <w:trPr>
          <w:trHeight w:val="458"/>
        </w:trPr>
        <w:tc>
          <w:tcPr>
            <w:tcW w:w="1838" w:type="dxa"/>
            <w:vMerge/>
          </w:tcPr>
          <w:p w14:paraId="0F5A3DE4" w14:textId="77777777" w:rsidR="00B804F2" w:rsidRPr="00147D4F" w:rsidRDefault="00B804F2" w:rsidP="00B804F2">
            <w:pPr>
              <w:rPr>
                <w:sz w:val="20"/>
                <w:szCs w:val="20"/>
                <w:lang w:val="fr-FR" w:eastAsia="en-US"/>
              </w:rPr>
            </w:pPr>
          </w:p>
        </w:tc>
        <w:tc>
          <w:tcPr>
            <w:tcW w:w="1985" w:type="dxa"/>
            <w:shd w:val="clear" w:color="auto" w:fill="EEECE1"/>
          </w:tcPr>
          <w:p w14:paraId="140517DE" w14:textId="77777777" w:rsidR="00B804F2" w:rsidRPr="00147D4F" w:rsidRDefault="00B804F2" w:rsidP="00B804F2">
            <w:pPr>
              <w:jc w:val="both"/>
              <w:rPr>
                <w:sz w:val="20"/>
                <w:szCs w:val="20"/>
                <w:lang w:val="fr-FR" w:eastAsia="en-US"/>
              </w:rPr>
            </w:pPr>
            <w:r w:rsidRPr="00147D4F">
              <w:rPr>
                <w:sz w:val="20"/>
                <w:szCs w:val="20"/>
                <w:lang w:val="fr-FR" w:eastAsia="en-US"/>
              </w:rPr>
              <w:t>Indicateur 3.3</w:t>
            </w:r>
          </w:p>
          <w:p w14:paraId="2271506E" w14:textId="77777777" w:rsidR="00B804F2" w:rsidRPr="00147D4F" w:rsidRDefault="00B804F2" w:rsidP="00B804F2">
            <w:pPr>
              <w:jc w:val="both"/>
              <w:rPr>
                <w:sz w:val="20"/>
                <w:szCs w:val="20"/>
                <w:lang w:val="fr-FR" w:eastAsia="en-US"/>
              </w:rPr>
            </w:pPr>
            <w:r w:rsidRPr="00147D4F">
              <w:rPr>
                <w:sz w:val="20"/>
                <w:szCs w:val="20"/>
                <w:lang w:val="fr-FR" w:eastAsia="en-US"/>
              </w:rPr>
              <w:t xml:space="preserve">Nombre de recommandations émanant du CVJRR </w:t>
            </w:r>
            <w:r w:rsidRPr="00147D4F">
              <w:rPr>
                <w:sz w:val="20"/>
                <w:szCs w:val="20"/>
                <w:lang w:val="fr-FR" w:eastAsia="en-US"/>
              </w:rPr>
              <w:lastRenderedPageBreak/>
              <w:t>sur l’administration de la justice et la réduction de l’impunité</w:t>
            </w:r>
          </w:p>
        </w:tc>
        <w:tc>
          <w:tcPr>
            <w:tcW w:w="1307" w:type="dxa"/>
            <w:shd w:val="clear" w:color="auto" w:fill="EEECE1"/>
          </w:tcPr>
          <w:p w14:paraId="702748F3" w14:textId="77777777" w:rsidR="00B804F2" w:rsidRPr="00147D4F" w:rsidRDefault="00B804F2" w:rsidP="00B804F2">
            <w:pPr>
              <w:rPr>
                <w:sz w:val="20"/>
                <w:szCs w:val="20"/>
                <w:lang w:val="fr-FR"/>
              </w:rPr>
            </w:pPr>
            <w:r w:rsidRPr="00147D4F">
              <w:rPr>
                <w:b/>
                <w:sz w:val="20"/>
                <w:szCs w:val="20"/>
                <w:lang w:val="fr-FR" w:eastAsia="en-US"/>
              </w:rPr>
              <w:lastRenderedPageBreak/>
              <w:t>0</w:t>
            </w:r>
          </w:p>
        </w:tc>
        <w:tc>
          <w:tcPr>
            <w:tcW w:w="1620" w:type="dxa"/>
            <w:shd w:val="clear" w:color="auto" w:fill="EEECE1"/>
          </w:tcPr>
          <w:p w14:paraId="2E268CF0" w14:textId="77777777" w:rsidR="00B804F2" w:rsidRPr="00147D4F" w:rsidRDefault="00B804F2" w:rsidP="00B804F2">
            <w:pPr>
              <w:rPr>
                <w:sz w:val="20"/>
                <w:szCs w:val="20"/>
                <w:lang w:val="fr-FR"/>
              </w:rPr>
            </w:pPr>
            <w:r w:rsidRPr="00147D4F">
              <w:rPr>
                <w:b/>
                <w:sz w:val="20"/>
                <w:szCs w:val="20"/>
                <w:lang w:val="fr-FR" w:eastAsia="en-US"/>
              </w:rPr>
              <w:t>10</w:t>
            </w:r>
          </w:p>
        </w:tc>
        <w:tc>
          <w:tcPr>
            <w:tcW w:w="2070" w:type="dxa"/>
          </w:tcPr>
          <w:p w14:paraId="17F99401" w14:textId="77BF49D1" w:rsidR="00B804F2" w:rsidRPr="00147D4F" w:rsidRDefault="00C72024" w:rsidP="00B804F2">
            <w:pPr>
              <w:rPr>
                <w:sz w:val="20"/>
                <w:szCs w:val="20"/>
                <w:lang w:val="fr-FR" w:eastAsia="en-US"/>
              </w:rPr>
            </w:pPr>
            <w:r>
              <w:rPr>
                <w:sz w:val="20"/>
                <w:szCs w:val="20"/>
                <w:lang w:val="fr-FR" w:eastAsia="en-US"/>
              </w:rPr>
              <w:t>5</w:t>
            </w:r>
          </w:p>
        </w:tc>
        <w:tc>
          <w:tcPr>
            <w:tcW w:w="2941" w:type="dxa"/>
          </w:tcPr>
          <w:p w14:paraId="5CAFA269" w14:textId="2AFC5DC3" w:rsidR="00B804F2" w:rsidRPr="00147D4F" w:rsidRDefault="00B804F2" w:rsidP="007B4842">
            <w:pPr>
              <w:jc w:val="both"/>
              <w:rPr>
                <w:sz w:val="20"/>
                <w:szCs w:val="20"/>
                <w:lang w:val="fr-FR"/>
              </w:rPr>
            </w:pPr>
            <w:r w:rsidRPr="00147D4F">
              <w:rPr>
                <w:b/>
                <w:sz w:val="20"/>
                <w:szCs w:val="20"/>
                <w:lang w:val="fr-FR" w:eastAsia="en-US"/>
              </w:rPr>
              <w:t>0</w:t>
            </w:r>
            <w:r w:rsidR="00F51869">
              <w:rPr>
                <w:b/>
                <w:sz w:val="20"/>
                <w:szCs w:val="20"/>
                <w:lang w:val="fr-FR" w:eastAsia="en-US"/>
              </w:rPr>
              <w:t xml:space="preserve"> </w:t>
            </w:r>
          </w:p>
        </w:tc>
        <w:tc>
          <w:tcPr>
            <w:tcW w:w="3269" w:type="dxa"/>
          </w:tcPr>
          <w:p w14:paraId="58F66AE3" w14:textId="23BCB2FE" w:rsidR="00B804F2" w:rsidRPr="00147D4F" w:rsidRDefault="001A616F" w:rsidP="00F51869">
            <w:pPr>
              <w:jc w:val="both"/>
              <w:rPr>
                <w:sz w:val="20"/>
                <w:szCs w:val="20"/>
                <w:lang w:val="fr-FR"/>
              </w:rPr>
            </w:pPr>
            <w:r w:rsidRPr="00147D4F">
              <w:rPr>
                <w:sz w:val="20"/>
                <w:szCs w:val="20"/>
                <w:lang w:val="fr-FR" w:eastAsia="en-US"/>
              </w:rPr>
              <w:t>Possible uniquement après établissement et travaux de la CVJRR.</w:t>
            </w:r>
            <w:r w:rsidR="00F51869">
              <w:rPr>
                <w:sz w:val="20"/>
                <w:szCs w:val="20"/>
                <w:lang w:val="fr-FR" w:eastAsia="en-US"/>
              </w:rPr>
              <w:t xml:space="preserve"> </w:t>
            </w:r>
          </w:p>
        </w:tc>
      </w:tr>
      <w:tr w:rsidR="00B804F2" w:rsidRPr="00EE01B0" w14:paraId="3524B66F" w14:textId="77777777" w:rsidTr="00EE01B0">
        <w:trPr>
          <w:trHeight w:val="458"/>
        </w:trPr>
        <w:tc>
          <w:tcPr>
            <w:tcW w:w="1838" w:type="dxa"/>
            <w:vMerge w:val="restart"/>
          </w:tcPr>
          <w:p w14:paraId="4E4F652B" w14:textId="77777777" w:rsidR="00B804F2" w:rsidRPr="00147D4F" w:rsidRDefault="00B804F2" w:rsidP="00DE4F99">
            <w:pPr>
              <w:jc w:val="both"/>
              <w:rPr>
                <w:sz w:val="20"/>
                <w:szCs w:val="20"/>
                <w:lang w:val="fr-FR" w:eastAsia="en-US"/>
              </w:rPr>
            </w:pPr>
            <w:r w:rsidRPr="00147D4F">
              <w:rPr>
                <w:sz w:val="20"/>
                <w:szCs w:val="20"/>
                <w:lang w:val="fr-FR" w:eastAsia="en-US"/>
              </w:rPr>
              <w:t>Produit 3.1</w:t>
            </w:r>
          </w:p>
          <w:p w14:paraId="56E8FDBC" w14:textId="77777777" w:rsidR="00B804F2" w:rsidRPr="00147D4F" w:rsidRDefault="00B804F2" w:rsidP="00DE4F99">
            <w:pPr>
              <w:jc w:val="both"/>
              <w:rPr>
                <w:sz w:val="20"/>
                <w:szCs w:val="20"/>
                <w:lang w:val="fr-FR" w:eastAsia="en-US"/>
              </w:rPr>
            </w:pPr>
            <w:r w:rsidRPr="00147D4F">
              <w:rPr>
                <w:sz w:val="20"/>
                <w:szCs w:val="20"/>
                <w:lang w:val="fr-FR" w:eastAsia="en-US"/>
              </w:rPr>
              <w:t>Les Commissaires de la CVJRR et délégués de régions disposent des capacités techniques et opérationnelles pour mener à bien leurs travaux</w:t>
            </w:r>
          </w:p>
        </w:tc>
        <w:tc>
          <w:tcPr>
            <w:tcW w:w="1985" w:type="dxa"/>
            <w:shd w:val="clear" w:color="auto" w:fill="EEECE1"/>
          </w:tcPr>
          <w:p w14:paraId="435AF5CE" w14:textId="77777777" w:rsidR="00B804F2" w:rsidRPr="00147D4F" w:rsidRDefault="00B804F2" w:rsidP="00DE4F99">
            <w:pPr>
              <w:jc w:val="both"/>
              <w:rPr>
                <w:sz w:val="20"/>
                <w:szCs w:val="20"/>
                <w:lang w:val="fr-FR" w:eastAsia="en-US"/>
              </w:rPr>
            </w:pPr>
            <w:r w:rsidRPr="00147D4F">
              <w:rPr>
                <w:sz w:val="20"/>
                <w:szCs w:val="20"/>
                <w:lang w:val="fr-FR" w:eastAsia="en-US"/>
              </w:rPr>
              <w:t>Indicateur 3.1.1</w:t>
            </w:r>
          </w:p>
          <w:p w14:paraId="1394B7E1" w14:textId="77777777" w:rsidR="00B804F2" w:rsidRPr="00147D4F" w:rsidRDefault="00B804F2" w:rsidP="00DE4F99">
            <w:pPr>
              <w:jc w:val="both"/>
              <w:rPr>
                <w:sz w:val="20"/>
                <w:szCs w:val="20"/>
                <w:lang w:val="fr-FR" w:eastAsia="en-US"/>
              </w:rPr>
            </w:pPr>
            <w:r w:rsidRPr="00147D4F">
              <w:rPr>
                <w:sz w:val="20"/>
                <w:szCs w:val="20"/>
                <w:lang w:val="fr-FR" w:eastAsia="en-US"/>
              </w:rPr>
              <w:t>Nombre de formations organisées pour les Commissaires et les délégués de région</w:t>
            </w:r>
          </w:p>
        </w:tc>
        <w:tc>
          <w:tcPr>
            <w:tcW w:w="1307" w:type="dxa"/>
            <w:shd w:val="clear" w:color="auto" w:fill="EEECE1"/>
          </w:tcPr>
          <w:p w14:paraId="4B5EF69F" w14:textId="77777777" w:rsidR="00B804F2" w:rsidRPr="00147D4F" w:rsidRDefault="00B804F2" w:rsidP="00DE4F99">
            <w:pPr>
              <w:jc w:val="both"/>
              <w:rPr>
                <w:sz w:val="20"/>
                <w:szCs w:val="20"/>
                <w:lang w:val="fr-FR"/>
              </w:rPr>
            </w:pPr>
            <w:r w:rsidRPr="00147D4F">
              <w:rPr>
                <w:b/>
                <w:sz w:val="20"/>
                <w:szCs w:val="20"/>
                <w:lang w:val="fr-FR" w:eastAsia="en-US"/>
              </w:rPr>
              <w:t>0</w:t>
            </w:r>
          </w:p>
        </w:tc>
        <w:tc>
          <w:tcPr>
            <w:tcW w:w="1620" w:type="dxa"/>
            <w:shd w:val="clear" w:color="auto" w:fill="EEECE1"/>
          </w:tcPr>
          <w:p w14:paraId="15282155" w14:textId="77777777" w:rsidR="00B804F2" w:rsidRPr="00147D4F" w:rsidRDefault="00B804F2" w:rsidP="00DE4F99">
            <w:pPr>
              <w:jc w:val="both"/>
              <w:rPr>
                <w:sz w:val="20"/>
                <w:szCs w:val="20"/>
                <w:lang w:val="fr-FR"/>
              </w:rPr>
            </w:pPr>
            <w:r w:rsidRPr="00147D4F">
              <w:rPr>
                <w:b/>
                <w:sz w:val="20"/>
                <w:szCs w:val="20"/>
                <w:lang w:val="fr-FR" w:eastAsia="en-US"/>
              </w:rPr>
              <w:t>12</w:t>
            </w:r>
          </w:p>
        </w:tc>
        <w:tc>
          <w:tcPr>
            <w:tcW w:w="2070" w:type="dxa"/>
          </w:tcPr>
          <w:p w14:paraId="3F937F1D" w14:textId="61402BA0" w:rsidR="00B804F2" w:rsidRPr="00147D4F" w:rsidRDefault="00373B0B" w:rsidP="00DE4F99">
            <w:pPr>
              <w:jc w:val="both"/>
              <w:rPr>
                <w:sz w:val="20"/>
                <w:szCs w:val="20"/>
                <w:lang w:val="fr-FR" w:eastAsia="en-US"/>
              </w:rPr>
            </w:pPr>
            <w:r w:rsidRPr="00EE01B0">
              <w:rPr>
                <w:sz w:val="20"/>
                <w:szCs w:val="20"/>
                <w:highlight w:val="yellow"/>
                <w:lang w:val="fr-FR" w:eastAsia="en-US"/>
              </w:rPr>
              <w:t>Non disponible</w:t>
            </w:r>
          </w:p>
        </w:tc>
        <w:tc>
          <w:tcPr>
            <w:tcW w:w="2941" w:type="dxa"/>
          </w:tcPr>
          <w:p w14:paraId="18804F15" w14:textId="22B5E015" w:rsidR="008361E0" w:rsidRPr="00400EC5" w:rsidRDefault="00B804F2" w:rsidP="00DE4F99">
            <w:pPr>
              <w:jc w:val="both"/>
              <w:rPr>
                <w:bCs/>
                <w:sz w:val="20"/>
                <w:szCs w:val="20"/>
                <w:lang w:val="fr-FR"/>
              </w:rPr>
            </w:pPr>
            <w:r w:rsidRPr="00400EC5">
              <w:rPr>
                <w:b/>
                <w:sz w:val="20"/>
                <w:szCs w:val="20"/>
                <w:lang w:val="fr-FR" w:eastAsia="en-US"/>
              </w:rPr>
              <w:t>0</w:t>
            </w:r>
          </w:p>
        </w:tc>
        <w:tc>
          <w:tcPr>
            <w:tcW w:w="3269" w:type="dxa"/>
          </w:tcPr>
          <w:p w14:paraId="0D66A06A" w14:textId="27B6FD98" w:rsidR="00B804F2" w:rsidRPr="00400EC5" w:rsidRDefault="005C1F68" w:rsidP="00DE4F99">
            <w:pPr>
              <w:jc w:val="both"/>
              <w:rPr>
                <w:bCs/>
                <w:sz w:val="20"/>
                <w:szCs w:val="20"/>
                <w:lang w:val="fr-FR"/>
              </w:rPr>
            </w:pPr>
            <w:r w:rsidRPr="00400EC5">
              <w:rPr>
                <w:bCs/>
                <w:sz w:val="20"/>
                <w:szCs w:val="20"/>
                <w:lang w:val="fr-FR" w:eastAsia="en-US"/>
              </w:rPr>
              <w:t xml:space="preserve">La </w:t>
            </w:r>
            <w:r w:rsidR="00556CDE" w:rsidRPr="00400EC5">
              <w:rPr>
                <w:bCs/>
                <w:sz w:val="20"/>
                <w:szCs w:val="20"/>
                <w:lang w:val="fr-FR" w:eastAsia="en-US"/>
              </w:rPr>
              <w:t xml:space="preserve">CVJRR est opérationnelle seulement </w:t>
            </w:r>
            <w:r w:rsidR="008361E0" w:rsidRPr="00400EC5">
              <w:rPr>
                <w:bCs/>
                <w:sz w:val="20"/>
                <w:szCs w:val="20"/>
                <w:lang w:val="fr-FR" w:eastAsia="en-US"/>
              </w:rPr>
              <w:t>depuis le 2 Juillet 2021, date de la prestation de serment des Commissaires. L’appui institutionnel à la CVJRR commence seulement maintenant ; il inclue des éléments de renforcement des capacités des Commissaires</w:t>
            </w:r>
            <w:r w:rsidR="00400EC5" w:rsidRPr="00400EC5">
              <w:rPr>
                <w:bCs/>
                <w:sz w:val="20"/>
                <w:szCs w:val="20"/>
                <w:lang w:val="fr-FR" w:eastAsia="en-US"/>
              </w:rPr>
              <w:t xml:space="preserve">, notamment à travers des partages d’expériences. </w:t>
            </w:r>
          </w:p>
        </w:tc>
      </w:tr>
      <w:tr w:rsidR="00B804F2" w:rsidRPr="00EE01B0" w14:paraId="5CD3FC72" w14:textId="77777777" w:rsidTr="00EE01B0">
        <w:trPr>
          <w:trHeight w:val="458"/>
        </w:trPr>
        <w:tc>
          <w:tcPr>
            <w:tcW w:w="1838" w:type="dxa"/>
            <w:vMerge/>
          </w:tcPr>
          <w:p w14:paraId="5C779571" w14:textId="77777777" w:rsidR="00B804F2" w:rsidRPr="00147D4F" w:rsidRDefault="00B804F2" w:rsidP="00B804F2">
            <w:pPr>
              <w:rPr>
                <w:sz w:val="20"/>
                <w:szCs w:val="20"/>
                <w:lang w:val="fr-FR" w:eastAsia="en-US"/>
              </w:rPr>
            </w:pPr>
          </w:p>
        </w:tc>
        <w:tc>
          <w:tcPr>
            <w:tcW w:w="1985" w:type="dxa"/>
            <w:shd w:val="clear" w:color="auto" w:fill="EEECE1"/>
          </w:tcPr>
          <w:p w14:paraId="72ACF713" w14:textId="77777777" w:rsidR="00B804F2" w:rsidRPr="00147D4F" w:rsidRDefault="00B804F2" w:rsidP="00DE4F99">
            <w:pPr>
              <w:jc w:val="both"/>
              <w:rPr>
                <w:sz w:val="20"/>
                <w:szCs w:val="20"/>
                <w:lang w:val="fr-FR" w:eastAsia="en-US"/>
              </w:rPr>
            </w:pPr>
            <w:r w:rsidRPr="00147D4F">
              <w:rPr>
                <w:sz w:val="20"/>
                <w:szCs w:val="20"/>
                <w:lang w:val="fr-FR" w:eastAsia="en-US"/>
              </w:rPr>
              <w:t>Indicateur 3.1.2</w:t>
            </w:r>
          </w:p>
          <w:p w14:paraId="708F8ABC" w14:textId="77777777" w:rsidR="00B804F2" w:rsidRPr="00147D4F" w:rsidRDefault="00B804F2" w:rsidP="00DE4F99">
            <w:pPr>
              <w:jc w:val="both"/>
              <w:rPr>
                <w:sz w:val="20"/>
                <w:szCs w:val="20"/>
                <w:lang w:val="fr-FR" w:eastAsia="en-US"/>
              </w:rPr>
            </w:pPr>
            <w:r w:rsidRPr="00147D4F">
              <w:rPr>
                <w:sz w:val="20"/>
                <w:szCs w:val="20"/>
                <w:lang w:val="fr-FR" w:eastAsia="en-US"/>
              </w:rPr>
              <w:t>La stratégie d’intervention et le manuel de procédures de la CVJRR élaborés et validés</w:t>
            </w:r>
          </w:p>
        </w:tc>
        <w:tc>
          <w:tcPr>
            <w:tcW w:w="1307" w:type="dxa"/>
            <w:shd w:val="clear" w:color="auto" w:fill="EEECE1"/>
          </w:tcPr>
          <w:p w14:paraId="4DCA51CC" w14:textId="77777777" w:rsidR="00B804F2" w:rsidRPr="00147D4F" w:rsidRDefault="00B804F2" w:rsidP="00DE4F99">
            <w:pPr>
              <w:jc w:val="both"/>
              <w:rPr>
                <w:sz w:val="20"/>
                <w:szCs w:val="20"/>
                <w:lang w:val="fr-FR"/>
              </w:rPr>
            </w:pPr>
            <w:r w:rsidRPr="00147D4F">
              <w:rPr>
                <w:sz w:val="20"/>
                <w:szCs w:val="20"/>
                <w:lang w:val="fr-FR" w:eastAsia="en-US"/>
              </w:rPr>
              <w:t>0 stratégie d’intervention ; 0 manuel de procédures</w:t>
            </w:r>
          </w:p>
        </w:tc>
        <w:tc>
          <w:tcPr>
            <w:tcW w:w="1620" w:type="dxa"/>
            <w:shd w:val="clear" w:color="auto" w:fill="EEECE1"/>
          </w:tcPr>
          <w:p w14:paraId="65B0D08E" w14:textId="77777777" w:rsidR="00B804F2" w:rsidRPr="00147D4F" w:rsidRDefault="00B804F2" w:rsidP="00DE4F99">
            <w:pPr>
              <w:jc w:val="both"/>
              <w:rPr>
                <w:sz w:val="20"/>
                <w:szCs w:val="20"/>
                <w:lang w:val="fr-FR"/>
              </w:rPr>
            </w:pPr>
            <w:r w:rsidRPr="00147D4F">
              <w:rPr>
                <w:sz w:val="20"/>
                <w:szCs w:val="20"/>
                <w:lang w:val="fr-FR" w:eastAsia="en-US"/>
              </w:rPr>
              <w:t>1 stratégie d’information élaborée, validée et diffusée auprès de la p</w:t>
            </w:r>
            <w:r w:rsidRPr="00147D4F">
              <w:rPr>
                <w:sz w:val="20"/>
                <w:szCs w:val="20"/>
                <w:lang w:val="fr-FR"/>
              </w:rPr>
              <w:t>opulation</w:t>
            </w:r>
          </w:p>
          <w:p w14:paraId="4B3DC26F" w14:textId="77777777" w:rsidR="00B804F2" w:rsidRPr="00147D4F" w:rsidRDefault="00B804F2" w:rsidP="00DE4F99">
            <w:pPr>
              <w:jc w:val="both"/>
              <w:rPr>
                <w:sz w:val="20"/>
                <w:szCs w:val="20"/>
                <w:lang w:val="fr-FR"/>
              </w:rPr>
            </w:pPr>
            <w:r w:rsidRPr="00147D4F">
              <w:rPr>
                <w:sz w:val="20"/>
                <w:szCs w:val="20"/>
                <w:lang w:val="fr-FR"/>
              </w:rPr>
              <w:t>1 manuel de saisine et 1 manuel de procédure disponibles en français et Sango</w:t>
            </w:r>
          </w:p>
        </w:tc>
        <w:tc>
          <w:tcPr>
            <w:tcW w:w="2070" w:type="dxa"/>
          </w:tcPr>
          <w:p w14:paraId="1B58F6EA" w14:textId="75D67F2D" w:rsidR="00B804F2" w:rsidRPr="00147D4F" w:rsidRDefault="00373B0B" w:rsidP="00DE4F99">
            <w:pPr>
              <w:jc w:val="both"/>
              <w:rPr>
                <w:sz w:val="20"/>
                <w:szCs w:val="20"/>
                <w:lang w:val="fr-FR"/>
              </w:rPr>
            </w:pPr>
            <w:r w:rsidRPr="00EE01B0">
              <w:rPr>
                <w:sz w:val="20"/>
                <w:szCs w:val="20"/>
                <w:highlight w:val="yellow"/>
                <w:lang w:val="fr-FR" w:eastAsia="en-US"/>
              </w:rPr>
              <w:t>Non disponible</w:t>
            </w:r>
          </w:p>
        </w:tc>
        <w:tc>
          <w:tcPr>
            <w:tcW w:w="2941" w:type="dxa"/>
          </w:tcPr>
          <w:p w14:paraId="3F0539A3" w14:textId="796B25E8" w:rsidR="00FE4E7D" w:rsidRPr="00147D4F" w:rsidRDefault="00B804F2">
            <w:pPr>
              <w:jc w:val="both"/>
              <w:rPr>
                <w:sz w:val="20"/>
                <w:szCs w:val="20"/>
                <w:lang w:val="fr-FR"/>
              </w:rPr>
            </w:pPr>
            <w:r w:rsidRPr="00147D4F">
              <w:rPr>
                <w:b/>
                <w:sz w:val="20"/>
                <w:szCs w:val="20"/>
                <w:lang w:val="fr-FR" w:eastAsia="en-US"/>
              </w:rPr>
              <w:t>0</w:t>
            </w:r>
            <w:r w:rsidR="00FE4E7D">
              <w:rPr>
                <w:b/>
                <w:sz w:val="20"/>
                <w:szCs w:val="20"/>
                <w:lang w:val="fr-FR" w:eastAsia="en-US"/>
              </w:rPr>
              <w:t xml:space="preserve"> </w:t>
            </w:r>
          </w:p>
        </w:tc>
        <w:tc>
          <w:tcPr>
            <w:tcW w:w="3269" w:type="dxa"/>
          </w:tcPr>
          <w:p w14:paraId="31899F78" w14:textId="32CE3FF0" w:rsidR="00B804F2" w:rsidRDefault="00400EC5" w:rsidP="00DE4F99">
            <w:pPr>
              <w:jc w:val="both"/>
              <w:rPr>
                <w:bCs/>
                <w:sz w:val="20"/>
                <w:szCs w:val="20"/>
                <w:lang w:val="fr-FR" w:eastAsia="en-US"/>
              </w:rPr>
            </w:pPr>
            <w:r w:rsidRPr="00400EC5">
              <w:rPr>
                <w:bCs/>
                <w:sz w:val="20"/>
                <w:szCs w:val="20"/>
                <w:lang w:val="fr-FR" w:eastAsia="en-US"/>
              </w:rPr>
              <w:t>La CVJRR est opérationnelle seulement depuis le 2 Juillet 2021, date de la prestation de serment des Commissaires. L’appui institutionnel à la CVJRR commence seulement maintenant</w:t>
            </w:r>
            <w:r w:rsidR="003D0546">
              <w:rPr>
                <w:bCs/>
                <w:sz w:val="20"/>
                <w:szCs w:val="20"/>
                <w:lang w:val="fr-FR" w:eastAsia="en-US"/>
              </w:rPr>
              <w:t xml:space="preserve"> à travers l’appui à l’élaboration de la stratégie d’intervention, de </w:t>
            </w:r>
            <w:proofErr w:type="gramStart"/>
            <w:r w:rsidR="003D0546">
              <w:rPr>
                <w:bCs/>
                <w:sz w:val="20"/>
                <w:szCs w:val="20"/>
                <w:lang w:val="fr-FR" w:eastAsia="en-US"/>
              </w:rPr>
              <w:t>communication</w:t>
            </w:r>
            <w:r w:rsidR="0059647E">
              <w:rPr>
                <w:bCs/>
                <w:sz w:val="20"/>
                <w:szCs w:val="20"/>
                <w:lang w:val="fr-FR" w:eastAsia="en-US"/>
              </w:rPr>
              <w:t>,</w:t>
            </w:r>
            <w:r w:rsidR="003D0546">
              <w:rPr>
                <w:bCs/>
                <w:sz w:val="20"/>
                <w:szCs w:val="20"/>
                <w:lang w:val="fr-FR" w:eastAsia="en-US"/>
              </w:rPr>
              <w:t xml:space="preserve">  d’investigation</w:t>
            </w:r>
            <w:proofErr w:type="gramEnd"/>
            <w:r w:rsidR="0059647E">
              <w:rPr>
                <w:bCs/>
                <w:sz w:val="20"/>
                <w:szCs w:val="20"/>
                <w:lang w:val="fr-FR" w:eastAsia="en-US"/>
              </w:rPr>
              <w:t xml:space="preserve"> et de genre,</w:t>
            </w:r>
            <w:r w:rsidR="00FE4E7D">
              <w:rPr>
                <w:bCs/>
                <w:sz w:val="20"/>
                <w:szCs w:val="20"/>
                <w:lang w:val="fr-FR" w:eastAsia="en-US"/>
              </w:rPr>
              <w:t xml:space="preserve"> grâce au déploiement d’experts </w:t>
            </w:r>
            <w:r w:rsidR="0059647E">
              <w:rPr>
                <w:bCs/>
                <w:sz w:val="20"/>
                <w:szCs w:val="20"/>
                <w:lang w:val="fr-FR" w:eastAsia="en-US"/>
              </w:rPr>
              <w:t>d’ICTJ en collaboration avec l’équipe du projet</w:t>
            </w:r>
            <w:r w:rsidR="00FE4E7D">
              <w:rPr>
                <w:bCs/>
                <w:sz w:val="20"/>
                <w:szCs w:val="20"/>
                <w:lang w:val="fr-FR" w:eastAsia="en-US"/>
              </w:rPr>
              <w:t xml:space="preserve">. </w:t>
            </w:r>
          </w:p>
          <w:p w14:paraId="4680F8C2" w14:textId="27F76198" w:rsidR="00FE4E7D" w:rsidRPr="00147D4F" w:rsidRDefault="00FE4E7D" w:rsidP="00DE4F99">
            <w:pPr>
              <w:jc w:val="both"/>
              <w:rPr>
                <w:sz w:val="20"/>
                <w:szCs w:val="20"/>
                <w:lang w:val="fr-FR"/>
              </w:rPr>
            </w:pPr>
          </w:p>
        </w:tc>
      </w:tr>
      <w:tr w:rsidR="00B804F2" w:rsidRPr="00EE01B0" w14:paraId="12BA716B" w14:textId="77777777" w:rsidTr="00EE01B0">
        <w:trPr>
          <w:trHeight w:val="458"/>
        </w:trPr>
        <w:tc>
          <w:tcPr>
            <w:tcW w:w="1838" w:type="dxa"/>
            <w:vMerge w:val="restart"/>
          </w:tcPr>
          <w:p w14:paraId="4B8896AD" w14:textId="77777777" w:rsidR="00B804F2" w:rsidRPr="00147D4F" w:rsidRDefault="00B804F2" w:rsidP="00B804F2">
            <w:pPr>
              <w:rPr>
                <w:sz w:val="20"/>
                <w:szCs w:val="20"/>
                <w:lang w:val="fr-FR" w:eastAsia="en-US"/>
              </w:rPr>
            </w:pPr>
            <w:r w:rsidRPr="00147D4F">
              <w:rPr>
                <w:sz w:val="20"/>
                <w:szCs w:val="20"/>
                <w:lang w:val="fr-FR" w:eastAsia="en-US"/>
              </w:rPr>
              <w:t>Produit 3.2</w:t>
            </w:r>
          </w:p>
          <w:p w14:paraId="52094EF3" w14:textId="45CA7D0C" w:rsidR="00B804F2" w:rsidRPr="00147D4F" w:rsidRDefault="00B804F2" w:rsidP="00400EC5">
            <w:pPr>
              <w:jc w:val="both"/>
              <w:rPr>
                <w:sz w:val="20"/>
                <w:szCs w:val="20"/>
                <w:lang w:val="fr-FR" w:eastAsia="en-US"/>
              </w:rPr>
            </w:pPr>
            <w:r w:rsidRPr="00147D4F">
              <w:rPr>
                <w:sz w:val="20"/>
                <w:szCs w:val="20"/>
                <w:lang w:val="fr-FR" w:eastAsia="en-US"/>
              </w:rPr>
              <w:t xml:space="preserve">Les leaders communautaires et les organisations de la </w:t>
            </w:r>
            <w:r w:rsidR="00D735FE" w:rsidRPr="00147D4F">
              <w:rPr>
                <w:sz w:val="20"/>
                <w:szCs w:val="20"/>
                <w:lang w:val="fr-FR" w:eastAsia="en-US"/>
              </w:rPr>
              <w:t>Société Civile</w:t>
            </w:r>
            <w:r w:rsidRPr="00147D4F">
              <w:rPr>
                <w:sz w:val="20"/>
                <w:szCs w:val="20"/>
                <w:lang w:val="fr-FR" w:eastAsia="en-US"/>
              </w:rPr>
              <w:t xml:space="preserve"> - en particulier les associations de </w:t>
            </w:r>
            <w:r w:rsidRPr="00147D4F">
              <w:rPr>
                <w:sz w:val="20"/>
                <w:szCs w:val="20"/>
                <w:lang w:val="fr-FR" w:eastAsia="en-US"/>
              </w:rPr>
              <w:lastRenderedPageBreak/>
              <w:t>victimes, les ONG de défense des droits humains, les Comités locaux de paix et de réconciliation - sont préparés à contribuer à la bonne conduite des activités de la CVJRR</w:t>
            </w:r>
          </w:p>
        </w:tc>
        <w:tc>
          <w:tcPr>
            <w:tcW w:w="1985" w:type="dxa"/>
            <w:shd w:val="clear" w:color="auto" w:fill="EEECE1"/>
          </w:tcPr>
          <w:p w14:paraId="4A26B3E4" w14:textId="77777777" w:rsidR="00B804F2" w:rsidRPr="00147D4F" w:rsidRDefault="00B804F2" w:rsidP="00400EC5">
            <w:pPr>
              <w:jc w:val="both"/>
              <w:rPr>
                <w:sz w:val="20"/>
                <w:szCs w:val="20"/>
                <w:lang w:val="fr-FR" w:eastAsia="en-US"/>
              </w:rPr>
            </w:pPr>
            <w:r w:rsidRPr="00147D4F">
              <w:rPr>
                <w:sz w:val="20"/>
                <w:szCs w:val="20"/>
                <w:lang w:val="fr-FR" w:eastAsia="en-US"/>
              </w:rPr>
              <w:lastRenderedPageBreak/>
              <w:t>Indicateur 3.2.1</w:t>
            </w:r>
          </w:p>
          <w:p w14:paraId="49D01615" w14:textId="042BFC65" w:rsidR="00B804F2" w:rsidRPr="00147D4F" w:rsidRDefault="00B804F2" w:rsidP="00400EC5">
            <w:pPr>
              <w:jc w:val="both"/>
              <w:rPr>
                <w:sz w:val="20"/>
                <w:szCs w:val="20"/>
                <w:lang w:val="fr-FR" w:eastAsia="en-US"/>
              </w:rPr>
            </w:pPr>
            <w:r w:rsidRPr="00147D4F">
              <w:rPr>
                <w:sz w:val="20"/>
                <w:szCs w:val="20"/>
                <w:lang w:val="fr-FR" w:eastAsia="en-US"/>
              </w:rPr>
              <w:t xml:space="preserve">1 mécanisme de concertation CVJRR / </w:t>
            </w:r>
            <w:r w:rsidR="00D735FE" w:rsidRPr="00147D4F">
              <w:rPr>
                <w:sz w:val="20"/>
                <w:szCs w:val="20"/>
                <w:lang w:val="fr-FR" w:eastAsia="en-US"/>
              </w:rPr>
              <w:t>Société Civile</w:t>
            </w:r>
            <w:r w:rsidRPr="00147D4F">
              <w:rPr>
                <w:sz w:val="20"/>
                <w:szCs w:val="20"/>
                <w:lang w:val="fr-FR" w:eastAsia="en-US"/>
              </w:rPr>
              <w:t xml:space="preserve"> instauré et effectif</w:t>
            </w:r>
          </w:p>
        </w:tc>
        <w:tc>
          <w:tcPr>
            <w:tcW w:w="1307" w:type="dxa"/>
            <w:shd w:val="clear" w:color="auto" w:fill="EEECE1"/>
          </w:tcPr>
          <w:p w14:paraId="4EEBFED1" w14:textId="77777777" w:rsidR="00B804F2" w:rsidRPr="00147D4F" w:rsidRDefault="00B804F2" w:rsidP="00400EC5">
            <w:pPr>
              <w:jc w:val="both"/>
              <w:rPr>
                <w:sz w:val="20"/>
                <w:szCs w:val="20"/>
                <w:lang w:val="fr-FR"/>
              </w:rPr>
            </w:pPr>
            <w:r w:rsidRPr="00147D4F">
              <w:rPr>
                <w:sz w:val="20"/>
                <w:szCs w:val="20"/>
                <w:lang w:val="fr-FR" w:eastAsia="en-US"/>
              </w:rPr>
              <w:t>0 cadre de concertation, 0 réunion du mécanisme de concertation</w:t>
            </w:r>
          </w:p>
        </w:tc>
        <w:tc>
          <w:tcPr>
            <w:tcW w:w="1620" w:type="dxa"/>
            <w:shd w:val="clear" w:color="auto" w:fill="EEECE1"/>
          </w:tcPr>
          <w:p w14:paraId="4E9B73F0" w14:textId="77777777" w:rsidR="00B804F2" w:rsidRPr="00147D4F" w:rsidRDefault="00B804F2" w:rsidP="00400EC5">
            <w:pPr>
              <w:jc w:val="both"/>
              <w:rPr>
                <w:sz w:val="20"/>
                <w:szCs w:val="20"/>
                <w:lang w:val="fr-FR"/>
              </w:rPr>
            </w:pPr>
            <w:r w:rsidRPr="00147D4F">
              <w:rPr>
                <w:sz w:val="20"/>
                <w:szCs w:val="20"/>
                <w:lang w:val="fr-FR" w:eastAsia="en-US"/>
              </w:rPr>
              <w:t xml:space="preserve">12 </w:t>
            </w:r>
            <w:proofErr w:type="gramStart"/>
            <w:r w:rsidRPr="00147D4F">
              <w:rPr>
                <w:sz w:val="20"/>
                <w:szCs w:val="20"/>
                <w:lang w:val="fr-FR" w:eastAsia="en-US"/>
              </w:rPr>
              <w:t>réunion</w:t>
            </w:r>
            <w:proofErr w:type="gramEnd"/>
            <w:r w:rsidRPr="00147D4F">
              <w:rPr>
                <w:sz w:val="20"/>
                <w:szCs w:val="20"/>
                <w:lang w:val="fr-FR" w:eastAsia="en-US"/>
              </w:rPr>
              <w:t xml:space="preserve"> du mécanisme de concertation ; au moins 3 </w:t>
            </w:r>
            <w:proofErr w:type="spellStart"/>
            <w:r w:rsidRPr="00147D4F">
              <w:rPr>
                <w:sz w:val="20"/>
                <w:szCs w:val="20"/>
                <w:lang w:val="fr-FR" w:eastAsia="en-US"/>
              </w:rPr>
              <w:t>MoU</w:t>
            </w:r>
            <w:proofErr w:type="spellEnd"/>
            <w:r w:rsidRPr="00147D4F">
              <w:rPr>
                <w:sz w:val="20"/>
                <w:szCs w:val="20"/>
                <w:lang w:val="fr-FR" w:eastAsia="en-US"/>
              </w:rPr>
              <w:t xml:space="preserve"> signés entre la</w:t>
            </w:r>
            <w:r w:rsidRPr="00147D4F">
              <w:rPr>
                <w:sz w:val="20"/>
                <w:szCs w:val="20"/>
                <w:lang w:val="fr-FR"/>
              </w:rPr>
              <w:t xml:space="preserve"> </w:t>
            </w:r>
            <w:r w:rsidRPr="00147D4F">
              <w:rPr>
                <w:sz w:val="20"/>
                <w:szCs w:val="20"/>
                <w:lang w:val="fr-FR" w:eastAsia="en-US"/>
              </w:rPr>
              <w:t>CVJRR et les OSC</w:t>
            </w:r>
          </w:p>
        </w:tc>
        <w:tc>
          <w:tcPr>
            <w:tcW w:w="2070" w:type="dxa"/>
          </w:tcPr>
          <w:p w14:paraId="3CBB9A20" w14:textId="1E9A1F88" w:rsidR="00B804F2" w:rsidRPr="00147D4F" w:rsidRDefault="00FA547E" w:rsidP="00B804F2">
            <w:pPr>
              <w:rPr>
                <w:sz w:val="20"/>
                <w:szCs w:val="20"/>
                <w:lang w:val="fr-FR"/>
              </w:rPr>
            </w:pPr>
            <w:r>
              <w:rPr>
                <w:sz w:val="20"/>
                <w:szCs w:val="20"/>
                <w:lang w:val="fr-FR" w:eastAsia="en-US"/>
              </w:rPr>
              <w:t>0</w:t>
            </w:r>
          </w:p>
        </w:tc>
        <w:tc>
          <w:tcPr>
            <w:tcW w:w="2941" w:type="dxa"/>
          </w:tcPr>
          <w:p w14:paraId="04149299" w14:textId="19B86DC4" w:rsidR="00B804F2" w:rsidRPr="00147D4F" w:rsidRDefault="00B804F2" w:rsidP="00B804F2">
            <w:pPr>
              <w:rPr>
                <w:sz w:val="20"/>
                <w:szCs w:val="20"/>
                <w:lang w:val="fr-FR"/>
              </w:rPr>
            </w:pPr>
            <w:r w:rsidRPr="00147D4F">
              <w:rPr>
                <w:b/>
                <w:sz w:val="20"/>
                <w:szCs w:val="20"/>
                <w:lang w:val="fr-FR" w:eastAsia="en-US"/>
              </w:rPr>
              <w:t>0</w:t>
            </w:r>
            <w:r w:rsidR="003D0546">
              <w:rPr>
                <w:b/>
                <w:sz w:val="20"/>
                <w:szCs w:val="20"/>
                <w:lang w:val="fr-FR" w:eastAsia="en-US"/>
              </w:rPr>
              <w:t xml:space="preserve"> </w:t>
            </w:r>
          </w:p>
        </w:tc>
        <w:tc>
          <w:tcPr>
            <w:tcW w:w="3269" w:type="dxa"/>
          </w:tcPr>
          <w:p w14:paraId="4A67E953" w14:textId="77777777" w:rsidR="00B804F2" w:rsidRDefault="003D0546" w:rsidP="003D0546">
            <w:pPr>
              <w:jc w:val="both"/>
              <w:rPr>
                <w:bCs/>
                <w:sz w:val="20"/>
                <w:szCs w:val="20"/>
                <w:lang w:val="fr-FR" w:eastAsia="en-US"/>
              </w:rPr>
            </w:pPr>
            <w:r w:rsidRPr="00400EC5">
              <w:rPr>
                <w:bCs/>
                <w:sz w:val="20"/>
                <w:szCs w:val="20"/>
                <w:lang w:val="fr-FR" w:eastAsia="en-US"/>
              </w:rPr>
              <w:t>La CVJRR est opérationnelle seulement depuis le 2 Juillet 2021, date de la prestation de serment des Commissaires. L’appui institutionnel à la CVJRR commence seulement maintenant</w:t>
            </w:r>
            <w:r>
              <w:rPr>
                <w:bCs/>
                <w:sz w:val="20"/>
                <w:szCs w:val="20"/>
                <w:lang w:val="fr-FR" w:eastAsia="en-US"/>
              </w:rPr>
              <w:t xml:space="preserve"> à travers l’appui à l’élaboration de la stratégie </w:t>
            </w:r>
            <w:r>
              <w:rPr>
                <w:bCs/>
                <w:sz w:val="20"/>
                <w:szCs w:val="20"/>
                <w:lang w:val="fr-FR" w:eastAsia="en-US"/>
              </w:rPr>
              <w:lastRenderedPageBreak/>
              <w:t xml:space="preserve">d’intervention, de communication et d’investigation. </w:t>
            </w:r>
          </w:p>
          <w:p w14:paraId="444980B7" w14:textId="77777777" w:rsidR="000F3082" w:rsidRDefault="003D0546" w:rsidP="003D0546">
            <w:pPr>
              <w:jc w:val="both"/>
              <w:rPr>
                <w:bCs/>
                <w:sz w:val="20"/>
                <w:szCs w:val="20"/>
                <w:lang w:val="fr-FR" w:eastAsia="en-US"/>
              </w:rPr>
            </w:pPr>
            <w:r>
              <w:rPr>
                <w:bCs/>
                <w:sz w:val="20"/>
                <w:szCs w:val="20"/>
                <w:lang w:val="fr-FR" w:eastAsia="en-US"/>
              </w:rPr>
              <w:t>Les éléments liés à la coordination</w:t>
            </w:r>
            <w:r w:rsidR="003E071A">
              <w:rPr>
                <w:bCs/>
                <w:sz w:val="20"/>
                <w:szCs w:val="20"/>
                <w:lang w:val="fr-FR" w:eastAsia="en-US"/>
              </w:rPr>
              <w:t xml:space="preserve"> avec les autres mécanismes de </w:t>
            </w:r>
            <w:proofErr w:type="spellStart"/>
            <w:r w:rsidR="003E071A">
              <w:rPr>
                <w:bCs/>
                <w:sz w:val="20"/>
                <w:szCs w:val="20"/>
                <w:lang w:val="fr-FR" w:eastAsia="en-US"/>
              </w:rPr>
              <w:t>jusice</w:t>
            </w:r>
            <w:proofErr w:type="spellEnd"/>
            <w:r w:rsidR="003E071A">
              <w:rPr>
                <w:bCs/>
                <w:sz w:val="20"/>
                <w:szCs w:val="20"/>
                <w:lang w:val="fr-FR" w:eastAsia="en-US"/>
              </w:rPr>
              <w:t xml:space="preserve"> transitionnelle</w:t>
            </w:r>
            <w:r>
              <w:rPr>
                <w:bCs/>
                <w:sz w:val="20"/>
                <w:szCs w:val="20"/>
                <w:lang w:val="fr-FR" w:eastAsia="en-US"/>
              </w:rPr>
              <w:t xml:space="preserve"> et à la communication interne et externe de la CVJRR seront inclus dans ces documents institutionnels.</w:t>
            </w:r>
          </w:p>
          <w:p w14:paraId="2448AA4F" w14:textId="51B154EE" w:rsidR="003D0546" w:rsidRPr="00147D4F" w:rsidRDefault="000F3082" w:rsidP="003D0546">
            <w:pPr>
              <w:jc w:val="both"/>
              <w:rPr>
                <w:sz w:val="20"/>
                <w:szCs w:val="20"/>
                <w:lang w:val="fr-FR"/>
              </w:rPr>
            </w:pPr>
            <w:r>
              <w:rPr>
                <w:bCs/>
                <w:sz w:val="20"/>
                <w:szCs w:val="20"/>
                <w:lang w:val="fr-FR" w:eastAsia="en-US"/>
              </w:rPr>
              <w:t>L’</w:t>
            </w:r>
            <w:proofErr w:type="spellStart"/>
            <w:r>
              <w:rPr>
                <w:bCs/>
                <w:sz w:val="20"/>
                <w:szCs w:val="20"/>
                <w:lang w:val="fr-FR" w:eastAsia="en-US"/>
              </w:rPr>
              <w:t>outreach</w:t>
            </w:r>
            <w:proofErr w:type="spellEnd"/>
            <w:r>
              <w:rPr>
                <w:bCs/>
                <w:sz w:val="20"/>
                <w:szCs w:val="20"/>
                <w:lang w:val="fr-FR" w:eastAsia="en-US"/>
              </w:rPr>
              <w:t xml:space="preserve"> à la société civile débutera à partir de novembre : incluant l’inclusion des avis de la société </w:t>
            </w:r>
            <w:proofErr w:type="spellStart"/>
            <w:r>
              <w:rPr>
                <w:bCs/>
                <w:sz w:val="20"/>
                <w:szCs w:val="20"/>
                <w:lang w:val="fr-FR" w:eastAsia="en-US"/>
              </w:rPr>
              <w:t>cviile</w:t>
            </w:r>
            <w:proofErr w:type="spellEnd"/>
            <w:r>
              <w:rPr>
                <w:bCs/>
                <w:sz w:val="20"/>
                <w:szCs w:val="20"/>
                <w:lang w:val="fr-FR" w:eastAsia="en-US"/>
              </w:rPr>
              <w:t xml:space="preserve"> sur la stratégie d’intervention et la formalisation de ce mécanisme de concertation, ainsi que des actions de sensibilisation et « formation des formateurs de la société civile » pour plus d’</w:t>
            </w:r>
            <w:proofErr w:type="spellStart"/>
            <w:r>
              <w:rPr>
                <w:bCs/>
                <w:sz w:val="20"/>
                <w:szCs w:val="20"/>
                <w:lang w:val="fr-FR" w:eastAsia="en-US"/>
              </w:rPr>
              <w:t>outreach</w:t>
            </w:r>
            <w:proofErr w:type="spellEnd"/>
            <w:r>
              <w:rPr>
                <w:bCs/>
                <w:sz w:val="20"/>
                <w:szCs w:val="20"/>
                <w:lang w:val="fr-FR" w:eastAsia="en-US"/>
              </w:rPr>
              <w:t>.</w:t>
            </w:r>
            <w:r w:rsidR="003D0546">
              <w:rPr>
                <w:bCs/>
                <w:sz w:val="20"/>
                <w:szCs w:val="20"/>
                <w:lang w:val="fr-FR" w:eastAsia="en-US"/>
              </w:rPr>
              <w:t xml:space="preserve">  </w:t>
            </w:r>
          </w:p>
        </w:tc>
      </w:tr>
      <w:tr w:rsidR="00B804F2" w:rsidRPr="00EE01B0" w14:paraId="7AB736ED" w14:textId="77777777" w:rsidTr="00EE01B0">
        <w:trPr>
          <w:trHeight w:val="458"/>
        </w:trPr>
        <w:tc>
          <w:tcPr>
            <w:tcW w:w="1838" w:type="dxa"/>
            <w:vMerge/>
          </w:tcPr>
          <w:p w14:paraId="159DCBBF" w14:textId="77777777" w:rsidR="00B804F2" w:rsidRPr="00147D4F" w:rsidRDefault="00B804F2" w:rsidP="00B804F2">
            <w:pPr>
              <w:rPr>
                <w:b/>
                <w:sz w:val="20"/>
                <w:szCs w:val="20"/>
                <w:lang w:val="fr-FR" w:eastAsia="en-US"/>
              </w:rPr>
            </w:pPr>
          </w:p>
        </w:tc>
        <w:tc>
          <w:tcPr>
            <w:tcW w:w="1985" w:type="dxa"/>
            <w:shd w:val="clear" w:color="auto" w:fill="EEECE1"/>
          </w:tcPr>
          <w:p w14:paraId="619E28DD" w14:textId="77777777" w:rsidR="00B804F2" w:rsidRPr="00147D4F" w:rsidRDefault="00B804F2" w:rsidP="00400EC5">
            <w:pPr>
              <w:jc w:val="both"/>
              <w:rPr>
                <w:sz w:val="20"/>
                <w:szCs w:val="20"/>
                <w:lang w:val="fr-FR" w:eastAsia="en-US"/>
              </w:rPr>
            </w:pPr>
            <w:r w:rsidRPr="00147D4F">
              <w:rPr>
                <w:sz w:val="20"/>
                <w:szCs w:val="20"/>
                <w:lang w:val="fr-FR" w:eastAsia="en-US"/>
              </w:rPr>
              <w:t>Indicateur 3.2.2</w:t>
            </w:r>
          </w:p>
          <w:p w14:paraId="0B929542" w14:textId="77777777" w:rsidR="00B804F2" w:rsidRPr="00147D4F" w:rsidRDefault="00B804F2" w:rsidP="00400EC5">
            <w:pPr>
              <w:jc w:val="both"/>
              <w:rPr>
                <w:sz w:val="20"/>
                <w:szCs w:val="20"/>
                <w:lang w:val="fr-FR" w:eastAsia="en-US"/>
              </w:rPr>
            </w:pPr>
            <w:r w:rsidRPr="00147D4F">
              <w:rPr>
                <w:sz w:val="20"/>
                <w:szCs w:val="20"/>
                <w:lang w:val="fr-FR" w:eastAsia="en-US"/>
              </w:rPr>
              <w:t>Nombre de formations dédiées à la prise en charge des femmes et des enfants</w:t>
            </w:r>
          </w:p>
        </w:tc>
        <w:tc>
          <w:tcPr>
            <w:tcW w:w="1307" w:type="dxa"/>
            <w:shd w:val="clear" w:color="auto" w:fill="EEECE1"/>
          </w:tcPr>
          <w:p w14:paraId="1174B8D5" w14:textId="77777777" w:rsidR="00B804F2" w:rsidRPr="00147D4F" w:rsidRDefault="00B804F2" w:rsidP="00400EC5">
            <w:pPr>
              <w:jc w:val="both"/>
              <w:rPr>
                <w:sz w:val="20"/>
                <w:szCs w:val="20"/>
                <w:lang w:val="fr-FR"/>
              </w:rPr>
            </w:pPr>
            <w:r w:rsidRPr="00147D4F">
              <w:rPr>
                <w:sz w:val="20"/>
                <w:szCs w:val="20"/>
                <w:lang w:val="fr-FR" w:eastAsia="en-US"/>
              </w:rPr>
              <w:t>0</w:t>
            </w:r>
          </w:p>
        </w:tc>
        <w:tc>
          <w:tcPr>
            <w:tcW w:w="1620" w:type="dxa"/>
            <w:shd w:val="clear" w:color="auto" w:fill="EEECE1"/>
          </w:tcPr>
          <w:p w14:paraId="45E36B2A" w14:textId="77777777" w:rsidR="00B804F2" w:rsidRPr="00147D4F" w:rsidRDefault="00B804F2" w:rsidP="00400EC5">
            <w:pPr>
              <w:jc w:val="both"/>
              <w:rPr>
                <w:sz w:val="20"/>
                <w:szCs w:val="20"/>
                <w:lang w:val="fr-FR"/>
              </w:rPr>
            </w:pPr>
            <w:r w:rsidRPr="00147D4F">
              <w:rPr>
                <w:sz w:val="20"/>
                <w:szCs w:val="20"/>
                <w:lang w:val="fr-FR" w:eastAsia="en-US"/>
              </w:rPr>
              <w:t>4 formations sur les prises en charges spécifiques ; 2 guides de prise en charge des femmes et des enfants élaborés et validés</w:t>
            </w:r>
          </w:p>
        </w:tc>
        <w:tc>
          <w:tcPr>
            <w:tcW w:w="2070" w:type="dxa"/>
          </w:tcPr>
          <w:p w14:paraId="40931568" w14:textId="1C5D6359" w:rsidR="00B804F2" w:rsidRPr="00147D4F" w:rsidRDefault="00373B0B" w:rsidP="00B804F2">
            <w:pPr>
              <w:rPr>
                <w:sz w:val="20"/>
                <w:szCs w:val="20"/>
                <w:lang w:val="fr-FR"/>
              </w:rPr>
            </w:pPr>
            <w:r w:rsidRPr="00EE01B0">
              <w:rPr>
                <w:sz w:val="20"/>
                <w:szCs w:val="20"/>
                <w:highlight w:val="yellow"/>
                <w:lang w:val="fr-FR" w:eastAsia="en-US"/>
              </w:rPr>
              <w:t>Non disponible</w:t>
            </w:r>
          </w:p>
        </w:tc>
        <w:tc>
          <w:tcPr>
            <w:tcW w:w="2941" w:type="dxa"/>
          </w:tcPr>
          <w:p w14:paraId="65A906E1" w14:textId="77777777" w:rsidR="00B804F2" w:rsidRPr="00147D4F" w:rsidRDefault="00B804F2" w:rsidP="00B804F2">
            <w:pPr>
              <w:rPr>
                <w:sz w:val="20"/>
                <w:szCs w:val="20"/>
                <w:lang w:val="fr-FR"/>
              </w:rPr>
            </w:pPr>
            <w:r w:rsidRPr="00147D4F">
              <w:rPr>
                <w:b/>
                <w:sz w:val="20"/>
                <w:szCs w:val="20"/>
                <w:lang w:val="fr-FR" w:eastAsia="en-US"/>
              </w:rPr>
              <w:t>0</w:t>
            </w:r>
          </w:p>
        </w:tc>
        <w:tc>
          <w:tcPr>
            <w:tcW w:w="3269" w:type="dxa"/>
          </w:tcPr>
          <w:p w14:paraId="2079C640" w14:textId="37DAEC3D" w:rsidR="00B804F2" w:rsidRPr="00147D4F" w:rsidRDefault="008909E8" w:rsidP="008909E8">
            <w:pPr>
              <w:jc w:val="both"/>
              <w:rPr>
                <w:sz w:val="20"/>
                <w:szCs w:val="20"/>
                <w:lang w:val="fr-FR"/>
              </w:rPr>
            </w:pPr>
            <w:r w:rsidRPr="00400EC5">
              <w:rPr>
                <w:bCs/>
                <w:sz w:val="20"/>
                <w:szCs w:val="20"/>
                <w:lang w:val="fr-FR" w:eastAsia="en-US"/>
              </w:rPr>
              <w:t>La CVJRR est opérationnelle seulement depuis le 2 Juillet 2021, date de la prestation de serment des Commissaires. L’appui institutionnel à la CVJRR commence seulement maintenant ; il inclue des éléments de renforcement des capacités des Commissaires, notamment à travers des partages d’expériences</w:t>
            </w:r>
            <w:r>
              <w:rPr>
                <w:bCs/>
                <w:sz w:val="20"/>
                <w:szCs w:val="20"/>
                <w:lang w:val="fr-FR" w:eastAsia="en-US"/>
              </w:rPr>
              <w:t xml:space="preserve">, notamment en matière de prise en compte du genre. </w:t>
            </w:r>
          </w:p>
        </w:tc>
      </w:tr>
      <w:tr w:rsidR="00B804F2" w:rsidRPr="00EE01B0" w14:paraId="01E62D94" w14:textId="77777777" w:rsidTr="00EE01B0">
        <w:trPr>
          <w:trHeight w:val="458"/>
        </w:trPr>
        <w:tc>
          <w:tcPr>
            <w:tcW w:w="1838" w:type="dxa"/>
            <w:vMerge w:val="restart"/>
          </w:tcPr>
          <w:p w14:paraId="61C30C58" w14:textId="77777777" w:rsidR="00B804F2" w:rsidRPr="00147D4F" w:rsidRDefault="00B804F2" w:rsidP="008909E8">
            <w:pPr>
              <w:jc w:val="both"/>
              <w:rPr>
                <w:sz w:val="20"/>
                <w:szCs w:val="20"/>
                <w:lang w:val="fr-FR" w:eastAsia="en-US"/>
              </w:rPr>
            </w:pPr>
            <w:r w:rsidRPr="00147D4F">
              <w:rPr>
                <w:sz w:val="20"/>
                <w:szCs w:val="20"/>
                <w:lang w:val="fr-FR" w:eastAsia="en-US"/>
              </w:rPr>
              <w:t>Produit 3.3</w:t>
            </w:r>
          </w:p>
          <w:p w14:paraId="12BD7BB1" w14:textId="77777777" w:rsidR="00B804F2" w:rsidRPr="00147D4F" w:rsidRDefault="00B804F2" w:rsidP="008909E8">
            <w:pPr>
              <w:jc w:val="both"/>
              <w:rPr>
                <w:sz w:val="20"/>
                <w:szCs w:val="20"/>
                <w:lang w:val="fr-FR" w:eastAsia="en-US"/>
              </w:rPr>
            </w:pPr>
            <w:r w:rsidRPr="00147D4F">
              <w:rPr>
                <w:sz w:val="20"/>
                <w:szCs w:val="20"/>
                <w:lang w:val="fr-FR" w:eastAsia="en-US"/>
              </w:rPr>
              <w:t xml:space="preserve">Un appui technique opérationnel est fourni pour la mise en place d’un cadre </w:t>
            </w:r>
            <w:r w:rsidRPr="00147D4F">
              <w:rPr>
                <w:sz w:val="20"/>
                <w:szCs w:val="20"/>
                <w:lang w:val="fr-FR" w:eastAsia="en-US"/>
              </w:rPr>
              <w:lastRenderedPageBreak/>
              <w:t>d’archivage et de protection des données</w:t>
            </w:r>
          </w:p>
        </w:tc>
        <w:tc>
          <w:tcPr>
            <w:tcW w:w="1985" w:type="dxa"/>
            <w:shd w:val="clear" w:color="auto" w:fill="EEECE1"/>
          </w:tcPr>
          <w:p w14:paraId="0A3EE21D" w14:textId="77777777" w:rsidR="00B804F2" w:rsidRPr="00147D4F" w:rsidRDefault="00B804F2" w:rsidP="008909E8">
            <w:pPr>
              <w:jc w:val="both"/>
              <w:rPr>
                <w:sz w:val="20"/>
                <w:szCs w:val="20"/>
                <w:lang w:val="fr-FR" w:eastAsia="en-US"/>
              </w:rPr>
            </w:pPr>
            <w:r w:rsidRPr="00147D4F">
              <w:rPr>
                <w:sz w:val="20"/>
                <w:szCs w:val="20"/>
                <w:lang w:val="fr-FR" w:eastAsia="en-US"/>
              </w:rPr>
              <w:lastRenderedPageBreak/>
              <w:t>Indicateur 3.3.1</w:t>
            </w:r>
          </w:p>
          <w:p w14:paraId="2975177A" w14:textId="77777777" w:rsidR="00B804F2" w:rsidRPr="00147D4F" w:rsidRDefault="00B804F2" w:rsidP="008909E8">
            <w:pPr>
              <w:jc w:val="both"/>
              <w:rPr>
                <w:sz w:val="20"/>
                <w:szCs w:val="20"/>
                <w:lang w:val="fr-FR" w:eastAsia="en-US"/>
              </w:rPr>
            </w:pPr>
            <w:r w:rsidRPr="00147D4F">
              <w:rPr>
                <w:sz w:val="20"/>
                <w:szCs w:val="20"/>
                <w:lang w:val="fr-FR" w:eastAsia="en-US"/>
              </w:rPr>
              <w:t xml:space="preserve">Un </w:t>
            </w:r>
            <w:r w:rsidRPr="00147D4F">
              <w:rPr>
                <w:sz w:val="20"/>
                <w:szCs w:val="20"/>
                <w:lang w:val="fr-FR"/>
              </w:rPr>
              <w:t>l</w:t>
            </w:r>
            <w:r w:rsidRPr="00147D4F">
              <w:rPr>
                <w:sz w:val="20"/>
                <w:szCs w:val="20"/>
                <w:lang w:val="fr-FR" w:eastAsia="en-US"/>
              </w:rPr>
              <w:t>ogiciel de collecte et de sauvegarde des données élaboré et fonctionnel</w:t>
            </w:r>
          </w:p>
        </w:tc>
        <w:tc>
          <w:tcPr>
            <w:tcW w:w="1307" w:type="dxa"/>
            <w:shd w:val="clear" w:color="auto" w:fill="EEECE1"/>
          </w:tcPr>
          <w:p w14:paraId="0C126BDB" w14:textId="77777777" w:rsidR="00B804F2" w:rsidRPr="00147D4F" w:rsidRDefault="00B804F2" w:rsidP="008909E8">
            <w:pPr>
              <w:jc w:val="both"/>
              <w:rPr>
                <w:sz w:val="20"/>
                <w:szCs w:val="20"/>
                <w:lang w:val="fr-FR"/>
              </w:rPr>
            </w:pPr>
            <w:r w:rsidRPr="00147D4F">
              <w:rPr>
                <w:b/>
                <w:sz w:val="20"/>
                <w:szCs w:val="20"/>
                <w:lang w:val="fr-FR" w:eastAsia="en-US"/>
              </w:rPr>
              <w:t>0</w:t>
            </w:r>
          </w:p>
        </w:tc>
        <w:tc>
          <w:tcPr>
            <w:tcW w:w="1620" w:type="dxa"/>
            <w:shd w:val="clear" w:color="auto" w:fill="EEECE1"/>
          </w:tcPr>
          <w:p w14:paraId="39C05D71" w14:textId="77777777" w:rsidR="00B804F2" w:rsidRPr="00147D4F" w:rsidRDefault="00B804F2" w:rsidP="008909E8">
            <w:pPr>
              <w:jc w:val="both"/>
              <w:rPr>
                <w:sz w:val="20"/>
                <w:szCs w:val="20"/>
                <w:lang w:val="fr-FR" w:eastAsia="en-US"/>
              </w:rPr>
            </w:pPr>
            <w:r w:rsidRPr="00147D4F">
              <w:rPr>
                <w:sz w:val="20"/>
                <w:szCs w:val="20"/>
                <w:lang w:val="fr-FR" w:eastAsia="en-US"/>
              </w:rPr>
              <w:t xml:space="preserve">1 progiciel élaboré et disponible ; au moins 4 formations </w:t>
            </w:r>
            <w:r w:rsidRPr="00147D4F">
              <w:rPr>
                <w:sz w:val="20"/>
                <w:szCs w:val="20"/>
                <w:lang w:val="fr-FR" w:eastAsia="en-US"/>
              </w:rPr>
              <w:lastRenderedPageBreak/>
              <w:t xml:space="preserve">organisées sur la prise en main du logiciel </w:t>
            </w:r>
          </w:p>
          <w:p w14:paraId="23CD8A53" w14:textId="77777777" w:rsidR="00B804F2" w:rsidRPr="00147D4F" w:rsidRDefault="00B804F2" w:rsidP="008909E8">
            <w:pPr>
              <w:jc w:val="both"/>
              <w:rPr>
                <w:sz w:val="20"/>
                <w:szCs w:val="20"/>
                <w:lang w:val="fr-FR"/>
              </w:rPr>
            </w:pPr>
          </w:p>
        </w:tc>
        <w:tc>
          <w:tcPr>
            <w:tcW w:w="2070" w:type="dxa"/>
          </w:tcPr>
          <w:p w14:paraId="1F405690" w14:textId="5357A502" w:rsidR="00B804F2" w:rsidRPr="00147D4F" w:rsidRDefault="008A1A63" w:rsidP="008909E8">
            <w:pPr>
              <w:jc w:val="both"/>
              <w:rPr>
                <w:sz w:val="20"/>
                <w:szCs w:val="20"/>
                <w:lang w:val="fr-FR"/>
              </w:rPr>
            </w:pPr>
            <w:r>
              <w:rPr>
                <w:sz w:val="20"/>
                <w:szCs w:val="20"/>
                <w:lang w:val="fr-FR" w:eastAsia="en-US"/>
              </w:rPr>
              <w:lastRenderedPageBreak/>
              <w:t>0</w:t>
            </w:r>
          </w:p>
        </w:tc>
        <w:tc>
          <w:tcPr>
            <w:tcW w:w="2941" w:type="dxa"/>
          </w:tcPr>
          <w:p w14:paraId="0245A5F0" w14:textId="77777777" w:rsidR="00B804F2" w:rsidRPr="00147D4F" w:rsidRDefault="00B804F2" w:rsidP="008909E8">
            <w:pPr>
              <w:jc w:val="both"/>
              <w:rPr>
                <w:sz w:val="20"/>
                <w:szCs w:val="20"/>
                <w:lang w:val="fr-FR"/>
              </w:rPr>
            </w:pPr>
            <w:r w:rsidRPr="00147D4F">
              <w:rPr>
                <w:b/>
                <w:sz w:val="20"/>
                <w:szCs w:val="20"/>
                <w:lang w:val="fr-FR" w:eastAsia="en-US"/>
              </w:rPr>
              <w:t>0</w:t>
            </w:r>
          </w:p>
        </w:tc>
        <w:tc>
          <w:tcPr>
            <w:tcW w:w="3269" w:type="dxa"/>
          </w:tcPr>
          <w:p w14:paraId="44FB9093" w14:textId="12B4A666" w:rsidR="00B804F2" w:rsidRPr="00147D4F" w:rsidRDefault="008909E8" w:rsidP="008909E8">
            <w:pPr>
              <w:jc w:val="both"/>
              <w:rPr>
                <w:sz w:val="20"/>
                <w:szCs w:val="20"/>
                <w:lang w:val="fr-FR"/>
              </w:rPr>
            </w:pPr>
            <w:r w:rsidRPr="00400EC5">
              <w:rPr>
                <w:bCs/>
                <w:sz w:val="20"/>
                <w:szCs w:val="20"/>
                <w:lang w:val="fr-FR" w:eastAsia="en-US"/>
              </w:rPr>
              <w:t xml:space="preserve">La CVJRR est opérationnelle seulement depuis le 2 Juillet 2021, date de la prestation de serment des Commissaires. L’appui institutionnel à la CVJRR commence seulement </w:t>
            </w:r>
            <w:r w:rsidRPr="00400EC5">
              <w:rPr>
                <w:bCs/>
                <w:sz w:val="20"/>
                <w:szCs w:val="20"/>
                <w:lang w:val="fr-FR" w:eastAsia="en-US"/>
              </w:rPr>
              <w:lastRenderedPageBreak/>
              <w:t>maintenant</w:t>
            </w:r>
            <w:r>
              <w:rPr>
                <w:bCs/>
                <w:sz w:val="20"/>
                <w:szCs w:val="20"/>
                <w:lang w:val="fr-FR" w:eastAsia="en-US"/>
              </w:rPr>
              <w:t> ; un état des besoins sera réalisé prochainement afin de procéder aux achats nécessaires</w:t>
            </w:r>
            <w:r w:rsidR="000F3082">
              <w:rPr>
                <w:bCs/>
                <w:sz w:val="20"/>
                <w:szCs w:val="20"/>
                <w:lang w:val="fr-FR" w:eastAsia="en-US"/>
              </w:rPr>
              <w:t xml:space="preserve"> avant la clôture du projet.</w:t>
            </w:r>
          </w:p>
        </w:tc>
      </w:tr>
      <w:tr w:rsidR="00B804F2" w:rsidRPr="00EE01B0" w14:paraId="17231002" w14:textId="77777777" w:rsidTr="00EE01B0">
        <w:trPr>
          <w:trHeight w:val="458"/>
        </w:trPr>
        <w:tc>
          <w:tcPr>
            <w:tcW w:w="1838" w:type="dxa"/>
            <w:vMerge/>
          </w:tcPr>
          <w:p w14:paraId="766F2688" w14:textId="77777777" w:rsidR="00B804F2" w:rsidRPr="00147D4F" w:rsidRDefault="00B804F2" w:rsidP="00B804F2">
            <w:pPr>
              <w:rPr>
                <w:b/>
                <w:sz w:val="20"/>
                <w:szCs w:val="20"/>
                <w:lang w:val="fr-FR" w:eastAsia="en-US"/>
              </w:rPr>
            </w:pPr>
          </w:p>
        </w:tc>
        <w:tc>
          <w:tcPr>
            <w:tcW w:w="1985" w:type="dxa"/>
            <w:shd w:val="clear" w:color="auto" w:fill="EEECE1"/>
          </w:tcPr>
          <w:p w14:paraId="21263036" w14:textId="77777777" w:rsidR="00B804F2" w:rsidRPr="00147D4F" w:rsidRDefault="00B804F2" w:rsidP="00B804F2">
            <w:pPr>
              <w:jc w:val="both"/>
              <w:rPr>
                <w:sz w:val="20"/>
                <w:szCs w:val="20"/>
                <w:lang w:val="fr-FR" w:eastAsia="en-US"/>
              </w:rPr>
            </w:pPr>
            <w:r w:rsidRPr="00147D4F">
              <w:rPr>
                <w:sz w:val="20"/>
                <w:szCs w:val="20"/>
                <w:lang w:val="fr-FR" w:eastAsia="en-US"/>
              </w:rPr>
              <w:t>Indicateur 3.3.2</w:t>
            </w:r>
          </w:p>
          <w:p w14:paraId="51145B50" w14:textId="77777777" w:rsidR="00B804F2" w:rsidRPr="00147D4F" w:rsidRDefault="00B804F2" w:rsidP="00B804F2">
            <w:pPr>
              <w:jc w:val="both"/>
              <w:rPr>
                <w:sz w:val="20"/>
                <w:szCs w:val="20"/>
                <w:lang w:val="fr-FR" w:eastAsia="en-US"/>
              </w:rPr>
            </w:pPr>
            <w:r w:rsidRPr="00147D4F">
              <w:rPr>
                <w:sz w:val="20"/>
                <w:szCs w:val="20"/>
                <w:lang w:val="fr-FR" w:eastAsia="en-US"/>
              </w:rPr>
              <w:t>Un cadre règlementaire pour la sauvegarde et l’utilisation des données collectées élaboré et validé par les parties prenantes du processus</w:t>
            </w:r>
          </w:p>
        </w:tc>
        <w:tc>
          <w:tcPr>
            <w:tcW w:w="1307" w:type="dxa"/>
            <w:shd w:val="clear" w:color="auto" w:fill="EEECE1"/>
          </w:tcPr>
          <w:p w14:paraId="14FFE1C9" w14:textId="77777777" w:rsidR="00B804F2" w:rsidRPr="00147D4F" w:rsidRDefault="00B804F2" w:rsidP="00B804F2">
            <w:pPr>
              <w:rPr>
                <w:sz w:val="20"/>
                <w:szCs w:val="20"/>
                <w:lang w:val="fr-FR"/>
              </w:rPr>
            </w:pPr>
            <w:r w:rsidRPr="00147D4F">
              <w:rPr>
                <w:b/>
                <w:sz w:val="20"/>
                <w:szCs w:val="20"/>
                <w:lang w:val="fr-FR" w:eastAsia="en-US"/>
              </w:rPr>
              <w:t>0</w:t>
            </w:r>
          </w:p>
        </w:tc>
        <w:tc>
          <w:tcPr>
            <w:tcW w:w="1620" w:type="dxa"/>
            <w:shd w:val="clear" w:color="auto" w:fill="EEECE1"/>
          </w:tcPr>
          <w:p w14:paraId="378587B4" w14:textId="77777777" w:rsidR="00B804F2" w:rsidRPr="00147D4F" w:rsidRDefault="00B804F2" w:rsidP="00B804F2">
            <w:pPr>
              <w:rPr>
                <w:sz w:val="20"/>
                <w:szCs w:val="20"/>
                <w:lang w:val="fr-FR"/>
              </w:rPr>
            </w:pPr>
            <w:r w:rsidRPr="00147D4F">
              <w:rPr>
                <w:sz w:val="20"/>
                <w:szCs w:val="20"/>
                <w:lang w:val="fr-FR" w:eastAsia="en-US"/>
              </w:rPr>
              <w:t>1</w:t>
            </w:r>
          </w:p>
        </w:tc>
        <w:tc>
          <w:tcPr>
            <w:tcW w:w="2070" w:type="dxa"/>
          </w:tcPr>
          <w:p w14:paraId="18B3DA43" w14:textId="64622F64" w:rsidR="00B804F2" w:rsidRPr="00147D4F" w:rsidRDefault="008A1A63" w:rsidP="00B804F2">
            <w:pPr>
              <w:rPr>
                <w:sz w:val="20"/>
                <w:szCs w:val="20"/>
                <w:lang w:val="fr-FR"/>
              </w:rPr>
            </w:pPr>
            <w:r>
              <w:rPr>
                <w:sz w:val="20"/>
                <w:szCs w:val="20"/>
                <w:lang w:val="fr-FR" w:eastAsia="en-US"/>
              </w:rPr>
              <w:t>0</w:t>
            </w:r>
          </w:p>
        </w:tc>
        <w:tc>
          <w:tcPr>
            <w:tcW w:w="2941" w:type="dxa"/>
          </w:tcPr>
          <w:p w14:paraId="46C8F5F6" w14:textId="77777777" w:rsidR="00B804F2" w:rsidRPr="00147D4F" w:rsidRDefault="00B804F2" w:rsidP="00B804F2">
            <w:pPr>
              <w:rPr>
                <w:sz w:val="20"/>
                <w:szCs w:val="20"/>
                <w:lang w:val="fr-FR"/>
              </w:rPr>
            </w:pPr>
            <w:r w:rsidRPr="00147D4F">
              <w:rPr>
                <w:b/>
                <w:sz w:val="20"/>
                <w:szCs w:val="20"/>
                <w:lang w:val="fr-FR" w:eastAsia="en-US"/>
              </w:rPr>
              <w:t>0</w:t>
            </w:r>
          </w:p>
        </w:tc>
        <w:tc>
          <w:tcPr>
            <w:tcW w:w="3269" w:type="dxa"/>
          </w:tcPr>
          <w:p w14:paraId="2690ABFF" w14:textId="0350646C" w:rsidR="00DC5E33" w:rsidRPr="00147D4F" w:rsidRDefault="008909E8" w:rsidP="008909E8">
            <w:pPr>
              <w:jc w:val="both"/>
              <w:rPr>
                <w:sz w:val="20"/>
                <w:szCs w:val="20"/>
                <w:lang w:val="fr-FR"/>
              </w:rPr>
            </w:pPr>
            <w:r w:rsidRPr="00400EC5">
              <w:rPr>
                <w:bCs/>
                <w:sz w:val="20"/>
                <w:szCs w:val="20"/>
                <w:lang w:val="fr-FR" w:eastAsia="en-US"/>
              </w:rPr>
              <w:t>La CVJRR est opérationnelle seulement depuis le 2 Juillet 2021, date de la prestation de serment des Commissaires. L’appui institutionnel à la CVJRR commence seulement maintenant</w:t>
            </w:r>
            <w:r>
              <w:rPr>
                <w:bCs/>
                <w:sz w:val="20"/>
                <w:szCs w:val="20"/>
                <w:lang w:val="fr-FR" w:eastAsia="en-US"/>
              </w:rPr>
              <w:t xml:space="preserve"> ; un état des lieux sera réalisé prochainement afin de définir la stratégie et les documents afférents pour la collecte et la sauvegarde des données. </w:t>
            </w:r>
          </w:p>
        </w:tc>
      </w:tr>
      <w:tr w:rsidR="00B804F2" w:rsidRPr="0012006C" w14:paraId="56548B72" w14:textId="77777777" w:rsidTr="00EE01B0">
        <w:trPr>
          <w:trHeight w:val="458"/>
        </w:trPr>
        <w:tc>
          <w:tcPr>
            <w:tcW w:w="1838" w:type="dxa"/>
            <w:vMerge w:val="restart"/>
          </w:tcPr>
          <w:p w14:paraId="3729E34F" w14:textId="77777777" w:rsidR="00B804F2" w:rsidRPr="00147D4F" w:rsidRDefault="00B804F2" w:rsidP="008909E8">
            <w:pPr>
              <w:jc w:val="both"/>
              <w:rPr>
                <w:b/>
                <w:sz w:val="20"/>
                <w:szCs w:val="20"/>
                <w:lang w:val="fr-FR" w:eastAsia="en-US"/>
              </w:rPr>
            </w:pPr>
            <w:r w:rsidRPr="00147D4F">
              <w:rPr>
                <w:b/>
                <w:sz w:val="20"/>
                <w:szCs w:val="20"/>
                <w:lang w:val="fr-FR" w:eastAsia="en-US"/>
              </w:rPr>
              <w:t>Résultat 4</w:t>
            </w:r>
          </w:p>
          <w:p w14:paraId="5D022B95" w14:textId="4D390C3E" w:rsidR="00B804F2" w:rsidRPr="00147D4F" w:rsidRDefault="00B804F2" w:rsidP="008909E8">
            <w:pPr>
              <w:jc w:val="both"/>
              <w:rPr>
                <w:b/>
                <w:sz w:val="20"/>
                <w:szCs w:val="20"/>
                <w:lang w:val="fr-FR" w:eastAsia="en-US"/>
              </w:rPr>
            </w:pPr>
            <w:r w:rsidRPr="00147D4F">
              <w:rPr>
                <w:sz w:val="20"/>
                <w:szCs w:val="20"/>
                <w:lang w:val="fr-FR"/>
              </w:rPr>
              <w:t xml:space="preserve">Institutions de la justice transitionnelle ont les capacités techniques et opérationnelles pour assurer l'accès des femmes à la justice et à la vérité, et les organisations de la </w:t>
            </w:r>
            <w:r w:rsidR="00D735FE" w:rsidRPr="00147D4F">
              <w:rPr>
                <w:sz w:val="20"/>
                <w:szCs w:val="20"/>
                <w:lang w:val="fr-FR"/>
              </w:rPr>
              <w:t>Société Civile</w:t>
            </w:r>
            <w:r w:rsidRPr="00147D4F">
              <w:rPr>
                <w:sz w:val="20"/>
                <w:szCs w:val="20"/>
                <w:lang w:val="fr-FR"/>
              </w:rPr>
              <w:t xml:space="preserve"> ont les capacités </w:t>
            </w:r>
            <w:r w:rsidR="008F684C" w:rsidRPr="00147D4F">
              <w:rPr>
                <w:sz w:val="20"/>
                <w:szCs w:val="20"/>
                <w:lang w:val="fr-FR"/>
              </w:rPr>
              <w:t>requises</w:t>
            </w:r>
            <w:r w:rsidRPr="00147D4F">
              <w:rPr>
                <w:sz w:val="20"/>
                <w:szCs w:val="20"/>
                <w:lang w:val="fr-FR"/>
              </w:rPr>
              <w:t xml:space="preserve"> pour fournir un appui psycho social aux victimes</w:t>
            </w:r>
          </w:p>
        </w:tc>
        <w:tc>
          <w:tcPr>
            <w:tcW w:w="1985" w:type="dxa"/>
            <w:shd w:val="clear" w:color="auto" w:fill="EEECE1"/>
          </w:tcPr>
          <w:p w14:paraId="374EE3D2" w14:textId="77777777" w:rsidR="00B804F2" w:rsidRPr="00147D4F" w:rsidRDefault="00B804F2" w:rsidP="008909E8">
            <w:pPr>
              <w:jc w:val="both"/>
              <w:rPr>
                <w:sz w:val="20"/>
                <w:szCs w:val="20"/>
                <w:lang w:val="fr-FR" w:eastAsia="en-US"/>
              </w:rPr>
            </w:pPr>
            <w:r w:rsidRPr="00147D4F">
              <w:rPr>
                <w:sz w:val="20"/>
                <w:szCs w:val="20"/>
                <w:lang w:val="fr-FR" w:eastAsia="en-US"/>
              </w:rPr>
              <w:t>Indicateur 4.1</w:t>
            </w:r>
          </w:p>
          <w:p w14:paraId="6886D052" w14:textId="77777777" w:rsidR="00B804F2" w:rsidRPr="00147D4F" w:rsidRDefault="00B804F2" w:rsidP="008909E8">
            <w:pPr>
              <w:jc w:val="both"/>
              <w:rPr>
                <w:sz w:val="20"/>
                <w:szCs w:val="20"/>
                <w:lang w:val="fr-FR" w:eastAsia="en-US"/>
              </w:rPr>
            </w:pPr>
            <w:r w:rsidRPr="00147D4F">
              <w:rPr>
                <w:sz w:val="20"/>
                <w:szCs w:val="20"/>
                <w:lang w:val="fr-FR" w:eastAsia="en-US"/>
              </w:rPr>
              <w:t>% des femmes dans l’architecture de justice, justice transitionnelle et la CVJRR</w:t>
            </w:r>
          </w:p>
        </w:tc>
        <w:tc>
          <w:tcPr>
            <w:tcW w:w="1307" w:type="dxa"/>
            <w:shd w:val="clear" w:color="auto" w:fill="EEECE1"/>
          </w:tcPr>
          <w:p w14:paraId="16F2BC3F" w14:textId="7E8A500E" w:rsidR="00B804F2" w:rsidRPr="00147D4F" w:rsidRDefault="00B804F2" w:rsidP="008909E8">
            <w:pPr>
              <w:jc w:val="both"/>
              <w:rPr>
                <w:sz w:val="20"/>
                <w:szCs w:val="20"/>
                <w:lang w:val="fr-FR"/>
              </w:rPr>
            </w:pPr>
            <w:r w:rsidRPr="00147D4F">
              <w:rPr>
                <w:sz w:val="20"/>
                <w:szCs w:val="20"/>
                <w:lang w:val="fr-FR" w:eastAsia="en-US"/>
              </w:rPr>
              <w:t xml:space="preserve">A </w:t>
            </w:r>
            <w:r w:rsidR="008F684C" w:rsidRPr="00147D4F">
              <w:rPr>
                <w:sz w:val="20"/>
                <w:szCs w:val="20"/>
                <w:lang w:val="fr-FR" w:eastAsia="en-US"/>
              </w:rPr>
              <w:t>déterminer</w:t>
            </w:r>
          </w:p>
        </w:tc>
        <w:tc>
          <w:tcPr>
            <w:tcW w:w="1620" w:type="dxa"/>
            <w:shd w:val="clear" w:color="auto" w:fill="EEECE1"/>
          </w:tcPr>
          <w:p w14:paraId="792C8A49" w14:textId="77777777" w:rsidR="00B804F2" w:rsidRPr="00147D4F" w:rsidRDefault="00B804F2" w:rsidP="008909E8">
            <w:pPr>
              <w:jc w:val="both"/>
              <w:rPr>
                <w:sz w:val="20"/>
                <w:szCs w:val="20"/>
                <w:lang w:val="fr-FR"/>
              </w:rPr>
            </w:pPr>
            <w:r w:rsidRPr="00147D4F">
              <w:rPr>
                <w:sz w:val="20"/>
                <w:szCs w:val="20"/>
                <w:lang w:val="fr-FR" w:eastAsia="en-US"/>
              </w:rPr>
              <w:t>+30%</w:t>
            </w:r>
          </w:p>
        </w:tc>
        <w:tc>
          <w:tcPr>
            <w:tcW w:w="2070" w:type="dxa"/>
          </w:tcPr>
          <w:p w14:paraId="3CC204B6" w14:textId="14F81A5E" w:rsidR="00B804F2" w:rsidRPr="00147D4F" w:rsidRDefault="002C20BE" w:rsidP="008909E8">
            <w:pPr>
              <w:jc w:val="both"/>
              <w:rPr>
                <w:sz w:val="20"/>
                <w:szCs w:val="20"/>
                <w:lang w:val="fr-FR"/>
              </w:rPr>
            </w:pPr>
            <w:r w:rsidRPr="00147D4F">
              <w:rPr>
                <w:sz w:val="20"/>
                <w:szCs w:val="20"/>
                <w:lang w:val="fr-FR" w:eastAsia="en-US"/>
              </w:rPr>
              <w:t>4 sur 11 Femmes Commissaires nommées</w:t>
            </w:r>
          </w:p>
        </w:tc>
        <w:tc>
          <w:tcPr>
            <w:tcW w:w="2941" w:type="dxa"/>
          </w:tcPr>
          <w:p w14:paraId="7A3B8D0F" w14:textId="69924D95" w:rsidR="00B804F2" w:rsidRPr="000F3082" w:rsidRDefault="002F7D2C" w:rsidP="008909E8">
            <w:pPr>
              <w:tabs>
                <w:tab w:val="left" w:pos="990"/>
              </w:tabs>
              <w:jc w:val="both"/>
              <w:rPr>
                <w:sz w:val="20"/>
                <w:szCs w:val="20"/>
                <w:lang w:val="fr-FR"/>
              </w:rPr>
            </w:pPr>
            <w:r w:rsidRPr="000F3082">
              <w:rPr>
                <w:sz w:val="20"/>
                <w:szCs w:val="20"/>
                <w:lang w:val="fr-FR" w:eastAsia="en-US"/>
              </w:rPr>
              <w:t>45,45%</w:t>
            </w:r>
          </w:p>
        </w:tc>
        <w:tc>
          <w:tcPr>
            <w:tcW w:w="3269" w:type="dxa"/>
          </w:tcPr>
          <w:p w14:paraId="599F7B93" w14:textId="1A151E3C" w:rsidR="00B804F2" w:rsidRPr="000F3082" w:rsidRDefault="00B804F2" w:rsidP="008909E8">
            <w:pPr>
              <w:jc w:val="both"/>
              <w:rPr>
                <w:sz w:val="20"/>
                <w:szCs w:val="20"/>
                <w:lang w:val="fr-FR"/>
              </w:rPr>
            </w:pPr>
          </w:p>
        </w:tc>
      </w:tr>
      <w:tr w:rsidR="00B804F2" w:rsidRPr="00EE01B0" w14:paraId="4178BC9D" w14:textId="77777777" w:rsidTr="00EE01B0">
        <w:trPr>
          <w:trHeight w:val="458"/>
        </w:trPr>
        <w:tc>
          <w:tcPr>
            <w:tcW w:w="1838" w:type="dxa"/>
            <w:vMerge/>
          </w:tcPr>
          <w:p w14:paraId="0476747A" w14:textId="77777777" w:rsidR="00B804F2" w:rsidRPr="00147D4F" w:rsidRDefault="00B804F2" w:rsidP="00B804F2">
            <w:pPr>
              <w:rPr>
                <w:sz w:val="20"/>
                <w:szCs w:val="20"/>
                <w:lang w:val="fr-FR" w:eastAsia="en-US"/>
              </w:rPr>
            </w:pPr>
          </w:p>
        </w:tc>
        <w:tc>
          <w:tcPr>
            <w:tcW w:w="1985" w:type="dxa"/>
            <w:shd w:val="clear" w:color="auto" w:fill="EEECE1"/>
          </w:tcPr>
          <w:p w14:paraId="4F5F1A8D" w14:textId="77777777" w:rsidR="00B804F2" w:rsidRPr="00147D4F" w:rsidRDefault="00B804F2" w:rsidP="00B804F2">
            <w:pPr>
              <w:jc w:val="both"/>
              <w:rPr>
                <w:sz w:val="20"/>
                <w:szCs w:val="20"/>
                <w:lang w:val="fr-FR" w:eastAsia="en-US"/>
              </w:rPr>
            </w:pPr>
            <w:r w:rsidRPr="00147D4F">
              <w:rPr>
                <w:sz w:val="20"/>
                <w:szCs w:val="20"/>
                <w:lang w:val="fr-FR" w:eastAsia="en-US"/>
              </w:rPr>
              <w:t>Indicateur 4.2</w:t>
            </w:r>
          </w:p>
          <w:p w14:paraId="0E8A6FD6" w14:textId="77777777" w:rsidR="00B804F2" w:rsidRPr="00147D4F" w:rsidRDefault="00B804F2" w:rsidP="00B804F2">
            <w:pPr>
              <w:jc w:val="both"/>
              <w:rPr>
                <w:sz w:val="20"/>
                <w:szCs w:val="20"/>
                <w:lang w:val="fr-FR" w:eastAsia="en-US"/>
              </w:rPr>
            </w:pPr>
            <w:r w:rsidRPr="00147D4F">
              <w:rPr>
                <w:sz w:val="20"/>
                <w:szCs w:val="20"/>
                <w:lang w:val="fr-FR" w:eastAsia="en-US"/>
              </w:rPr>
              <w:t>Confiance des femmes dans la justice formelle et la justice transitionnelle.</w:t>
            </w:r>
          </w:p>
        </w:tc>
        <w:tc>
          <w:tcPr>
            <w:tcW w:w="1307" w:type="dxa"/>
            <w:shd w:val="clear" w:color="auto" w:fill="EEECE1"/>
          </w:tcPr>
          <w:p w14:paraId="6FF12BB2" w14:textId="77777777" w:rsidR="00B804F2" w:rsidRPr="00147D4F" w:rsidRDefault="00B804F2" w:rsidP="00B804F2">
            <w:pPr>
              <w:rPr>
                <w:sz w:val="20"/>
                <w:szCs w:val="20"/>
                <w:lang w:val="fr-FR"/>
              </w:rPr>
            </w:pPr>
            <w:r w:rsidRPr="00147D4F">
              <w:rPr>
                <w:sz w:val="20"/>
                <w:szCs w:val="20"/>
                <w:lang w:val="fr-FR" w:eastAsia="en-US"/>
              </w:rPr>
              <w:t>42 %</w:t>
            </w:r>
          </w:p>
        </w:tc>
        <w:tc>
          <w:tcPr>
            <w:tcW w:w="1620" w:type="dxa"/>
            <w:shd w:val="clear" w:color="auto" w:fill="EEECE1"/>
          </w:tcPr>
          <w:p w14:paraId="12264C65" w14:textId="77777777" w:rsidR="00B804F2" w:rsidRPr="00147D4F" w:rsidRDefault="00913CF7" w:rsidP="00476496">
            <w:pPr>
              <w:rPr>
                <w:sz w:val="20"/>
                <w:szCs w:val="20"/>
                <w:lang w:val="fr-FR"/>
              </w:rPr>
            </w:pPr>
            <w:r w:rsidRPr="00147D4F">
              <w:rPr>
                <w:sz w:val="20"/>
                <w:szCs w:val="20"/>
                <w:lang w:val="fr-FR" w:eastAsia="en-US"/>
              </w:rPr>
              <w:t>5</w:t>
            </w:r>
            <w:r w:rsidR="00B804F2" w:rsidRPr="00147D4F">
              <w:rPr>
                <w:sz w:val="20"/>
                <w:szCs w:val="20"/>
                <w:lang w:val="fr-FR" w:eastAsia="en-US"/>
              </w:rPr>
              <w:t>0 %</w:t>
            </w:r>
            <w:r w:rsidRPr="00147D4F">
              <w:rPr>
                <w:sz w:val="20"/>
                <w:szCs w:val="20"/>
                <w:lang w:val="fr-FR" w:eastAsia="en-US"/>
              </w:rPr>
              <w:t xml:space="preserve"> </w:t>
            </w:r>
            <w:r w:rsidRPr="00147D4F">
              <w:rPr>
                <w:sz w:val="20"/>
                <w:szCs w:val="20"/>
                <w:lang w:val="fr-FR"/>
              </w:rPr>
              <w:t xml:space="preserve">(cf. </w:t>
            </w:r>
            <w:r w:rsidRPr="00147D4F">
              <w:rPr>
                <w:sz w:val="20"/>
                <w:szCs w:val="20"/>
                <w:lang w:val="fr-FR" w:eastAsia="en-US"/>
              </w:rPr>
              <w:t>Indicateur 1.1)</w:t>
            </w:r>
          </w:p>
        </w:tc>
        <w:tc>
          <w:tcPr>
            <w:tcW w:w="2070" w:type="dxa"/>
          </w:tcPr>
          <w:p w14:paraId="507DA927" w14:textId="16DD190A" w:rsidR="00B804F2" w:rsidRPr="00147D4F" w:rsidRDefault="002C20BE" w:rsidP="00A621D3">
            <w:pPr>
              <w:jc w:val="both"/>
              <w:rPr>
                <w:sz w:val="20"/>
                <w:szCs w:val="20"/>
                <w:lang w:val="fr-FR"/>
              </w:rPr>
            </w:pPr>
            <w:r w:rsidRPr="00147D4F">
              <w:rPr>
                <w:sz w:val="20"/>
                <w:szCs w:val="20"/>
                <w:lang w:val="fr-FR"/>
              </w:rPr>
              <w:t>41</w:t>
            </w:r>
            <w:r w:rsidR="00913CF7" w:rsidRPr="00147D4F">
              <w:rPr>
                <w:sz w:val="20"/>
                <w:szCs w:val="20"/>
                <w:lang w:val="fr-FR"/>
              </w:rPr>
              <w:t xml:space="preserve">% </w:t>
            </w:r>
          </w:p>
        </w:tc>
        <w:tc>
          <w:tcPr>
            <w:tcW w:w="2941" w:type="dxa"/>
          </w:tcPr>
          <w:p w14:paraId="7FCF2C22" w14:textId="29AC4B3F" w:rsidR="00B804F2" w:rsidRPr="00147D4F" w:rsidRDefault="002C20BE" w:rsidP="009E56EF">
            <w:pPr>
              <w:jc w:val="both"/>
              <w:rPr>
                <w:sz w:val="20"/>
                <w:szCs w:val="20"/>
                <w:lang w:val="fr-FR"/>
              </w:rPr>
            </w:pPr>
            <w:r w:rsidRPr="00147D4F">
              <w:rPr>
                <w:sz w:val="20"/>
                <w:szCs w:val="20"/>
                <w:lang w:val="fr-FR" w:eastAsia="en-US"/>
              </w:rPr>
              <w:t>41</w:t>
            </w:r>
            <w:r w:rsidR="00476496" w:rsidRPr="00147D4F">
              <w:rPr>
                <w:sz w:val="20"/>
                <w:szCs w:val="20"/>
                <w:lang w:val="fr-FR" w:eastAsia="en-US"/>
              </w:rPr>
              <w:t>%</w:t>
            </w:r>
            <w:r w:rsidRPr="00147D4F">
              <w:rPr>
                <w:sz w:val="20"/>
                <w:szCs w:val="20"/>
                <w:lang w:val="fr-FR" w:eastAsia="en-US"/>
              </w:rPr>
              <w:t xml:space="preserve"> </w:t>
            </w:r>
            <w:r w:rsidR="009E56EF">
              <w:rPr>
                <w:sz w:val="20"/>
                <w:szCs w:val="20"/>
                <w:lang w:val="fr-FR" w:eastAsia="en-US"/>
              </w:rPr>
              <w:t xml:space="preserve">de femmes ont confiance </w:t>
            </w:r>
            <w:r w:rsidRPr="00147D4F">
              <w:rPr>
                <w:sz w:val="20"/>
                <w:szCs w:val="20"/>
                <w:lang w:val="fr-FR" w:eastAsia="en-US"/>
              </w:rPr>
              <w:t>dans la justice formelle</w:t>
            </w:r>
          </w:p>
        </w:tc>
        <w:tc>
          <w:tcPr>
            <w:tcW w:w="3269" w:type="dxa"/>
          </w:tcPr>
          <w:p w14:paraId="49DD14EE" w14:textId="52EFBE61" w:rsidR="00B804F2" w:rsidRPr="00147D4F" w:rsidRDefault="00B804F2" w:rsidP="00636E71">
            <w:pPr>
              <w:jc w:val="both"/>
              <w:rPr>
                <w:strike/>
                <w:sz w:val="20"/>
                <w:szCs w:val="20"/>
                <w:lang w:val="fr-FR"/>
              </w:rPr>
            </w:pPr>
          </w:p>
        </w:tc>
      </w:tr>
      <w:tr w:rsidR="000F3082" w:rsidRPr="00EE01B0" w14:paraId="7D24401B" w14:textId="77777777" w:rsidTr="00EE01B0">
        <w:trPr>
          <w:trHeight w:val="458"/>
        </w:trPr>
        <w:tc>
          <w:tcPr>
            <w:tcW w:w="1838" w:type="dxa"/>
            <w:vMerge/>
          </w:tcPr>
          <w:p w14:paraId="4FE897D2" w14:textId="77777777" w:rsidR="000F3082" w:rsidRPr="00147D4F" w:rsidRDefault="000F3082" w:rsidP="000F3082">
            <w:pPr>
              <w:rPr>
                <w:sz w:val="20"/>
                <w:szCs w:val="20"/>
                <w:lang w:val="fr-FR" w:eastAsia="en-US"/>
              </w:rPr>
            </w:pPr>
          </w:p>
        </w:tc>
        <w:tc>
          <w:tcPr>
            <w:tcW w:w="1985" w:type="dxa"/>
            <w:shd w:val="clear" w:color="auto" w:fill="EEECE1"/>
          </w:tcPr>
          <w:p w14:paraId="29152364" w14:textId="77777777" w:rsidR="000F3082" w:rsidRPr="00147D4F" w:rsidRDefault="000F3082" w:rsidP="000F3082">
            <w:pPr>
              <w:jc w:val="both"/>
              <w:rPr>
                <w:sz w:val="20"/>
                <w:szCs w:val="20"/>
                <w:lang w:val="fr-FR" w:eastAsia="en-US"/>
              </w:rPr>
            </w:pPr>
            <w:r w:rsidRPr="00147D4F">
              <w:rPr>
                <w:sz w:val="20"/>
                <w:szCs w:val="20"/>
                <w:lang w:val="fr-FR" w:eastAsia="en-US"/>
              </w:rPr>
              <w:t>Indicateur 4.3</w:t>
            </w:r>
          </w:p>
          <w:p w14:paraId="2AFB6D79" w14:textId="77777777" w:rsidR="000F3082" w:rsidRPr="00147D4F" w:rsidRDefault="000F3082" w:rsidP="000F3082">
            <w:pPr>
              <w:jc w:val="both"/>
              <w:rPr>
                <w:sz w:val="20"/>
                <w:szCs w:val="20"/>
                <w:lang w:val="fr-FR" w:eastAsia="en-US"/>
              </w:rPr>
            </w:pPr>
            <w:r w:rsidRPr="00147D4F">
              <w:rPr>
                <w:sz w:val="20"/>
                <w:szCs w:val="20"/>
                <w:lang w:val="fr-FR"/>
              </w:rPr>
              <w:t>C</w:t>
            </w:r>
            <w:r w:rsidRPr="00147D4F">
              <w:rPr>
                <w:sz w:val="20"/>
                <w:szCs w:val="20"/>
                <w:lang w:val="fr-FR" w:eastAsia="en-US"/>
              </w:rPr>
              <w:t xml:space="preserve">onnaissance des facteurs de </w:t>
            </w:r>
            <w:r w:rsidRPr="00147D4F">
              <w:rPr>
                <w:sz w:val="20"/>
                <w:szCs w:val="20"/>
                <w:lang w:val="fr-FR"/>
              </w:rPr>
              <w:t xml:space="preserve">blocage </w:t>
            </w:r>
            <w:r w:rsidRPr="00147D4F">
              <w:rPr>
                <w:sz w:val="20"/>
                <w:szCs w:val="20"/>
                <w:lang w:val="fr-FR" w:eastAsia="en-US"/>
              </w:rPr>
              <w:t>et options de remédier aux obstacles de l’accès des femmes à la justice</w:t>
            </w:r>
          </w:p>
        </w:tc>
        <w:tc>
          <w:tcPr>
            <w:tcW w:w="1307" w:type="dxa"/>
            <w:shd w:val="clear" w:color="auto" w:fill="EEECE1"/>
          </w:tcPr>
          <w:p w14:paraId="0AA39300" w14:textId="77777777" w:rsidR="000F3082" w:rsidRPr="00147D4F" w:rsidRDefault="000F3082" w:rsidP="000F3082">
            <w:pPr>
              <w:rPr>
                <w:b/>
                <w:sz w:val="20"/>
                <w:szCs w:val="20"/>
                <w:lang w:val="fr-FR" w:eastAsia="en-US"/>
              </w:rPr>
            </w:pPr>
            <w:r w:rsidRPr="00147D4F">
              <w:rPr>
                <w:sz w:val="20"/>
                <w:szCs w:val="20"/>
              </w:rPr>
              <w:t>Non</w:t>
            </w:r>
          </w:p>
        </w:tc>
        <w:tc>
          <w:tcPr>
            <w:tcW w:w="1620" w:type="dxa"/>
            <w:shd w:val="clear" w:color="auto" w:fill="EEECE1"/>
          </w:tcPr>
          <w:p w14:paraId="404B2AE3" w14:textId="77777777" w:rsidR="000F3082" w:rsidRPr="00147D4F" w:rsidRDefault="000F3082" w:rsidP="000F3082">
            <w:pPr>
              <w:rPr>
                <w:b/>
                <w:sz w:val="20"/>
                <w:szCs w:val="20"/>
                <w:lang w:val="fr-FR" w:eastAsia="en-US"/>
              </w:rPr>
            </w:pPr>
            <w:proofErr w:type="spellStart"/>
            <w:r w:rsidRPr="00147D4F">
              <w:rPr>
                <w:sz w:val="20"/>
                <w:szCs w:val="20"/>
              </w:rPr>
              <w:t>Oui</w:t>
            </w:r>
            <w:proofErr w:type="spellEnd"/>
          </w:p>
        </w:tc>
        <w:tc>
          <w:tcPr>
            <w:tcW w:w="2070" w:type="dxa"/>
          </w:tcPr>
          <w:p w14:paraId="1EB90FAC" w14:textId="5267766A" w:rsidR="000F3082" w:rsidRPr="00147D4F" w:rsidRDefault="000F3082" w:rsidP="000F3082">
            <w:pPr>
              <w:rPr>
                <w:sz w:val="20"/>
                <w:szCs w:val="20"/>
                <w:lang w:val="fr-FR" w:eastAsia="en-US"/>
              </w:rPr>
            </w:pPr>
            <w:r w:rsidRPr="00147D4F">
              <w:rPr>
                <w:sz w:val="20"/>
                <w:szCs w:val="20"/>
                <w:lang w:val="fr-FR" w:eastAsia="en-US"/>
              </w:rPr>
              <w:t>Non</w:t>
            </w:r>
          </w:p>
        </w:tc>
        <w:tc>
          <w:tcPr>
            <w:tcW w:w="2941" w:type="dxa"/>
          </w:tcPr>
          <w:p w14:paraId="3C9AFEB8" w14:textId="3735AA4E" w:rsidR="000F3082" w:rsidRPr="009E56EF" w:rsidRDefault="00B237DA" w:rsidP="000F3082">
            <w:pPr>
              <w:rPr>
                <w:b/>
                <w:sz w:val="20"/>
                <w:szCs w:val="20"/>
                <w:highlight w:val="cyan"/>
                <w:lang w:val="fr-FR" w:eastAsia="en-US"/>
              </w:rPr>
            </w:pPr>
            <w:r>
              <w:rPr>
                <w:b/>
                <w:sz w:val="20"/>
                <w:szCs w:val="20"/>
                <w:lang w:val="fr-FR" w:eastAsia="en-US"/>
              </w:rPr>
              <w:t>Non</w:t>
            </w:r>
          </w:p>
        </w:tc>
        <w:tc>
          <w:tcPr>
            <w:tcW w:w="3269" w:type="dxa"/>
          </w:tcPr>
          <w:p w14:paraId="212AAC64" w14:textId="64AE1110" w:rsidR="000F3082" w:rsidRPr="009E56EF" w:rsidRDefault="00FA547E" w:rsidP="000F3082">
            <w:pPr>
              <w:jc w:val="both"/>
              <w:rPr>
                <w:b/>
                <w:sz w:val="20"/>
                <w:szCs w:val="20"/>
                <w:highlight w:val="cyan"/>
                <w:lang w:val="fr-FR" w:eastAsia="en-US"/>
              </w:rPr>
            </w:pPr>
            <w:r>
              <w:rPr>
                <w:sz w:val="20"/>
                <w:szCs w:val="20"/>
                <w:lang w:val="fr-FR" w:eastAsia="en-US"/>
              </w:rPr>
              <w:t>L’étude est encore en cours – elle sera finalisée fin novembre 2021</w:t>
            </w:r>
          </w:p>
        </w:tc>
      </w:tr>
      <w:tr w:rsidR="000F3082" w:rsidRPr="00EE01B0" w14:paraId="37187F07" w14:textId="77777777" w:rsidTr="00EE01B0">
        <w:trPr>
          <w:trHeight w:val="458"/>
        </w:trPr>
        <w:tc>
          <w:tcPr>
            <w:tcW w:w="1838" w:type="dxa"/>
            <w:vMerge w:val="restart"/>
          </w:tcPr>
          <w:p w14:paraId="72BC4C75" w14:textId="77777777" w:rsidR="000F3082" w:rsidRPr="00147D4F" w:rsidRDefault="000F3082" w:rsidP="000F3082">
            <w:pPr>
              <w:jc w:val="both"/>
              <w:rPr>
                <w:sz w:val="20"/>
                <w:szCs w:val="20"/>
                <w:lang w:val="fr-FR" w:eastAsia="en-US"/>
              </w:rPr>
            </w:pPr>
            <w:r w:rsidRPr="00147D4F">
              <w:rPr>
                <w:sz w:val="20"/>
                <w:szCs w:val="20"/>
                <w:lang w:val="fr-FR" w:eastAsia="en-US"/>
              </w:rPr>
              <w:lastRenderedPageBreak/>
              <w:t>Produit 4.1</w:t>
            </w:r>
          </w:p>
          <w:p w14:paraId="3CCE2010" w14:textId="77777777" w:rsidR="000F3082" w:rsidRPr="00147D4F" w:rsidRDefault="000F3082" w:rsidP="000F3082">
            <w:pPr>
              <w:jc w:val="both"/>
              <w:rPr>
                <w:sz w:val="20"/>
                <w:szCs w:val="20"/>
                <w:lang w:val="fr-FR" w:eastAsia="en-US"/>
              </w:rPr>
            </w:pPr>
            <w:r w:rsidRPr="00147D4F">
              <w:rPr>
                <w:sz w:val="20"/>
                <w:szCs w:val="20"/>
                <w:lang w:val="fr-FR"/>
              </w:rPr>
              <w:t>Les institutions du secteur de la justice et la CVJRR ont les capacités pour promouvoir les questions d'égalité de genre et les droits humains des femmes</w:t>
            </w:r>
          </w:p>
        </w:tc>
        <w:tc>
          <w:tcPr>
            <w:tcW w:w="1985" w:type="dxa"/>
            <w:shd w:val="clear" w:color="auto" w:fill="EEECE1"/>
          </w:tcPr>
          <w:p w14:paraId="4AB0CD85" w14:textId="77777777" w:rsidR="000F3082" w:rsidRPr="00147D4F" w:rsidRDefault="000F3082" w:rsidP="000F3082">
            <w:pPr>
              <w:jc w:val="both"/>
              <w:rPr>
                <w:sz w:val="20"/>
                <w:szCs w:val="20"/>
                <w:lang w:val="fr-FR" w:eastAsia="en-US"/>
              </w:rPr>
            </w:pPr>
            <w:r w:rsidRPr="00147D4F">
              <w:rPr>
                <w:sz w:val="20"/>
                <w:szCs w:val="20"/>
                <w:lang w:val="fr-FR" w:eastAsia="en-US"/>
              </w:rPr>
              <w:t>Indicateur 4.1.1</w:t>
            </w:r>
          </w:p>
          <w:p w14:paraId="7BC93AA2" w14:textId="77777777" w:rsidR="000F3082" w:rsidRPr="00147D4F" w:rsidRDefault="000F3082" w:rsidP="000F3082">
            <w:pPr>
              <w:jc w:val="both"/>
              <w:rPr>
                <w:sz w:val="20"/>
                <w:szCs w:val="20"/>
                <w:lang w:val="fr-FR" w:eastAsia="en-US"/>
              </w:rPr>
            </w:pPr>
            <w:r w:rsidRPr="00147D4F">
              <w:rPr>
                <w:sz w:val="20"/>
                <w:szCs w:val="20"/>
                <w:lang w:val="fr-FR" w:eastAsia="en-US"/>
              </w:rPr>
              <w:t>Nombres des acteurs de justice, formées sur la participation des femmes dans les mécanismes de justice, justice transitionnelle, la protection des droits des femmes et la prévention des VBG</w:t>
            </w:r>
          </w:p>
        </w:tc>
        <w:tc>
          <w:tcPr>
            <w:tcW w:w="1307" w:type="dxa"/>
            <w:shd w:val="clear" w:color="auto" w:fill="EEECE1"/>
          </w:tcPr>
          <w:p w14:paraId="71DB5874" w14:textId="77777777" w:rsidR="000F3082" w:rsidRPr="00147D4F" w:rsidRDefault="000F3082" w:rsidP="000F3082">
            <w:pPr>
              <w:jc w:val="both"/>
              <w:rPr>
                <w:sz w:val="20"/>
                <w:szCs w:val="20"/>
                <w:lang w:val="fr-FR"/>
              </w:rPr>
            </w:pPr>
            <w:r w:rsidRPr="00147D4F">
              <w:rPr>
                <w:b/>
                <w:sz w:val="20"/>
                <w:szCs w:val="20"/>
                <w:lang w:val="fr-FR" w:eastAsia="en-US"/>
              </w:rPr>
              <w:t>0</w:t>
            </w:r>
          </w:p>
        </w:tc>
        <w:tc>
          <w:tcPr>
            <w:tcW w:w="1620" w:type="dxa"/>
            <w:shd w:val="clear" w:color="auto" w:fill="EEECE1"/>
          </w:tcPr>
          <w:p w14:paraId="06DD40DF" w14:textId="77777777" w:rsidR="000F3082" w:rsidRPr="00147D4F" w:rsidRDefault="000F3082" w:rsidP="000F3082">
            <w:pPr>
              <w:jc w:val="both"/>
              <w:rPr>
                <w:sz w:val="20"/>
                <w:szCs w:val="20"/>
                <w:lang w:val="fr-FR"/>
              </w:rPr>
            </w:pPr>
            <w:r w:rsidRPr="00147D4F">
              <w:rPr>
                <w:b/>
                <w:sz w:val="20"/>
                <w:szCs w:val="20"/>
                <w:lang w:val="fr-FR" w:eastAsia="en-US"/>
              </w:rPr>
              <w:t>500</w:t>
            </w:r>
          </w:p>
        </w:tc>
        <w:tc>
          <w:tcPr>
            <w:tcW w:w="2070" w:type="dxa"/>
          </w:tcPr>
          <w:p w14:paraId="710E5FAF" w14:textId="08E45BC3" w:rsidR="000F3082" w:rsidRPr="00EF503E" w:rsidRDefault="00EF503E" w:rsidP="000F3082">
            <w:pPr>
              <w:jc w:val="both"/>
              <w:rPr>
                <w:sz w:val="20"/>
                <w:szCs w:val="20"/>
                <w:lang w:val="fr-FR"/>
              </w:rPr>
            </w:pPr>
            <w:r w:rsidRPr="00EF503E">
              <w:rPr>
                <w:sz w:val="20"/>
                <w:szCs w:val="20"/>
                <w:lang w:val="fr-FR" w:eastAsia="en-US"/>
              </w:rPr>
              <w:t>315</w:t>
            </w:r>
          </w:p>
        </w:tc>
        <w:tc>
          <w:tcPr>
            <w:tcW w:w="2941" w:type="dxa"/>
          </w:tcPr>
          <w:p w14:paraId="4F79B103" w14:textId="0072D983" w:rsidR="000F3082" w:rsidRPr="00EF503E" w:rsidRDefault="00EF503E" w:rsidP="000F3082">
            <w:pPr>
              <w:jc w:val="both"/>
              <w:rPr>
                <w:sz w:val="20"/>
                <w:szCs w:val="20"/>
                <w:lang w:val="fr-FR"/>
              </w:rPr>
            </w:pPr>
            <w:r w:rsidRPr="00EF503E">
              <w:rPr>
                <w:sz w:val="20"/>
                <w:szCs w:val="20"/>
                <w:lang w:val="fr-FR"/>
              </w:rPr>
              <w:t>63%</w:t>
            </w:r>
          </w:p>
        </w:tc>
        <w:tc>
          <w:tcPr>
            <w:tcW w:w="3269" w:type="dxa"/>
          </w:tcPr>
          <w:p w14:paraId="0A88A46C" w14:textId="7AF39C06" w:rsidR="000F3082" w:rsidRPr="009E56EF" w:rsidRDefault="000F3082" w:rsidP="000F3082">
            <w:pPr>
              <w:jc w:val="both"/>
              <w:rPr>
                <w:sz w:val="20"/>
                <w:szCs w:val="20"/>
                <w:highlight w:val="cyan"/>
                <w:lang w:val="fr-FR"/>
              </w:rPr>
            </w:pPr>
            <w:r w:rsidRPr="000F3082">
              <w:rPr>
                <w:sz w:val="20"/>
                <w:szCs w:val="20"/>
                <w:lang w:val="fr-FR" w:eastAsia="en-US"/>
              </w:rPr>
              <w:t>Il est prévu un atelier de renforcement des capacités des acteurs sur les mesures de protection ainsi que la diffusion de la stratégie de protection des victimes et des témoins collaborant avec les juridictions ordinaires, la CPS et la CVJRR.</w:t>
            </w:r>
          </w:p>
        </w:tc>
      </w:tr>
      <w:tr w:rsidR="000F3082" w:rsidRPr="00EE01B0" w14:paraId="502C12B3" w14:textId="77777777" w:rsidTr="00EE01B0">
        <w:trPr>
          <w:trHeight w:val="458"/>
        </w:trPr>
        <w:tc>
          <w:tcPr>
            <w:tcW w:w="1838" w:type="dxa"/>
            <w:vMerge/>
          </w:tcPr>
          <w:p w14:paraId="41CE076F" w14:textId="77777777" w:rsidR="000F3082" w:rsidRPr="00147D4F" w:rsidRDefault="000F3082" w:rsidP="000F3082">
            <w:pPr>
              <w:rPr>
                <w:sz w:val="20"/>
                <w:szCs w:val="20"/>
                <w:lang w:val="fr-FR" w:eastAsia="en-US"/>
              </w:rPr>
            </w:pPr>
          </w:p>
        </w:tc>
        <w:tc>
          <w:tcPr>
            <w:tcW w:w="1985" w:type="dxa"/>
            <w:shd w:val="clear" w:color="auto" w:fill="EEECE1"/>
          </w:tcPr>
          <w:p w14:paraId="180009A3" w14:textId="77777777" w:rsidR="000F3082" w:rsidRPr="00147D4F" w:rsidRDefault="000F3082" w:rsidP="000F3082">
            <w:pPr>
              <w:jc w:val="both"/>
              <w:rPr>
                <w:sz w:val="20"/>
                <w:szCs w:val="20"/>
                <w:lang w:val="fr-FR" w:eastAsia="en-US"/>
              </w:rPr>
            </w:pPr>
            <w:r w:rsidRPr="00147D4F">
              <w:rPr>
                <w:sz w:val="20"/>
                <w:szCs w:val="20"/>
                <w:lang w:val="fr-FR" w:eastAsia="en-US"/>
              </w:rPr>
              <w:t>Indicateur 4.1.2</w:t>
            </w:r>
          </w:p>
          <w:p w14:paraId="547E83A9" w14:textId="6EF571DD" w:rsidR="000F3082" w:rsidRPr="00147D4F" w:rsidRDefault="000F3082" w:rsidP="000F3082">
            <w:pPr>
              <w:jc w:val="both"/>
              <w:rPr>
                <w:sz w:val="20"/>
                <w:szCs w:val="20"/>
                <w:lang w:val="fr-FR" w:eastAsia="en-US"/>
              </w:rPr>
            </w:pPr>
            <w:r w:rsidRPr="00147D4F">
              <w:rPr>
                <w:sz w:val="20"/>
                <w:szCs w:val="20"/>
                <w:lang w:val="fr-FR" w:eastAsia="en-US"/>
              </w:rPr>
              <w:t>% de participation des femmes, membres de la CVJRR</w:t>
            </w:r>
          </w:p>
        </w:tc>
        <w:tc>
          <w:tcPr>
            <w:tcW w:w="1307" w:type="dxa"/>
            <w:shd w:val="clear" w:color="auto" w:fill="EEECE1"/>
          </w:tcPr>
          <w:p w14:paraId="148DD53F" w14:textId="77777777" w:rsidR="000F3082" w:rsidRPr="00147D4F" w:rsidRDefault="000F3082" w:rsidP="000F3082">
            <w:pPr>
              <w:rPr>
                <w:sz w:val="20"/>
                <w:szCs w:val="20"/>
                <w:lang w:val="fr-FR"/>
              </w:rPr>
            </w:pPr>
            <w:r w:rsidRPr="00147D4F">
              <w:rPr>
                <w:sz w:val="20"/>
                <w:szCs w:val="20"/>
              </w:rPr>
              <w:t>N/A</w:t>
            </w:r>
          </w:p>
        </w:tc>
        <w:tc>
          <w:tcPr>
            <w:tcW w:w="1620" w:type="dxa"/>
            <w:shd w:val="clear" w:color="auto" w:fill="EEECE1"/>
          </w:tcPr>
          <w:p w14:paraId="203A861D" w14:textId="77777777" w:rsidR="000F3082" w:rsidRPr="00147D4F" w:rsidRDefault="000F3082" w:rsidP="000F3082">
            <w:pPr>
              <w:rPr>
                <w:b/>
                <w:sz w:val="20"/>
                <w:szCs w:val="20"/>
                <w:lang w:val="fr-FR"/>
              </w:rPr>
            </w:pPr>
            <w:r w:rsidRPr="00147D4F">
              <w:rPr>
                <w:b/>
                <w:sz w:val="20"/>
                <w:szCs w:val="20"/>
              </w:rPr>
              <w:t>50%</w:t>
            </w:r>
          </w:p>
        </w:tc>
        <w:tc>
          <w:tcPr>
            <w:tcW w:w="2070" w:type="dxa"/>
          </w:tcPr>
          <w:p w14:paraId="0037D12B" w14:textId="04D17379" w:rsidR="000F3082" w:rsidRPr="00147D4F" w:rsidRDefault="008A1A63" w:rsidP="000F3082">
            <w:pPr>
              <w:rPr>
                <w:b/>
                <w:sz w:val="20"/>
                <w:szCs w:val="20"/>
                <w:lang w:val="fr-FR"/>
              </w:rPr>
            </w:pPr>
            <w:r>
              <w:rPr>
                <w:b/>
                <w:sz w:val="20"/>
                <w:szCs w:val="20"/>
                <w:lang w:val="fr-FR" w:eastAsia="en-US"/>
              </w:rPr>
              <w:t>0</w:t>
            </w:r>
          </w:p>
        </w:tc>
        <w:tc>
          <w:tcPr>
            <w:tcW w:w="2941" w:type="dxa"/>
          </w:tcPr>
          <w:p w14:paraId="78600ECC" w14:textId="12D6B017" w:rsidR="000F3082" w:rsidRPr="00147D4F" w:rsidRDefault="000F3082" w:rsidP="000F3082">
            <w:pPr>
              <w:jc w:val="both"/>
              <w:rPr>
                <w:sz w:val="20"/>
                <w:szCs w:val="20"/>
                <w:lang w:val="fr-FR"/>
              </w:rPr>
            </w:pPr>
            <w:r w:rsidRPr="009E56EF">
              <w:rPr>
                <w:b/>
                <w:bCs/>
                <w:sz w:val="20"/>
                <w:szCs w:val="20"/>
                <w:lang w:val="fr-FR"/>
              </w:rPr>
              <w:t>45,45%</w:t>
            </w:r>
            <w:r>
              <w:rPr>
                <w:sz w:val="20"/>
                <w:szCs w:val="20"/>
                <w:lang w:val="fr-FR"/>
              </w:rPr>
              <w:t xml:space="preserve"> (4 Commissaires sur 11 au total sont des femmes)</w:t>
            </w:r>
          </w:p>
        </w:tc>
        <w:tc>
          <w:tcPr>
            <w:tcW w:w="3269" w:type="dxa"/>
          </w:tcPr>
          <w:p w14:paraId="1824A073" w14:textId="18EC5551" w:rsidR="000F3082" w:rsidRPr="00147D4F" w:rsidRDefault="000F3082" w:rsidP="000F3082">
            <w:pPr>
              <w:jc w:val="both"/>
              <w:rPr>
                <w:sz w:val="20"/>
                <w:szCs w:val="20"/>
                <w:lang w:val="fr-FR"/>
              </w:rPr>
            </w:pPr>
          </w:p>
        </w:tc>
      </w:tr>
      <w:tr w:rsidR="000F3082" w:rsidRPr="00147D4F" w14:paraId="22023DC8" w14:textId="77777777" w:rsidTr="00EE01B0">
        <w:trPr>
          <w:trHeight w:val="458"/>
        </w:trPr>
        <w:tc>
          <w:tcPr>
            <w:tcW w:w="1838" w:type="dxa"/>
            <w:vMerge w:val="restart"/>
          </w:tcPr>
          <w:p w14:paraId="45D63C56" w14:textId="77777777" w:rsidR="000F3082" w:rsidRPr="00147D4F" w:rsidRDefault="000F3082" w:rsidP="000F3082">
            <w:pPr>
              <w:jc w:val="both"/>
              <w:rPr>
                <w:sz w:val="20"/>
                <w:szCs w:val="20"/>
                <w:lang w:val="fr-FR" w:eastAsia="en-US"/>
              </w:rPr>
            </w:pPr>
            <w:r w:rsidRPr="00147D4F">
              <w:rPr>
                <w:sz w:val="20"/>
                <w:szCs w:val="20"/>
                <w:lang w:val="fr-FR" w:eastAsia="en-US"/>
              </w:rPr>
              <w:t>Produit 4.2</w:t>
            </w:r>
          </w:p>
          <w:p w14:paraId="46D58AE1" w14:textId="74BF346E" w:rsidR="000F3082" w:rsidRPr="00147D4F" w:rsidRDefault="000F3082" w:rsidP="000F3082">
            <w:pPr>
              <w:jc w:val="both"/>
              <w:rPr>
                <w:sz w:val="20"/>
                <w:szCs w:val="20"/>
                <w:lang w:val="fr-FR" w:eastAsia="en-US"/>
              </w:rPr>
            </w:pPr>
            <w:r w:rsidRPr="00147D4F">
              <w:rPr>
                <w:sz w:val="20"/>
                <w:szCs w:val="20"/>
                <w:lang w:val="fr-FR"/>
              </w:rPr>
              <w:t xml:space="preserve">Les organisations de la Société Civile et des femmes ont les capacités requises pour fournir un appui psycho social aux femmes et aux victimes  </w:t>
            </w:r>
          </w:p>
        </w:tc>
        <w:tc>
          <w:tcPr>
            <w:tcW w:w="1985" w:type="dxa"/>
            <w:shd w:val="clear" w:color="auto" w:fill="EEECE1"/>
          </w:tcPr>
          <w:p w14:paraId="093DB933" w14:textId="77777777" w:rsidR="000F3082" w:rsidRPr="00147D4F" w:rsidRDefault="000F3082" w:rsidP="000F3082">
            <w:pPr>
              <w:jc w:val="both"/>
              <w:rPr>
                <w:sz w:val="20"/>
                <w:szCs w:val="20"/>
                <w:lang w:val="fr-FR" w:eastAsia="en-US"/>
              </w:rPr>
            </w:pPr>
            <w:r w:rsidRPr="00147D4F">
              <w:rPr>
                <w:sz w:val="20"/>
                <w:szCs w:val="20"/>
                <w:lang w:val="fr-FR" w:eastAsia="en-US"/>
              </w:rPr>
              <w:t>Indicateur 4.2.1</w:t>
            </w:r>
          </w:p>
          <w:p w14:paraId="1FF69CBE" w14:textId="77777777" w:rsidR="000F3082" w:rsidRPr="00147D4F" w:rsidRDefault="000F3082" w:rsidP="000F3082">
            <w:pPr>
              <w:jc w:val="both"/>
              <w:rPr>
                <w:sz w:val="20"/>
                <w:szCs w:val="20"/>
                <w:lang w:val="fr-FR" w:eastAsia="en-US"/>
              </w:rPr>
            </w:pPr>
            <w:r w:rsidRPr="00147D4F">
              <w:rPr>
                <w:sz w:val="20"/>
                <w:szCs w:val="20"/>
                <w:lang w:val="fr-FR" w:eastAsia="en-US"/>
              </w:rPr>
              <w:t>Nombre de victimes ayant reçu un appui psychosocial</w:t>
            </w:r>
          </w:p>
        </w:tc>
        <w:tc>
          <w:tcPr>
            <w:tcW w:w="1307" w:type="dxa"/>
            <w:shd w:val="clear" w:color="auto" w:fill="EEECE1"/>
          </w:tcPr>
          <w:p w14:paraId="52E7D5E0" w14:textId="77777777" w:rsidR="000F3082" w:rsidRPr="00147D4F" w:rsidRDefault="000F3082" w:rsidP="000F3082">
            <w:pPr>
              <w:jc w:val="both"/>
              <w:rPr>
                <w:sz w:val="20"/>
                <w:szCs w:val="20"/>
                <w:lang w:val="fr-FR"/>
              </w:rPr>
            </w:pPr>
            <w:r w:rsidRPr="00147D4F">
              <w:rPr>
                <w:sz w:val="20"/>
                <w:szCs w:val="20"/>
                <w:lang w:val="fr-FR"/>
              </w:rPr>
              <w:t>A déterminer durant phase 1 du projet</w:t>
            </w:r>
          </w:p>
        </w:tc>
        <w:tc>
          <w:tcPr>
            <w:tcW w:w="1620" w:type="dxa"/>
            <w:shd w:val="clear" w:color="auto" w:fill="EEECE1"/>
          </w:tcPr>
          <w:p w14:paraId="2304DCB3" w14:textId="77777777" w:rsidR="000F3082" w:rsidRPr="00147D4F" w:rsidRDefault="000F3082" w:rsidP="000F3082">
            <w:pPr>
              <w:jc w:val="both"/>
              <w:rPr>
                <w:sz w:val="20"/>
                <w:szCs w:val="20"/>
                <w:lang w:val="fr-FR"/>
              </w:rPr>
            </w:pPr>
            <w:r w:rsidRPr="00147D4F">
              <w:rPr>
                <w:sz w:val="20"/>
                <w:szCs w:val="20"/>
              </w:rPr>
              <w:t>1100</w:t>
            </w:r>
          </w:p>
        </w:tc>
        <w:tc>
          <w:tcPr>
            <w:tcW w:w="2070" w:type="dxa"/>
          </w:tcPr>
          <w:p w14:paraId="0C938F34" w14:textId="3D91C29E" w:rsidR="000F3082" w:rsidRPr="00147D4F" w:rsidRDefault="000F3082" w:rsidP="000F3082">
            <w:pPr>
              <w:jc w:val="both"/>
              <w:rPr>
                <w:sz w:val="20"/>
                <w:szCs w:val="20"/>
                <w:lang w:val="fr-FR"/>
              </w:rPr>
            </w:pPr>
            <w:r w:rsidRPr="00147D4F">
              <w:rPr>
                <w:sz w:val="20"/>
                <w:szCs w:val="20"/>
                <w:lang w:val="fr-FR" w:eastAsia="en-US"/>
              </w:rPr>
              <w:t xml:space="preserve">400 </w:t>
            </w:r>
          </w:p>
        </w:tc>
        <w:tc>
          <w:tcPr>
            <w:tcW w:w="2941" w:type="dxa"/>
          </w:tcPr>
          <w:p w14:paraId="13E97F02" w14:textId="775CC826" w:rsidR="000F3082" w:rsidRPr="00147D4F" w:rsidRDefault="00E2618E" w:rsidP="000F3082">
            <w:pPr>
              <w:jc w:val="both"/>
              <w:rPr>
                <w:sz w:val="20"/>
                <w:szCs w:val="20"/>
                <w:lang w:val="fr-FR"/>
              </w:rPr>
            </w:pPr>
            <w:r w:rsidRPr="00801F5D">
              <w:rPr>
                <w:lang w:val="fr-FR"/>
              </w:rPr>
              <w:t>2384</w:t>
            </w:r>
          </w:p>
        </w:tc>
        <w:tc>
          <w:tcPr>
            <w:tcW w:w="3269" w:type="dxa"/>
          </w:tcPr>
          <w:p w14:paraId="7FBA1D48" w14:textId="134850D8" w:rsidR="000F3082" w:rsidRPr="00147D4F" w:rsidRDefault="000F3082" w:rsidP="000F3082">
            <w:pPr>
              <w:jc w:val="both"/>
              <w:rPr>
                <w:sz w:val="20"/>
                <w:szCs w:val="20"/>
                <w:lang w:val="fr-FR"/>
              </w:rPr>
            </w:pPr>
          </w:p>
        </w:tc>
      </w:tr>
      <w:tr w:rsidR="000F3082" w:rsidRPr="00147D4F" w14:paraId="01CA857B" w14:textId="77777777" w:rsidTr="00EE01B0">
        <w:trPr>
          <w:trHeight w:val="458"/>
        </w:trPr>
        <w:tc>
          <w:tcPr>
            <w:tcW w:w="1838" w:type="dxa"/>
            <w:vMerge/>
          </w:tcPr>
          <w:p w14:paraId="4B08E76A" w14:textId="77777777" w:rsidR="000F3082" w:rsidRPr="00147D4F" w:rsidRDefault="000F3082" w:rsidP="000F3082">
            <w:pPr>
              <w:rPr>
                <w:b/>
                <w:sz w:val="20"/>
                <w:szCs w:val="20"/>
                <w:lang w:val="fr-FR" w:eastAsia="en-US"/>
              </w:rPr>
            </w:pPr>
          </w:p>
        </w:tc>
        <w:tc>
          <w:tcPr>
            <w:tcW w:w="1985" w:type="dxa"/>
            <w:shd w:val="clear" w:color="auto" w:fill="EEECE1"/>
          </w:tcPr>
          <w:p w14:paraId="2FA2AB78" w14:textId="77777777" w:rsidR="000F3082" w:rsidRPr="00147D4F" w:rsidRDefault="000F3082" w:rsidP="000F3082">
            <w:pPr>
              <w:jc w:val="both"/>
              <w:rPr>
                <w:sz w:val="20"/>
                <w:szCs w:val="20"/>
                <w:lang w:val="fr-FR" w:eastAsia="en-US"/>
              </w:rPr>
            </w:pPr>
            <w:r w:rsidRPr="00147D4F">
              <w:rPr>
                <w:sz w:val="20"/>
                <w:szCs w:val="20"/>
                <w:lang w:val="fr-FR" w:eastAsia="en-US"/>
              </w:rPr>
              <w:t>Indicateur 4.2.2</w:t>
            </w:r>
          </w:p>
          <w:p w14:paraId="0E98EBE5" w14:textId="46B15314" w:rsidR="000F3082" w:rsidRPr="00147D4F" w:rsidRDefault="000F3082" w:rsidP="000F3082">
            <w:pPr>
              <w:jc w:val="both"/>
              <w:rPr>
                <w:sz w:val="20"/>
                <w:szCs w:val="20"/>
                <w:lang w:val="fr-FR" w:eastAsia="en-US"/>
              </w:rPr>
            </w:pPr>
            <w:r w:rsidRPr="00147D4F">
              <w:rPr>
                <w:sz w:val="20"/>
                <w:szCs w:val="20"/>
                <w:lang w:val="fr-FR" w:eastAsia="en-US"/>
              </w:rPr>
              <w:t>Nombre des organisations féminines de la Société Civile impliquées</w:t>
            </w:r>
          </w:p>
        </w:tc>
        <w:tc>
          <w:tcPr>
            <w:tcW w:w="1307" w:type="dxa"/>
            <w:shd w:val="clear" w:color="auto" w:fill="EEECE1"/>
          </w:tcPr>
          <w:p w14:paraId="1B9E66BE" w14:textId="77777777" w:rsidR="000F3082" w:rsidRPr="00147D4F" w:rsidRDefault="000F3082" w:rsidP="000F3082">
            <w:pPr>
              <w:rPr>
                <w:sz w:val="20"/>
                <w:szCs w:val="20"/>
                <w:lang w:val="fr-FR"/>
              </w:rPr>
            </w:pPr>
            <w:r w:rsidRPr="00147D4F">
              <w:rPr>
                <w:b/>
                <w:sz w:val="20"/>
                <w:szCs w:val="20"/>
                <w:lang w:val="fr-FR" w:eastAsia="en-US"/>
              </w:rPr>
              <w:t>5</w:t>
            </w:r>
          </w:p>
        </w:tc>
        <w:tc>
          <w:tcPr>
            <w:tcW w:w="1620" w:type="dxa"/>
            <w:shd w:val="clear" w:color="auto" w:fill="EEECE1"/>
          </w:tcPr>
          <w:p w14:paraId="26D8437E" w14:textId="77777777" w:rsidR="000F3082" w:rsidRPr="000F3082" w:rsidRDefault="000F3082" w:rsidP="000F3082">
            <w:pPr>
              <w:rPr>
                <w:sz w:val="20"/>
                <w:szCs w:val="20"/>
                <w:lang w:val="fr-FR"/>
              </w:rPr>
            </w:pPr>
            <w:r w:rsidRPr="000F3082">
              <w:rPr>
                <w:b/>
                <w:sz w:val="20"/>
                <w:szCs w:val="20"/>
                <w:lang w:val="fr-FR" w:eastAsia="en-US"/>
              </w:rPr>
              <w:t>10</w:t>
            </w:r>
          </w:p>
        </w:tc>
        <w:tc>
          <w:tcPr>
            <w:tcW w:w="2070" w:type="dxa"/>
          </w:tcPr>
          <w:p w14:paraId="51A202A7" w14:textId="1E974A94" w:rsidR="000F3082" w:rsidRPr="000F3082" w:rsidRDefault="00EF503E" w:rsidP="000F3082">
            <w:pPr>
              <w:rPr>
                <w:sz w:val="20"/>
                <w:szCs w:val="20"/>
                <w:lang w:val="fr-FR"/>
              </w:rPr>
            </w:pPr>
            <w:r>
              <w:rPr>
                <w:sz w:val="20"/>
                <w:szCs w:val="20"/>
                <w:lang w:val="fr-FR" w:eastAsia="en-US"/>
              </w:rPr>
              <w:t>10</w:t>
            </w:r>
          </w:p>
        </w:tc>
        <w:tc>
          <w:tcPr>
            <w:tcW w:w="2941" w:type="dxa"/>
          </w:tcPr>
          <w:p w14:paraId="4F4C9E41" w14:textId="76947438" w:rsidR="000F3082" w:rsidRPr="000F3082" w:rsidRDefault="00EF503E" w:rsidP="000F3082">
            <w:pPr>
              <w:rPr>
                <w:sz w:val="20"/>
                <w:szCs w:val="20"/>
                <w:lang w:val="fr-FR"/>
              </w:rPr>
            </w:pPr>
            <w:r>
              <w:rPr>
                <w:sz w:val="20"/>
                <w:szCs w:val="20"/>
                <w:lang w:val="fr-FR"/>
              </w:rPr>
              <w:t>100%</w:t>
            </w:r>
          </w:p>
        </w:tc>
        <w:tc>
          <w:tcPr>
            <w:tcW w:w="3269" w:type="dxa"/>
          </w:tcPr>
          <w:p w14:paraId="495FF86F" w14:textId="77777777" w:rsidR="000F3082" w:rsidRPr="000F3082" w:rsidRDefault="000F3082" w:rsidP="000F3082">
            <w:pPr>
              <w:rPr>
                <w:sz w:val="20"/>
                <w:szCs w:val="20"/>
                <w:lang w:val="fr-FR"/>
              </w:rPr>
            </w:pPr>
            <w:r w:rsidRPr="000F3082">
              <w:rPr>
                <w:b/>
                <w:sz w:val="20"/>
                <w:szCs w:val="20"/>
                <w:lang w:val="fr-FR" w:eastAsia="en-US"/>
              </w:rPr>
              <w:fldChar w:fldCharType="begin">
                <w:ffData>
                  <w:name w:val=""/>
                  <w:enabled/>
                  <w:calcOnExit w:val="0"/>
                  <w:textInput>
                    <w:maxLength w:val="300"/>
                  </w:textInput>
                </w:ffData>
              </w:fldChar>
            </w:r>
            <w:r w:rsidRPr="000F3082">
              <w:rPr>
                <w:b/>
                <w:sz w:val="20"/>
                <w:szCs w:val="20"/>
                <w:lang w:val="fr-FR" w:eastAsia="en-US"/>
              </w:rPr>
              <w:instrText xml:space="preserve"> FORMTEXT </w:instrText>
            </w:r>
            <w:r w:rsidRPr="000F3082">
              <w:rPr>
                <w:b/>
                <w:sz w:val="20"/>
                <w:szCs w:val="20"/>
                <w:lang w:val="fr-FR" w:eastAsia="en-US"/>
              </w:rPr>
            </w:r>
            <w:r w:rsidRPr="000F3082">
              <w:rPr>
                <w:b/>
                <w:sz w:val="20"/>
                <w:szCs w:val="20"/>
                <w:lang w:val="fr-FR" w:eastAsia="en-US"/>
              </w:rPr>
              <w:fldChar w:fldCharType="separate"/>
            </w:r>
            <w:r w:rsidRPr="000F3082">
              <w:rPr>
                <w:b/>
                <w:noProof/>
                <w:sz w:val="20"/>
                <w:szCs w:val="20"/>
                <w:lang w:val="fr-FR" w:eastAsia="en-US"/>
              </w:rPr>
              <w:t> </w:t>
            </w:r>
            <w:r w:rsidRPr="000F3082">
              <w:rPr>
                <w:b/>
                <w:noProof/>
                <w:sz w:val="20"/>
                <w:szCs w:val="20"/>
                <w:lang w:val="fr-FR" w:eastAsia="en-US"/>
              </w:rPr>
              <w:t> </w:t>
            </w:r>
            <w:r w:rsidRPr="000F3082">
              <w:rPr>
                <w:b/>
                <w:noProof/>
                <w:sz w:val="20"/>
                <w:szCs w:val="20"/>
                <w:lang w:val="fr-FR" w:eastAsia="en-US"/>
              </w:rPr>
              <w:t> </w:t>
            </w:r>
            <w:r w:rsidRPr="000F3082">
              <w:rPr>
                <w:b/>
                <w:noProof/>
                <w:sz w:val="20"/>
                <w:szCs w:val="20"/>
                <w:lang w:val="fr-FR" w:eastAsia="en-US"/>
              </w:rPr>
              <w:t> </w:t>
            </w:r>
            <w:r w:rsidRPr="000F3082">
              <w:rPr>
                <w:b/>
                <w:noProof/>
                <w:sz w:val="20"/>
                <w:szCs w:val="20"/>
                <w:lang w:val="fr-FR" w:eastAsia="en-US"/>
              </w:rPr>
              <w:t> </w:t>
            </w:r>
            <w:r w:rsidRPr="000F3082">
              <w:rPr>
                <w:b/>
                <w:sz w:val="20"/>
                <w:szCs w:val="20"/>
                <w:lang w:val="fr-FR" w:eastAsia="en-US"/>
              </w:rPr>
              <w:fldChar w:fldCharType="end"/>
            </w:r>
          </w:p>
        </w:tc>
      </w:tr>
      <w:tr w:rsidR="000F3082" w:rsidRPr="00EE01B0" w14:paraId="00770D2D" w14:textId="77777777" w:rsidTr="00EE01B0">
        <w:trPr>
          <w:trHeight w:val="458"/>
        </w:trPr>
        <w:tc>
          <w:tcPr>
            <w:tcW w:w="1838" w:type="dxa"/>
            <w:vMerge w:val="restart"/>
          </w:tcPr>
          <w:p w14:paraId="516F7A47" w14:textId="77777777" w:rsidR="000F3082" w:rsidRPr="00147D4F" w:rsidRDefault="000F3082" w:rsidP="000F3082">
            <w:pPr>
              <w:rPr>
                <w:sz w:val="20"/>
                <w:szCs w:val="20"/>
                <w:lang w:val="fr-FR" w:eastAsia="en-US"/>
              </w:rPr>
            </w:pPr>
            <w:r w:rsidRPr="00147D4F">
              <w:rPr>
                <w:sz w:val="20"/>
                <w:szCs w:val="20"/>
                <w:lang w:val="fr-FR" w:eastAsia="en-US"/>
              </w:rPr>
              <w:t>Produit 4.3</w:t>
            </w:r>
          </w:p>
          <w:p w14:paraId="3CB2D149" w14:textId="77777777" w:rsidR="000F3082" w:rsidRPr="00147D4F" w:rsidRDefault="000F3082" w:rsidP="000F3082">
            <w:pPr>
              <w:rPr>
                <w:sz w:val="20"/>
                <w:szCs w:val="20"/>
                <w:lang w:val="fr-FR"/>
              </w:rPr>
            </w:pPr>
            <w:r w:rsidRPr="00147D4F">
              <w:rPr>
                <w:sz w:val="20"/>
                <w:szCs w:val="20"/>
                <w:lang w:val="fr-FR"/>
              </w:rPr>
              <w:t>Une expertise et les données requises sur l’accès des femmes à la justice transitionnel-</w:t>
            </w:r>
          </w:p>
          <w:p w14:paraId="33139FAF" w14:textId="77777777" w:rsidR="000F3082" w:rsidRPr="00147D4F" w:rsidRDefault="000F3082" w:rsidP="000F3082">
            <w:pPr>
              <w:rPr>
                <w:sz w:val="20"/>
                <w:szCs w:val="20"/>
                <w:lang w:val="fr-FR" w:eastAsia="en-US"/>
              </w:rPr>
            </w:pPr>
            <w:proofErr w:type="gramStart"/>
            <w:r w:rsidRPr="00147D4F">
              <w:rPr>
                <w:sz w:val="20"/>
                <w:szCs w:val="20"/>
                <w:lang w:val="fr-FR"/>
              </w:rPr>
              <w:lastRenderedPageBreak/>
              <w:t>le est</w:t>
            </w:r>
            <w:proofErr w:type="gramEnd"/>
            <w:r w:rsidRPr="00147D4F">
              <w:rPr>
                <w:sz w:val="20"/>
                <w:szCs w:val="20"/>
                <w:lang w:val="fr-FR"/>
              </w:rPr>
              <w:t xml:space="preserve"> disponible et fourni aux parties prenantes     </w:t>
            </w:r>
          </w:p>
        </w:tc>
        <w:tc>
          <w:tcPr>
            <w:tcW w:w="1985" w:type="dxa"/>
            <w:shd w:val="clear" w:color="auto" w:fill="EEECE1"/>
          </w:tcPr>
          <w:p w14:paraId="12E1BEF7" w14:textId="77777777" w:rsidR="000F3082" w:rsidRPr="00147D4F" w:rsidRDefault="000F3082" w:rsidP="000F3082">
            <w:pPr>
              <w:jc w:val="both"/>
              <w:rPr>
                <w:sz w:val="20"/>
                <w:szCs w:val="20"/>
                <w:lang w:val="fr-FR" w:eastAsia="en-US"/>
              </w:rPr>
            </w:pPr>
            <w:r w:rsidRPr="00147D4F">
              <w:rPr>
                <w:sz w:val="20"/>
                <w:szCs w:val="20"/>
                <w:lang w:val="fr-FR" w:eastAsia="en-US"/>
              </w:rPr>
              <w:lastRenderedPageBreak/>
              <w:t>Indicateur 4.3.1</w:t>
            </w:r>
          </w:p>
          <w:p w14:paraId="7967BAA8" w14:textId="77777777" w:rsidR="000F3082" w:rsidRPr="00147D4F" w:rsidRDefault="000F3082" w:rsidP="000F3082">
            <w:pPr>
              <w:jc w:val="both"/>
              <w:rPr>
                <w:sz w:val="20"/>
                <w:szCs w:val="20"/>
                <w:lang w:val="fr-FR" w:eastAsia="en-US"/>
              </w:rPr>
            </w:pPr>
            <w:r w:rsidRPr="00147D4F">
              <w:rPr>
                <w:sz w:val="20"/>
                <w:szCs w:val="20"/>
                <w:lang w:val="fr-FR" w:eastAsia="en-US"/>
              </w:rPr>
              <w:t xml:space="preserve">Disponibilité d’étude sur les Violences Basées sur le Genre et autres crimes et violations, les vulnérabilités et la </w:t>
            </w:r>
            <w:r w:rsidRPr="00147D4F">
              <w:rPr>
                <w:sz w:val="20"/>
                <w:szCs w:val="20"/>
                <w:lang w:val="fr-FR" w:eastAsia="en-US"/>
              </w:rPr>
              <w:lastRenderedPageBreak/>
              <w:t>résilience des femmes victimes</w:t>
            </w:r>
          </w:p>
        </w:tc>
        <w:tc>
          <w:tcPr>
            <w:tcW w:w="1307" w:type="dxa"/>
            <w:shd w:val="clear" w:color="auto" w:fill="EEECE1"/>
          </w:tcPr>
          <w:p w14:paraId="1B70B053" w14:textId="77777777" w:rsidR="000F3082" w:rsidRPr="00147D4F" w:rsidRDefault="000F3082" w:rsidP="000F3082">
            <w:pPr>
              <w:rPr>
                <w:sz w:val="20"/>
                <w:szCs w:val="20"/>
                <w:lang w:val="fr-FR"/>
              </w:rPr>
            </w:pPr>
            <w:r w:rsidRPr="00147D4F">
              <w:rPr>
                <w:b/>
                <w:sz w:val="20"/>
                <w:szCs w:val="20"/>
                <w:lang w:val="fr-FR" w:eastAsia="en-US"/>
              </w:rPr>
              <w:lastRenderedPageBreak/>
              <w:t>0</w:t>
            </w:r>
          </w:p>
        </w:tc>
        <w:tc>
          <w:tcPr>
            <w:tcW w:w="1620" w:type="dxa"/>
            <w:shd w:val="clear" w:color="auto" w:fill="EEECE1"/>
          </w:tcPr>
          <w:p w14:paraId="4D292C34" w14:textId="77777777" w:rsidR="000F3082" w:rsidRPr="000F3082" w:rsidRDefault="000F3082" w:rsidP="000F3082">
            <w:pPr>
              <w:rPr>
                <w:sz w:val="20"/>
                <w:szCs w:val="20"/>
                <w:lang w:val="fr-FR"/>
              </w:rPr>
            </w:pPr>
            <w:r w:rsidRPr="000F3082">
              <w:rPr>
                <w:b/>
                <w:sz w:val="20"/>
                <w:szCs w:val="20"/>
                <w:lang w:val="fr-FR" w:eastAsia="en-US"/>
              </w:rPr>
              <w:t>1</w:t>
            </w:r>
          </w:p>
        </w:tc>
        <w:tc>
          <w:tcPr>
            <w:tcW w:w="2070" w:type="dxa"/>
          </w:tcPr>
          <w:p w14:paraId="3F91AEBE" w14:textId="1BE3F819" w:rsidR="000F3082" w:rsidRPr="000F3082" w:rsidRDefault="00B237DA" w:rsidP="000F3082">
            <w:pPr>
              <w:rPr>
                <w:sz w:val="20"/>
                <w:szCs w:val="20"/>
                <w:lang w:val="fr-FR"/>
              </w:rPr>
            </w:pPr>
            <w:r>
              <w:rPr>
                <w:sz w:val="20"/>
                <w:szCs w:val="20"/>
                <w:lang w:val="fr-FR" w:eastAsia="en-US"/>
              </w:rPr>
              <w:t>0</w:t>
            </w:r>
          </w:p>
        </w:tc>
        <w:tc>
          <w:tcPr>
            <w:tcW w:w="2941" w:type="dxa"/>
          </w:tcPr>
          <w:p w14:paraId="52E97F6C" w14:textId="13B1A29D" w:rsidR="000F3082" w:rsidRPr="0083351C" w:rsidRDefault="00B237DA" w:rsidP="000F3082">
            <w:pPr>
              <w:rPr>
                <w:b/>
                <w:sz w:val="20"/>
                <w:szCs w:val="20"/>
                <w:lang w:val="fr-FR"/>
              </w:rPr>
            </w:pPr>
            <w:r>
              <w:rPr>
                <w:b/>
                <w:sz w:val="20"/>
                <w:szCs w:val="20"/>
                <w:lang w:val="fr-FR" w:eastAsia="en-US"/>
              </w:rPr>
              <w:t>0</w:t>
            </w:r>
          </w:p>
        </w:tc>
        <w:tc>
          <w:tcPr>
            <w:tcW w:w="3269" w:type="dxa"/>
          </w:tcPr>
          <w:p w14:paraId="62CA2840" w14:textId="5181B10E" w:rsidR="000F3082" w:rsidRPr="000F3082" w:rsidRDefault="00B237DA" w:rsidP="000F3082">
            <w:pPr>
              <w:jc w:val="both"/>
              <w:rPr>
                <w:sz w:val="20"/>
                <w:szCs w:val="20"/>
                <w:lang w:val="fr-FR"/>
              </w:rPr>
            </w:pPr>
            <w:r>
              <w:rPr>
                <w:sz w:val="20"/>
                <w:szCs w:val="20"/>
                <w:lang w:val="fr-FR" w:eastAsia="en-US"/>
              </w:rPr>
              <w:t>L’étude est encore en cours – elle sera finalisée fin novembre 2021</w:t>
            </w:r>
          </w:p>
        </w:tc>
      </w:tr>
      <w:tr w:rsidR="000F3082" w:rsidRPr="00EE01B0" w14:paraId="4005E434" w14:textId="77777777" w:rsidTr="00EE01B0">
        <w:trPr>
          <w:trHeight w:val="458"/>
        </w:trPr>
        <w:tc>
          <w:tcPr>
            <w:tcW w:w="1838" w:type="dxa"/>
            <w:vMerge/>
          </w:tcPr>
          <w:p w14:paraId="7241165D" w14:textId="77777777" w:rsidR="000F3082" w:rsidRPr="00147D4F" w:rsidRDefault="000F3082" w:rsidP="000F3082">
            <w:pPr>
              <w:rPr>
                <w:b/>
                <w:sz w:val="20"/>
                <w:szCs w:val="20"/>
                <w:lang w:val="fr-FR" w:eastAsia="en-US"/>
              </w:rPr>
            </w:pPr>
          </w:p>
        </w:tc>
        <w:tc>
          <w:tcPr>
            <w:tcW w:w="1985" w:type="dxa"/>
            <w:shd w:val="clear" w:color="auto" w:fill="EEECE1"/>
          </w:tcPr>
          <w:p w14:paraId="4603F5A2" w14:textId="77777777" w:rsidR="000F3082" w:rsidRPr="00147D4F" w:rsidRDefault="000F3082" w:rsidP="000F3082">
            <w:pPr>
              <w:jc w:val="both"/>
              <w:rPr>
                <w:sz w:val="20"/>
                <w:szCs w:val="20"/>
                <w:lang w:val="fr-FR" w:eastAsia="en-US"/>
              </w:rPr>
            </w:pPr>
            <w:r w:rsidRPr="00147D4F">
              <w:rPr>
                <w:sz w:val="20"/>
                <w:szCs w:val="20"/>
                <w:lang w:val="fr-FR" w:eastAsia="en-US"/>
              </w:rPr>
              <w:t>Indicateur 4.3.2</w:t>
            </w:r>
          </w:p>
          <w:p w14:paraId="20F31302" w14:textId="77777777" w:rsidR="000F3082" w:rsidRPr="00147D4F" w:rsidRDefault="000F3082" w:rsidP="000F3082">
            <w:pPr>
              <w:jc w:val="both"/>
              <w:rPr>
                <w:sz w:val="20"/>
                <w:szCs w:val="20"/>
                <w:lang w:val="fr-FR" w:eastAsia="en-US"/>
              </w:rPr>
            </w:pPr>
            <w:r w:rsidRPr="00147D4F">
              <w:rPr>
                <w:sz w:val="20"/>
                <w:szCs w:val="20"/>
                <w:lang w:val="fr-FR" w:eastAsia="en-US"/>
              </w:rPr>
              <w:t xml:space="preserve">connaissance des facteurs de </w:t>
            </w:r>
            <w:r w:rsidRPr="00147D4F">
              <w:rPr>
                <w:sz w:val="20"/>
                <w:szCs w:val="20"/>
                <w:lang w:val="fr-FR"/>
              </w:rPr>
              <w:t>blocage</w:t>
            </w:r>
            <w:r w:rsidRPr="00147D4F">
              <w:rPr>
                <w:sz w:val="20"/>
                <w:szCs w:val="20"/>
                <w:lang w:val="fr-FR" w:eastAsia="en-US"/>
              </w:rPr>
              <w:t xml:space="preserve"> et </w:t>
            </w:r>
            <w:r w:rsidRPr="00147D4F">
              <w:rPr>
                <w:sz w:val="20"/>
                <w:szCs w:val="20"/>
                <w:lang w:val="fr-FR"/>
              </w:rPr>
              <w:t xml:space="preserve">des </w:t>
            </w:r>
            <w:r w:rsidRPr="00147D4F">
              <w:rPr>
                <w:sz w:val="20"/>
                <w:szCs w:val="20"/>
                <w:lang w:val="fr-FR" w:eastAsia="en-US"/>
              </w:rPr>
              <w:t>options de remédier aux obstacles de à l’accès des femmes à la justice</w:t>
            </w:r>
          </w:p>
        </w:tc>
        <w:tc>
          <w:tcPr>
            <w:tcW w:w="1307" w:type="dxa"/>
            <w:shd w:val="clear" w:color="auto" w:fill="EEECE1"/>
          </w:tcPr>
          <w:p w14:paraId="282CEE53" w14:textId="77777777" w:rsidR="000F3082" w:rsidRPr="00147D4F" w:rsidRDefault="000F3082" w:rsidP="000F3082">
            <w:pPr>
              <w:rPr>
                <w:sz w:val="20"/>
                <w:szCs w:val="20"/>
                <w:lang w:val="fr-FR"/>
              </w:rPr>
            </w:pPr>
            <w:r w:rsidRPr="00147D4F">
              <w:rPr>
                <w:b/>
                <w:sz w:val="20"/>
                <w:szCs w:val="20"/>
                <w:lang w:val="fr-FR" w:eastAsia="en-US"/>
              </w:rPr>
              <w:t>non</w:t>
            </w:r>
          </w:p>
        </w:tc>
        <w:tc>
          <w:tcPr>
            <w:tcW w:w="1620" w:type="dxa"/>
            <w:shd w:val="clear" w:color="auto" w:fill="EEECE1"/>
          </w:tcPr>
          <w:p w14:paraId="5EBF9B46" w14:textId="77777777" w:rsidR="000F3082" w:rsidRPr="000F3082" w:rsidRDefault="000F3082" w:rsidP="000F3082">
            <w:pPr>
              <w:rPr>
                <w:sz w:val="20"/>
                <w:szCs w:val="20"/>
                <w:lang w:val="fr-FR"/>
              </w:rPr>
            </w:pPr>
            <w:r w:rsidRPr="000F3082">
              <w:rPr>
                <w:b/>
                <w:sz w:val="20"/>
                <w:szCs w:val="20"/>
                <w:lang w:val="fr-FR" w:eastAsia="en-US"/>
              </w:rPr>
              <w:t>oui</w:t>
            </w:r>
          </w:p>
        </w:tc>
        <w:tc>
          <w:tcPr>
            <w:tcW w:w="2070" w:type="dxa"/>
          </w:tcPr>
          <w:p w14:paraId="77B4C450" w14:textId="7772397A" w:rsidR="000F3082" w:rsidRPr="000F3082" w:rsidRDefault="00B237DA" w:rsidP="000F3082">
            <w:pPr>
              <w:rPr>
                <w:sz w:val="20"/>
                <w:szCs w:val="20"/>
                <w:lang w:val="fr-FR"/>
              </w:rPr>
            </w:pPr>
            <w:r>
              <w:rPr>
                <w:sz w:val="20"/>
                <w:szCs w:val="20"/>
                <w:lang w:val="fr-FR" w:eastAsia="en-US"/>
              </w:rPr>
              <w:t>Non</w:t>
            </w:r>
          </w:p>
        </w:tc>
        <w:tc>
          <w:tcPr>
            <w:tcW w:w="2941" w:type="dxa"/>
          </w:tcPr>
          <w:p w14:paraId="6CDC22E0" w14:textId="741403E3" w:rsidR="000F3082" w:rsidRPr="0083351C" w:rsidRDefault="00B237DA" w:rsidP="000F3082">
            <w:pPr>
              <w:rPr>
                <w:b/>
                <w:sz w:val="20"/>
                <w:szCs w:val="20"/>
                <w:lang w:val="fr-FR"/>
              </w:rPr>
            </w:pPr>
            <w:r>
              <w:rPr>
                <w:b/>
                <w:sz w:val="20"/>
                <w:szCs w:val="20"/>
                <w:lang w:val="fr-FR" w:eastAsia="en-US"/>
              </w:rPr>
              <w:t>Non</w:t>
            </w:r>
          </w:p>
        </w:tc>
        <w:tc>
          <w:tcPr>
            <w:tcW w:w="3269" w:type="dxa"/>
          </w:tcPr>
          <w:p w14:paraId="5432E848" w14:textId="3EE6245C" w:rsidR="000F3082" w:rsidRPr="000F3082" w:rsidRDefault="00B237DA" w:rsidP="000F3082">
            <w:pPr>
              <w:rPr>
                <w:sz w:val="20"/>
                <w:szCs w:val="20"/>
                <w:lang w:val="fr-FR"/>
              </w:rPr>
            </w:pPr>
            <w:r>
              <w:rPr>
                <w:sz w:val="20"/>
                <w:szCs w:val="20"/>
                <w:lang w:val="fr-FR" w:eastAsia="en-US"/>
              </w:rPr>
              <w:t>L’étude est encore en cours – elle sera finalisée fin novembre 2021</w:t>
            </w:r>
          </w:p>
        </w:tc>
      </w:tr>
    </w:tbl>
    <w:p w14:paraId="3D1074C2" w14:textId="77777777" w:rsidR="00F004BF" w:rsidRPr="00A621D3" w:rsidRDefault="00F004BF" w:rsidP="00F004BF">
      <w:pPr>
        <w:jc w:val="both"/>
        <w:rPr>
          <w:b/>
          <w:lang w:val="fr-FR" w:eastAsia="en-US"/>
        </w:rPr>
      </w:pPr>
    </w:p>
    <w:p w14:paraId="3B5C1676" w14:textId="77777777" w:rsidR="00F004BF" w:rsidRPr="00A621D3" w:rsidRDefault="00F004BF">
      <w:pPr>
        <w:rPr>
          <w:lang w:val="fr-FR"/>
        </w:rPr>
      </w:pPr>
    </w:p>
    <w:sectPr w:rsidR="00F004BF" w:rsidRPr="00A621D3" w:rsidSect="00F004BF">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7412" w14:textId="77777777" w:rsidR="00C85C8E" w:rsidRDefault="00C85C8E">
      <w:r>
        <w:separator/>
      </w:r>
    </w:p>
  </w:endnote>
  <w:endnote w:type="continuationSeparator" w:id="0">
    <w:p w14:paraId="08309FC1" w14:textId="77777777" w:rsidR="00C85C8E" w:rsidRDefault="00C85C8E">
      <w:r>
        <w:continuationSeparator/>
      </w:r>
    </w:p>
  </w:endnote>
  <w:endnote w:type="continuationNotice" w:id="1">
    <w:p w14:paraId="1BBF68C8" w14:textId="77777777" w:rsidR="00C85C8E" w:rsidRDefault="00C8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2E6F" w14:textId="77777777" w:rsidR="004B0F7B" w:rsidRDefault="004B0F7B">
    <w:pPr>
      <w:pStyle w:val="Footer"/>
      <w:jc w:val="center"/>
    </w:pPr>
    <w:r>
      <w:fldChar w:fldCharType="begin"/>
    </w:r>
    <w:r>
      <w:instrText xml:space="preserve"> PAGE   \* MERGEFORMAT </w:instrText>
    </w:r>
    <w:r>
      <w:fldChar w:fldCharType="separate"/>
    </w:r>
    <w:r>
      <w:rPr>
        <w:noProof/>
      </w:rPr>
      <w:t>4</w:t>
    </w:r>
    <w:r>
      <w:fldChar w:fldCharType="end"/>
    </w:r>
  </w:p>
  <w:p w14:paraId="043630D2" w14:textId="77777777" w:rsidR="004B0F7B" w:rsidRDefault="004B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D726" w14:textId="77777777" w:rsidR="00C85C8E" w:rsidRDefault="00C85C8E">
      <w:r>
        <w:separator/>
      </w:r>
    </w:p>
  </w:footnote>
  <w:footnote w:type="continuationSeparator" w:id="0">
    <w:p w14:paraId="5B1EBA67" w14:textId="77777777" w:rsidR="00C85C8E" w:rsidRDefault="00C85C8E">
      <w:r>
        <w:continuationSeparator/>
      </w:r>
    </w:p>
  </w:footnote>
  <w:footnote w:type="continuationNotice" w:id="1">
    <w:p w14:paraId="2C48863E" w14:textId="77777777" w:rsidR="00C85C8E" w:rsidRDefault="00C85C8E"/>
  </w:footnote>
  <w:footnote w:id="2">
    <w:p w14:paraId="6E71A660" w14:textId="3C0952AB" w:rsidR="004B0F7B" w:rsidRPr="00BE1061" w:rsidRDefault="004B0F7B" w:rsidP="007D1571">
      <w:pPr>
        <w:pStyle w:val="FootnoteText"/>
        <w:jc w:val="both"/>
        <w:rPr>
          <w:lang w:val="fr-C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E4DD" w14:textId="77777777" w:rsidR="004B0F7B" w:rsidRDefault="004B0F7B">
    <w:pPr>
      <w:pStyle w:val="Header"/>
    </w:pPr>
    <w:r>
      <w:rPr>
        <w:rFonts w:ascii="Arial Narrow" w:hAnsi="Arial Narrow"/>
        <w:b/>
        <w:noProof/>
        <w:sz w:val="22"/>
        <w:szCs w:val="22"/>
      </w:rPr>
      <w:drawing>
        <wp:anchor distT="0" distB="0" distL="114300" distR="114300" simplePos="0" relativeHeight="251659264" behindDoc="1" locked="0" layoutInCell="1" allowOverlap="1" wp14:anchorId="57AD62C5" wp14:editId="2E2CB7E1">
          <wp:simplePos x="0" y="0"/>
          <wp:positionH relativeFrom="column">
            <wp:posOffset>4899660</wp:posOffset>
          </wp:positionH>
          <wp:positionV relativeFrom="paragraph">
            <wp:posOffset>-175260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D5764"/>
    <w:multiLevelType w:val="hybridMultilevel"/>
    <w:tmpl w:val="05805FC0"/>
    <w:lvl w:ilvl="0" w:tplc="94C867A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EA07DA"/>
    <w:multiLevelType w:val="hybridMultilevel"/>
    <w:tmpl w:val="A596F41C"/>
    <w:lvl w:ilvl="0" w:tplc="6902F976">
      <w:start w:val="1"/>
      <w:numFmt w:val="decimal"/>
      <w:lvlText w:val="%1."/>
      <w:lvlJc w:val="left"/>
      <w:pPr>
        <w:ind w:left="1800" w:hanging="360"/>
      </w:pPr>
      <w:rPr>
        <w:rFonts w:ascii="Times New Roman" w:eastAsia="Times New Roman" w:hAnsi="Times New Roman" w:cs="Times New Roman"/>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6DF448D"/>
    <w:multiLevelType w:val="hybridMultilevel"/>
    <w:tmpl w:val="59CC4F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543443C"/>
    <w:multiLevelType w:val="hybridMultilevel"/>
    <w:tmpl w:val="70C47D1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6694E81"/>
    <w:multiLevelType w:val="hybridMultilevel"/>
    <w:tmpl w:val="D1DC8F02"/>
    <w:lvl w:ilvl="0" w:tplc="04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31DA3C6E"/>
    <w:multiLevelType w:val="hybridMultilevel"/>
    <w:tmpl w:val="580E944C"/>
    <w:lvl w:ilvl="0" w:tplc="040C000D">
      <w:start w:val="1"/>
      <w:numFmt w:val="bullet"/>
      <w:lvlText w:val=""/>
      <w:lvlJc w:val="left"/>
      <w:pPr>
        <w:ind w:left="1380" w:hanging="360"/>
      </w:pPr>
      <w:rPr>
        <w:rFonts w:ascii="Wingdings" w:hAnsi="Wingdings" w:hint="default"/>
      </w:rPr>
    </w:lvl>
    <w:lvl w:ilvl="1" w:tplc="93E65704">
      <w:numFmt w:val="bullet"/>
      <w:lvlText w:val="-"/>
      <w:lvlJc w:val="left"/>
      <w:pPr>
        <w:ind w:left="2100" w:hanging="360"/>
      </w:pPr>
      <w:rPr>
        <w:rFonts w:ascii="Bookman Old Style" w:eastAsia="Times New Roman" w:hAnsi="Bookman Old Style" w:cstheme="minorBidi"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8"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C800592"/>
    <w:multiLevelType w:val="hybridMultilevel"/>
    <w:tmpl w:val="A7364272"/>
    <w:lvl w:ilvl="0" w:tplc="240C000B">
      <w:start w:val="1"/>
      <w:numFmt w:val="bullet"/>
      <w:lvlText w:val=""/>
      <w:lvlJc w:val="left"/>
      <w:pPr>
        <w:ind w:left="786" w:hanging="360"/>
      </w:pPr>
      <w:rPr>
        <w:rFonts w:ascii="Wingdings" w:hAnsi="Wingdings" w:hint="default"/>
      </w:rPr>
    </w:lvl>
    <w:lvl w:ilvl="1" w:tplc="240C0003" w:tentative="1">
      <w:start w:val="1"/>
      <w:numFmt w:val="bullet"/>
      <w:lvlText w:val="o"/>
      <w:lvlJc w:val="left"/>
      <w:pPr>
        <w:ind w:left="1506" w:hanging="360"/>
      </w:pPr>
      <w:rPr>
        <w:rFonts w:ascii="Courier New" w:hAnsi="Courier New" w:cs="Courier New" w:hint="default"/>
      </w:rPr>
    </w:lvl>
    <w:lvl w:ilvl="2" w:tplc="240C0005" w:tentative="1">
      <w:start w:val="1"/>
      <w:numFmt w:val="bullet"/>
      <w:lvlText w:val=""/>
      <w:lvlJc w:val="left"/>
      <w:pPr>
        <w:ind w:left="2226" w:hanging="360"/>
      </w:pPr>
      <w:rPr>
        <w:rFonts w:ascii="Wingdings" w:hAnsi="Wingdings" w:hint="default"/>
      </w:rPr>
    </w:lvl>
    <w:lvl w:ilvl="3" w:tplc="240C0001" w:tentative="1">
      <w:start w:val="1"/>
      <w:numFmt w:val="bullet"/>
      <w:lvlText w:val=""/>
      <w:lvlJc w:val="left"/>
      <w:pPr>
        <w:ind w:left="2946" w:hanging="360"/>
      </w:pPr>
      <w:rPr>
        <w:rFonts w:ascii="Symbol" w:hAnsi="Symbol" w:hint="default"/>
      </w:rPr>
    </w:lvl>
    <w:lvl w:ilvl="4" w:tplc="240C0003" w:tentative="1">
      <w:start w:val="1"/>
      <w:numFmt w:val="bullet"/>
      <w:lvlText w:val="o"/>
      <w:lvlJc w:val="left"/>
      <w:pPr>
        <w:ind w:left="3666" w:hanging="360"/>
      </w:pPr>
      <w:rPr>
        <w:rFonts w:ascii="Courier New" w:hAnsi="Courier New" w:cs="Courier New" w:hint="default"/>
      </w:rPr>
    </w:lvl>
    <w:lvl w:ilvl="5" w:tplc="240C0005" w:tentative="1">
      <w:start w:val="1"/>
      <w:numFmt w:val="bullet"/>
      <w:lvlText w:val=""/>
      <w:lvlJc w:val="left"/>
      <w:pPr>
        <w:ind w:left="4386" w:hanging="360"/>
      </w:pPr>
      <w:rPr>
        <w:rFonts w:ascii="Wingdings" w:hAnsi="Wingdings" w:hint="default"/>
      </w:rPr>
    </w:lvl>
    <w:lvl w:ilvl="6" w:tplc="240C0001" w:tentative="1">
      <w:start w:val="1"/>
      <w:numFmt w:val="bullet"/>
      <w:lvlText w:val=""/>
      <w:lvlJc w:val="left"/>
      <w:pPr>
        <w:ind w:left="5106" w:hanging="360"/>
      </w:pPr>
      <w:rPr>
        <w:rFonts w:ascii="Symbol" w:hAnsi="Symbol" w:hint="default"/>
      </w:rPr>
    </w:lvl>
    <w:lvl w:ilvl="7" w:tplc="240C0003" w:tentative="1">
      <w:start w:val="1"/>
      <w:numFmt w:val="bullet"/>
      <w:lvlText w:val="o"/>
      <w:lvlJc w:val="left"/>
      <w:pPr>
        <w:ind w:left="5826" w:hanging="360"/>
      </w:pPr>
      <w:rPr>
        <w:rFonts w:ascii="Courier New" w:hAnsi="Courier New" w:cs="Courier New" w:hint="default"/>
      </w:rPr>
    </w:lvl>
    <w:lvl w:ilvl="8" w:tplc="240C0005" w:tentative="1">
      <w:start w:val="1"/>
      <w:numFmt w:val="bullet"/>
      <w:lvlText w:val=""/>
      <w:lvlJc w:val="left"/>
      <w:pPr>
        <w:ind w:left="6546" w:hanging="360"/>
      </w:pPr>
      <w:rPr>
        <w:rFonts w:ascii="Wingdings" w:hAnsi="Wingdings" w:hint="default"/>
      </w:rPr>
    </w:lvl>
  </w:abstractNum>
  <w:abstractNum w:abstractNumId="39" w15:restartNumberingAfterBreak="0">
    <w:nsid w:val="4CFA6B31"/>
    <w:multiLevelType w:val="hybridMultilevel"/>
    <w:tmpl w:val="F258D020"/>
    <w:lvl w:ilvl="0" w:tplc="DCC86FDC">
      <w:start w:val="1"/>
      <w:numFmt w:val="bullet"/>
      <w:lvlText w:val="-"/>
      <w:lvlJc w:val="left"/>
      <w:pPr>
        <w:ind w:left="852" w:hanging="360"/>
      </w:pPr>
      <w:rPr>
        <w:rFonts w:ascii="Arial Narrow" w:eastAsia="MS Mincho" w:hAnsi="Arial Narrow" w:cs="Times New Roman"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4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59CD619A"/>
    <w:multiLevelType w:val="hybridMultilevel"/>
    <w:tmpl w:val="6DE41F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A878CF"/>
    <w:multiLevelType w:val="hybridMultilevel"/>
    <w:tmpl w:val="3738BB6A"/>
    <w:lvl w:ilvl="0" w:tplc="EA041942">
      <w:start w:val="1"/>
      <w:numFmt w:val="lowerRoman"/>
      <w:lvlText w:val="%1)"/>
      <w:lvlJc w:val="left"/>
      <w:pPr>
        <w:ind w:left="1080" w:hanging="720"/>
      </w:pPr>
      <w:rPr>
        <w:rFonts w:hint="default"/>
        <w:color w:val="002060"/>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312107"/>
    <w:multiLevelType w:val="hybridMultilevel"/>
    <w:tmpl w:val="9208C46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324BD"/>
    <w:multiLevelType w:val="hybridMultilevel"/>
    <w:tmpl w:val="4CFCDAD0"/>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8DF6607"/>
    <w:multiLevelType w:val="hybridMultilevel"/>
    <w:tmpl w:val="C5945068"/>
    <w:lvl w:ilvl="0" w:tplc="20000001">
      <w:start w:val="1"/>
      <w:numFmt w:val="bullet"/>
      <w:lvlText w:val=""/>
      <w:lvlJc w:val="left"/>
      <w:pPr>
        <w:ind w:left="733" w:hanging="360"/>
      </w:pPr>
      <w:rPr>
        <w:rFonts w:ascii="Symbol" w:hAnsi="Symbol" w:hint="default"/>
      </w:rPr>
    </w:lvl>
    <w:lvl w:ilvl="1" w:tplc="20000003" w:tentative="1">
      <w:start w:val="1"/>
      <w:numFmt w:val="bullet"/>
      <w:lvlText w:val="o"/>
      <w:lvlJc w:val="left"/>
      <w:pPr>
        <w:ind w:left="1453" w:hanging="360"/>
      </w:pPr>
      <w:rPr>
        <w:rFonts w:ascii="Courier New" w:hAnsi="Courier New" w:cs="Courier New" w:hint="default"/>
      </w:rPr>
    </w:lvl>
    <w:lvl w:ilvl="2" w:tplc="20000005" w:tentative="1">
      <w:start w:val="1"/>
      <w:numFmt w:val="bullet"/>
      <w:lvlText w:val=""/>
      <w:lvlJc w:val="left"/>
      <w:pPr>
        <w:ind w:left="2173" w:hanging="360"/>
      </w:pPr>
      <w:rPr>
        <w:rFonts w:ascii="Wingdings" w:hAnsi="Wingdings" w:hint="default"/>
      </w:rPr>
    </w:lvl>
    <w:lvl w:ilvl="3" w:tplc="20000001" w:tentative="1">
      <w:start w:val="1"/>
      <w:numFmt w:val="bullet"/>
      <w:lvlText w:val=""/>
      <w:lvlJc w:val="left"/>
      <w:pPr>
        <w:ind w:left="2893" w:hanging="360"/>
      </w:pPr>
      <w:rPr>
        <w:rFonts w:ascii="Symbol" w:hAnsi="Symbol" w:hint="default"/>
      </w:rPr>
    </w:lvl>
    <w:lvl w:ilvl="4" w:tplc="20000003" w:tentative="1">
      <w:start w:val="1"/>
      <w:numFmt w:val="bullet"/>
      <w:lvlText w:val="o"/>
      <w:lvlJc w:val="left"/>
      <w:pPr>
        <w:ind w:left="3613" w:hanging="360"/>
      </w:pPr>
      <w:rPr>
        <w:rFonts w:ascii="Courier New" w:hAnsi="Courier New" w:cs="Courier New" w:hint="default"/>
      </w:rPr>
    </w:lvl>
    <w:lvl w:ilvl="5" w:tplc="20000005" w:tentative="1">
      <w:start w:val="1"/>
      <w:numFmt w:val="bullet"/>
      <w:lvlText w:val=""/>
      <w:lvlJc w:val="left"/>
      <w:pPr>
        <w:ind w:left="4333" w:hanging="360"/>
      </w:pPr>
      <w:rPr>
        <w:rFonts w:ascii="Wingdings" w:hAnsi="Wingdings" w:hint="default"/>
      </w:rPr>
    </w:lvl>
    <w:lvl w:ilvl="6" w:tplc="20000001" w:tentative="1">
      <w:start w:val="1"/>
      <w:numFmt w:val="bullet"/>
      <w:lvlText w:val=""/>
      <w:lvlJc w:val="left"/>
      <w:pPr>
        <w:ind w:left="5053" w:hanging="360"/>
      </w:pPr>
      <w:rPr>
        <w:rFonts w:ascii="Symbol" w:hAnsi="Symbol" w:hint="default"/>
      </w:rPr>
    </w:lvl>
    <w:lvl w:ilvl="7" w:tplc="20000003" w:tentative="1">
      <w:start w:val="1"/>
      <w:numFmt w:val="bullet"/>
      <w:lvlText w:val="o"/>
      <w:lvlJc w:val="left"/>
      <w:pPr>
        <w:ind w:left="5773" w:hanging="360"/>
      </w:pPr>
      <w:rPr>
        <w:rFonts w:ascii="Courier New" w:hAnsi="Courier New" w:cs="Courier New" w:hint="default"/>
      </w:rPr>
    </w:lvl>
    <w:lvl w:ilvl="8" w:tplc="20000005" w:tentative="1">
      <w:start w:val="1"/>
      <w:numFmt w:val="bullet"/>
      <w:lvlText w:val=""/>
      <w:lvlJc w:val="left"/>
      <w:pPr>
        <w:ind w:left="6493" w:hanging="360"/>
      </w:pPr>
      <w:rPr>
        <w:rFonts w:ascii="Wingdings" w:hAnsi="Wingdings" w:hint="default"/>
      </w:rPr>
    </w:lvl>
  </w:abstractNum>
  <w:abstractNum w:abstractNumId="58" w15:restartNumberingAfterBreak="0">
    <w:nsid w:val="794E77EE"/>
    <w:multiLevelType w:val="hybridMultilevel"/>
    <w:tmpl w:val="E70C5000"/>
    <w:lvl w:ilvl="0" w:tplc="3C96BF56">
      <w:start w:val="1"/>
      <w:numFmt w:val="bullet"/>
      <w:lvlText w:val="-"/>
      <w:lvlJc w:val="left"/>
      <w:pPr>
        <w:ind w:left="720" w:hanging="360"/>
      </w:pPr>
      <w:rPr>
        <w:rFonts w:ascii="Century Gothic" w:eastAsiaTheme="minorHAnsi" w:hAnsi="Century Gothic"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C634F6"/>
    <w:multiLevelType w:val="hybridMultilevel"/>
    <w:tmpl w:val="EA6E3BA4"/>
    <w:lvl w:ilvl="0" w:tplc="04090005">
      <w:start w:val="1"/>
      <w:numFmt w:val="bullet"/>
      <w:lvlText w:val=""/>
      <w:lvlJc w:val="left"/>
      <w:pPr>
        <w:ind w:left="261" w:hanging="360"/>
      </w:pPr>
      <w:rPr>
        <w:rFonts w:ascii="Wingdings" w:hAnsi="Wingdings" w:hint="default"/>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num w:numId="1">
    <w:abstractNumId w:val="17"/>
  </w:num>
  <w:num w:numId="2">
    <w:abstractNumId w:val="19"/>
  </w:num>
  <w:num w:numId="3">
    <w:abstractNumId w:val="32"/>
  </w:num>
  <w:num w:numId="4">
    <w:abstractNumId w:val="10"/>
  </w:num>
  <w:num w:numId="5">
    <w:abstractNumId w:val="16"/>
  </w:num>
  <w:num w:numId="6">
    <w:abstractNumId w:val="48"/>
  </w:num>
  <w:num w:numId="7">
    <w:abstractNumId w:val="44"/>
  </w:num>
  <w:num w:numId="8">
    <w:abstractNumId w:val="56"/>
  </w:num>
  <w:num w:numId="9">
    <w:abstractNumId w:val="22"/>
  </w:num>
  <w:num w:numId="10">
    <w:abstractNumId w:val="40"/>
  </w:num>
  <w:num w:numId="11">
    <w:abstractNumId w:val="7"/>
  </w:num>
  <w:num w:numId="12">
    <w:abstractNumId w:val="41"/>
  </w:num>
  <w:num w:numId="13">
    <w:abstractNumId w:val="43"/>
  </w:num>
  <w:num w:numId="14">
    <w:abstractNumId w:val="55"/>
  </w:num>
  <w:num w:numId="15">
    <w:abstractNumId w:val="51"/>
  </w:num>
  <w:num w:numId="16">
    <w:abstractNumId w:val="33"/>
  </w:num>
  <w:num w:numId="17">
    <w:abstractNumId w:val="14"/>
  </w:num>
  <w:num w:numId="18">
    <w:abstractNumId w:val="11"/>
  </w:num>
  <w:num w:numId="19">
    <w:abstractNumId w:val="35"/>
  </w:num>
  <w:num w:numId="20">
    <w:abstractNumId w:val="26"/>
  </w:num>
  <w:num w:numId="21">
    <w:abstractNumId w:val="8"/>
  </w:num>
  <w:num w:numId="22">
    <w:abstractNumId w:val="36"/>
  </w:num>
  <w:num w:numId="23">
    <w:abstractNumId w:val="52"/>
  </w:num>
  <w:num w:numId="24">
    <w:abstractNumId w:val="18"/>
  </w:num>
  <w:num w:numId="25">
    <w:abstractNumId w:val="31"/>
  </w:num>
  <w:num w:numId="26">
    <w:abstractNumId w:val="59"/>
  </w:num>
  <w:num w:numId="27">
    <w:abstractNumId w:val="25"/>
  </w:num>
  <w:num w:numId="28">
    <w:abstractNumId w:val="46"/>
  </w:num>
  <w:num w:numId="29">
    <w:abstractNumId w:val="23"/>
  </w:num>
  <w:num w:numId="30">
    <w:abstractNumId w:val="15"/>
  </w:num>
  <w:num w:numId="31">
    <w:abstractNumId w:val="9"/>
  </w:num>
  <w:num w:numId="32">
    <w:abstractNumId w:val="12"/>
  </w:num>
  <w:num w:numId="33">
    <w:abstractNumId w:val="49"/>
  </w:num>
  <w:num w:numId="34">
    <w:abstractNumId w:val="37"/>
  </w:num>
  <w:num w:numId="35">
    <w:abstractNumId w:val="30"/>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54"/>
  </w:num>
  <w:num w:numId="39">
    <w:abstractNumId w:val="34"/>
  </w:num>
  <w:num w:numId="40">
    <w:abstractNumId w:val="6"/>
  </w:num>
  <w:num w:numId="41">
    <w:abstractNumId w:val="28"/>
  </w:num>
  <w:num w:numId="42">
    <w:abstractNumId w:val="29"/>
  </w:num>
  <w:num w:numId="43">
    <w:abstractNumId w:val="42"/>
  </w:num>
  <w:num w:numId="44">
    <w:abstractNumId w:val="53"/>
  </w:num>
  <w:num w:numId="45">
    <w:abstractNumId w:val="13"/>
  </w:num>
  <w:num w:numId="46">
    <w:abstractNumId w:val="50"/>
  </w:num>
  <w:num w:numId="47">
    <w:abstractNumId w:val="1"/>
  </w:num>
  <w:num w:numId="48">
    <w:abstractNumId w:val="24"/>
  </w:num>
  <w:num w:numId="49">
    <w:abstractNumId w:val="60"/>
  </w:num>
  <w:num w:numId="50">
    <w:abstractNumId w:val="20"/>
  </w:num>
  <w:num w:numId="51">
    <w:abstractNumId w:val="57"/>
  </w:num>
  <w:num w:numId="52">
    <w:abstractNumId w:val="27"/>
  </w:num>
  <w:num w:numId="53">
    <w:abstractNumId w:val="4"/>
  </w:num>
  <w:num w:numId="54">
    <w:abstractNumId w:val="21"/>
  </w:num>
  <w:num w:numId="55">
    <w:abstractNumId w:val="45"/>
  </w:num>
  <w:num w:numId="56">
    <w:abstractNumId w:val="3"/>
  </w:num>
  <w:num w:numId="57">
    <w:abstractNumId w:val="5"/>
  </w:num>
  <w:num w:numId="58">
    <w:abstractNumId w:val="39"/>
  </w:num>
  <w:num w:numId="59">
    <w:abstractNumId w:val="38"/>
  </w:num>
  <w:num w:numId="60">
    <w:abstractNumId w:val="47"/>
  </w:num>
  <w:num w:numId="61">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F"/>
    <w:rsid w:val="00001DB9"/>
    <w:rsid w:val="00002DD0"/>
    <w:rsid w:val="00006ABF"/>
    <w:rsid w:val="0001014C"/>
    <w:rsid w:val="00011620"/>
    <w:rsid w:val="00011AB3"/>
    <w:rsid w:val="00014EF4"/>
    <w:rsid w:val="00017E93"/>
    <w:rsid w:val="0002124C"/>
    <w:rsid w:val="00025681"/>
    <w:rsid w:val="00026597"/>
    <w:rsid w:val="00034475"/>
    <w:rsid w:val="000352E6"/>
    <w:rsid w:val="00037B29"/>
    <w:rsid w:val="000435D7"/>
    <w:rsid w:val="00052E28"/>
    <w:rsid w:val="00057A70"/>
    <w:rsid w:val="00061FFB"/>
    <w:rsid w:val="00064297"/>
    <w:rsid w:val="0006600E"/>
    <w:rsid w:val="00066FB1"/>
    <w:rsid w:val="0007022F"/>
    <w:rsid w:val="00072877"/>
    <w:rsid w:val="00074EDB"/>
    <w:rsid w:val="000850E0"/>
    <w:rsid w:val="00087F9E"/>
    <w:rsid w:val="00094BB0"/>
    <w:rsid w:val="00096D91"/>
    <w:rsid w:val="000A057E"/>
    <w:rsid w:val="000A52C8"/>
    <w:rsid w:val="000A6004"/>
    <w:rsid w:val="000A65E9"/>
    <w:rsid w:val="000A725B"/>
    <w:rsid w:val="000A7CB1"/>
    <w:rsid w:val="000B0715"/>
    <w:rsid w:val="000B26FC"/>
    <w:rsid w:val="000B3550"/>
    <w:rsid w:val="000B384C"/>
    <w:rsid w:val="000B5548"/>
    <w:rsid w:val="000B5CBE"/>
    <w:rsid w:val="000B5E7A"/>
    <w:rsid w:val="000C48C4"/>
    <w:rsid w:val="000C4CB1"/>
    <w:rsid w:val="000C5333"/>
    <w:rsid w:val="000C5939"/>
    <w:rsid w:val="000C66AD"/>
    <w:rsid w:val="000D0D0A"/>
    <w:rsid w:val="000D3509"/>
    <w:rsid w:val="000D5A68"/>
    <w:rsid w:val="000D6273"/>
    <w:rsid w:val="000E0534"/>
    <w:rsid w:val="000E0B81"/>
    <w:rsid w:val="000E2711"/>
    <w:rsid w:val="000E5A51"/>
    <w:rsid w:val="000F04CD"/>
    <w:rsid w:val="000F3082"/>
    <w:rsid w:val="000F67FF"/>
    <w:rsid w:val="000F77DD"/>
    <w:rsid w:val="001012E4"/>
    <w:rsid w:val="001042E7"/>
    <w:rsid w:val="00105C25"/>
    <w:rsid w:val="001166FC"/>
    <w:rsid w:val="0012006C"/>
    <w:rsid w:val="001225A8"/>
    <w:rsid w:val="00122A2D"/>
    <w:rsid w:val="001233B1"/>
    <w:rsid w:val="00123651"/>
    <w:rsid w:val="00126D9D"/>
    <w:rsid w:val="00130391"/>
    <w:rsid w:val="00134534"/>
    <w:rsid w:val="00134C7B"/>
    <w:rsid w:val="00136557"/>
    <w:rsid w:val="00137EB3"/>
    <w:rsid w:val="00140E07"/>
    <w:rsid w:val="00141BFA"/>
    <w:rsid w:val="00142ACF"/>
    <w:rsid w:val="00143E2E"/>
    <w:rsid w:val="0014506C"/>
    <w:rsid w:val="00147D4F"/>
    <w:rsid w:val="00147E2C"/>
    <w:rsid w:val="0015066D"/>
    <w:rsid w:val="001539C7"/>
    <w:rsid w:val="001562DA"/>
    <w:rsid w:val="001658A6"/>
    <w:rsid w:val="00166052"/>
    <w:rsid w:val="0016607F"/>
    <w:rsid w:val="00166555"/>
    <w:rsid w:val="00170CD8"/>
    <w:rsid w:val="00170DF8"/>
    <w:rsid w:val="0017529B"/>
    <w:rsid w:val="00175620"/>
    <w:rsid w:val="00177EA7"/>
    <w:rsid w:val="00181656"/>
    <w:rsid w:val="001818C3"/>
    <w:rsid w:val="00186CC3"/>
    <w:rsid w:val="001906B1"/>
    <w:rsid w:val="00192C45"/>
    <w:rsid w:val="00194EFE"/>
    <w:rsid w:val="00197745"/>
    <w:rsid w:val="001A1DAA"/>
    <w:rsid w:val="001A2720"/>
    <w:rsid w:val="001A30DD"/>
    <w:rsid w:val="001A3ED9"/>
    <w:rsid w:val="001A5899"/>
    <w:rsid w:val="001A616F"/>
    <w:rsid w:val="001B10A9"/>
    <w:rsid w:val="001B52B0"/>
    <w:rsid w:val="001B5CA0"/>
    <w:rsid w:val="001B5EE9"/>
    <w:rsid w:val="001C55CA"/>
    <w:rsid w:val="001C7C90"/>
    <w:rsid w:val="001D1406"/>
    <w:rsid w:val="001D2649"/>
    <w:rsid w:val="001D63E4"/>
    <w:rsid w:val="001D7AD4"/>
    <w:rsid w:val="001D7CCE"/>
    <w:rsid w:val="001E1852"/>
    <w:rsid w:val="001E2382"/>
    <w:rsid w:val="001E5777"/>
    <w:rsid w:val="001E7B63"/>
    <w:rsid w:val="001F013A"/>
    <w:rsid w:val="001F17D4"/>
    <w:rsid w:val="001F1F23"/>
    <w:rsid w:val="001F20E9"/>
    <w:rsid w:val="001F4520"/>
    <w:rsid w:val="001F748D"/>
    <w:rsid w:val="002013C9"/>
    <w:rsid w:val="00203A5A"/>
    <w:rsid w:val="002047B0"/>
    <w:rsid w:val="00205F90"/>
    <w:rsid w:val="00207CD2"/>
    <w:rsid w:val="00210DF6"/>
    <w:rsid w:val="00212663"/>
    <w:rsid w:val="002136B8"/>
    <w:rsid w:val="002146BC"/>
    <w:rsid w:val="00216B8D"/>
    <w:rsid w:val="00217DD5"/>
    <w:rsid w:val="002253E1"/>
    <w:rsid w:val="00225FC2"/>
    <w:rsid w:val="0023172D"/>
    <w:rsid w:val="002331F3"/>
    <w:rsid w:val="002335EC"/>
    <w:rsid w:val="00235863"/>
    <w:rsid w:val="00240041"/>
    <w:rsid w:val="00240663"/>
    <w:rsid w:val="00245617"/>
    <w:rsid w:val="00250255"/>
    <w:rsid w:val="00251FAC"/>
    <w:rsid w:val="00252F39"/>
    <w:rsid w:val="00257778"/>
    <w:rsid w:val="002636E2"/>
    <w:rsid w:val="00263D5B"/>
    <w:rsid w:val="002641F0"/>
    <w:rsid w:val="002652AF"/>
    <w:rsid w:val="00270792"/>
    <w:rsid w:val="00277C5C"/>
    <w:rsid w:val="002827C9"/>
    <w:rsid w:val="00283180"/>
    <w:rsid w:val="00283AB3"/>
    <w:rsid w:val="00284618"/>
    <w:rsid w:val="00284AD6"/>
    <w:rsid w:val="00287988"/>
    <w:rsid w:val="00290EA8"/>
    <w:rsid w:val="00293FE2"/>
    <w:rsid w:val="00296456"/>
    <w:rsid w:val="002A216E"/>
    <w:rsid w:val="002A7522"/>
    <w:rsid w:val="002A7A5D"/>
    <w:rsid w:val="002A7E08"/>
    <w:rsid w:val="002B1B99"/>
    <w:rsid w:val="002B1C63"/>
    <w:rsid w:val="002B7668"/>
    <w:rsid w:val="002C10C4"/>
    <w:rsid w:val="002C171E"/>
    <w:rsid w:val="002C20BE"/>
    <w:rsid w:val="002C4A25"/>
    <w:rsid w:val="002C66B0"/>
    <w:rsid w:val="002D024D"/>
    <w:rsid w:val="002D05C2"/>
    <w:rsid w:val="002D3609"/>
    <w:rsid w:val="002D414D"/>
    <w:rsid w:val="002D4389"/>
    <w:rsid w:val="002D500A"/>
    <w:rsid w:val="002D661A"/>
    <w:rsid w:val="002E395B"/>
    <w:rsid w:val="002F2C7D"/>
    <w:rsid w:val="002F58D3"/>
    <w:rsid w:val="002F7D2C"/>
    <w:rsid w:val="00300CF3"/>
    <w:rsid w:val="00303818"/>
    <w:rsid w:val="00305119"/>
    <w:rsid w:val="0030599C"/>
    <w:rsid w:val="00306DBE"/>
    <w:rsid w:val="003108D6"/>
    <w:rsid w:val="00311F57"/>
    <w:rsid w:val="00313356"/>
    <w:rsid w:val="00314F8D"/>
    <w:rsid w:val="00316200"/>
    <w:rsid w:val="003163A4"/>
    <w:rsid w:val="00316873"/>
    <w:rsid w:val="00317422"/>
    <w:rsid w:val="00317706"/>
    <w:rsid w:val="00317A35"/>
    <w:rsid w:val="003254EE"/>
    <w:rsid w:val="00332613"/>
    <w:rsid w:val="00333214"/>
    <w:rsid w:val="0033480C"/>
    <w:rsid w:val="00342A3E"/>
    <w:rsid w:val="003500BC"/>
    <w:rsid w:val="00365208"/>
    <w:rsid w:val="003669C8"/>
    <w:rsid w:val="00367B6D"/>
    <w:rsid w:val="00372077"/>
    <w:rsid w:val="003730F5"/>
    <w:rsid w:val="003731AC"/>
    <w:rsid w:val="00373B0B"/>
    <w:rsid w:val="00375775"/>
    <w:rsid w:val="003828F8"/>
    <w:rsid w:val="00382EA6"/>
    <w:rsid w:val="00386E9A"/>
    <w:rsid w:val="00392E43"/>
    <w:rsid w:val="00396752"/>
    <w:rsid w:val="0039677E"/>
    <w:rsid w:val="003A0A51"/>
    <w:rsid w:val="003A2591"/>
    <w:rsid w:val="003A3CE2"/>
    <w:rsid w:val="003A42B4"/>
    <w:rsid w:val="003A4DB0"/>
    <w:rsid w:val="003A589E"/>
    <w:rsid w:val="003B0727"/>
    <w:rsid w:val="003B4246"/>
    <w:rsid w:val="003B47EA"/>
    <w:rsid w:val="003B514E"/>
    <w:rsid w:val="003B7CF1"/>
    <w:rsid w:val="003C1564"/>
    <w:rsid w:val="003C5E37"/>
    <w:rsid w:val="003C6732"/>
    <w:rsid w:val="003D0546"/>
    <w:rsid w:val="003D0957"/>
    <w:rsid w:val="003D17FE"/>
    <w:rsid w:val="003D2607"/>
    <w:rsid w:val="003D2A6F"/>
    <w:rsid w:val="003D2D2E"/>
    <w:rsid w:val="003E071A"/>
    <w:rsid w:val="003E1751"/>
    <w:rsid w:val="003E4426"/>
    <w:rsid w:val="003E4B68"/>
    <w:rsid w:val="003E4F32"/>
    <w:rsid w:val="003E607A"/>
    <w:rsid w:val="003E6AD3"/>
    <w:rsid w:val="003F1663"/>
    <w:rsid w:val="003F26A7"/>
    <w:rsid w:val="003F635B"/>
    <w:rsid w:val="00400EC5"/>
    <w:rsid w:val="004018BA"/>
    <w:rsid w:val="00403987"/>
    <w:rsid w:val="0041784B"/>
    <w:rsid w:val="00417A6C"/>
    <w:rsid w:val="00421849"/>
    <w:rsid w:val="004243D5"/>
    <w:rsid w:val="004272DE"/>
    <w:rsid w:val="00434E4E"/>
    <w:rsid w:val="004364B2"/>
    <w:rsid w:val="004372A0"/>
    <w:rsid w:val="00445E6B"/>
    <w:rsid w:val="00446FF0"/>
    <w:rsid w:val="00450108"/>
    <w:rsid w:val="0045027D"/>
    <w:rsid w:val="00450D82"/>
    <w:rsid w:val="00453CE1"/>
    <w:rsid w:val="004544D8"/>
    <w:rsid w:val="00456F38"/>
    <w:rsid w:val="00457AF8"/>
    <w:rsid w:val="00461824"/>
    <w:rsid w:val="004666BD"/>
    <w:rsid w:val="00466C5A"/>
    <w:rsid w:val="004714DB"/>
    <w:rsid w:val="0047161E"/>
    <w:rsid w:val="0047239D"/>
    <w:rsid w:val="00472B8A"/>
    <w:rsid w:val="00472CFF"/>
    <w:rsid w:val="00473D3A"/>
    <w:rsid w:val="00474A16"/>
    <w:rsid w:val="00476496"/>
    <w:rsid w:val="00477334"/>
    <w:rsid w:val="004843C1"/>
    <w:rsid w:val="00484C96"/>
    <w:rsid w:val="00485EFD"/>
    <w:rsid w:val="00490E74"/>
    <w:rsid w:val="00491AB5"/>
    <w:rsid w:val="004A090A"/>
    <w:rsid w:val="004A2329"/>
    <w:rsid w:val="004A263F"/>
    <w:rsid w:val="004A4DF3"/>
    <w:rsid w:val="004A566C"/>
    <w:rsid w:val="004A6C14"/>
    <w:rsid w:val="004B0F7B"/>
    <w:rsid w:val="004B1F11"/>
    <w:rsid w:val="004B225D"/>
    <w:rsid w:val="004B3E69"/>
    <w:rsid w:val="004B4176"/>
    <w:rsid w:val="004B4700"/>
    <w:rsid w:val="004B47A3"/>
    <w:rsid w:val="004B6BC2"/>
    <w:rsid w:val="004B6D9F"/>
    <w:rsid w:val="004C21E6"/>
    <w:rsid w:val="004C3FEC"/>
    <w:rsid w:val="004C6FC5"/>
    <w:rsid w:val="004C73F3"/>
    <w:rsid w:val="004D0729"/>
    <w:rsid w:val="004D43A9"/>
    <w:rsid w:val="004D5609"/>
    <w:rsid w:val="004D6304"/>
    <w:rsid w:val="004D646E"/>
    <w:rsid w:val="004E6986"/>
    <w:rsid w:val="004F20B3"/>
    <w:rsid w:val="004F4A4E"/>
    <w:rsid w:val="004F5AD3"/>
    <w:rsid w:val="004F63B5"/>
    <w:rsid w:val="00500E3D"/>
    <w:rsid w:val="00504426"/>
    <w:rsid w:val="00505162"/>
    <w:rsid w:val="0050529E"/>
    <w:rsid w:val="005058EC"/>
    <w:rsid w:val="005063CA"/>
    <w:rsid w:val="00506BB9"/>
    <w:rsid w:val="00507D8E"/>
    <w:rsid w:val="00511C9F"/>
    <w:rsid w:val="005125B8"/>
    <w:rsid w:val="00522B0D"/>
    <w:rsid w:val="00523A0F"/>
    <w:rsid w:val="00524739"/>
    <w:rsid w:val="00524812"/>
    <w:rsid w:val="00525A20"/>
    <w:rsid w:val="0052604B"/>
    <w:rsid w:val="00534A8D"/>
    <w:rsid w:val="005358AF"/>
    <w:rsid w:val="00536153"/>
    <w:rsid w:val="00551DDF"/>
    <w:rsid w:val="00553253"/>
    <w:rsid w:val="005543FD"/>
    <w:rsid w:val="00554C2A"/>
    <w:rsid w:val="0055512A"/>
    <w:rsid w:val="00556499"/>
    <w:rsid w:val="00556CDE"/>
    <w:rsid w:val="00561AA3"/>
    <w:rsid w:val="00563B83"/>
    <w:rsid w:val="00566F19"/>
    <w:rsid w:val="00567E34"/>
    <w:rsid w:val="005718A6"/>
    <w:rsid w:val="00573856"/>
    <w:rsid w:val="00577372"/>
    <w:rsid w:val="00577673"/>
    <w:rsid w:val="0058228D"/>
    <w:rsid w:val="00582747"/>
    <w:rsid w:val="005831C7"/>
    <w:rsid w:val="0058339E"/>
    <w:rsid w:val="005838C9"/>
    <w:rsid w:val="00584D4C"/>
    <w:rsid w:val="005875D5"/>
    <w:rsid w:val="005926F6"/>
    <w:rsid w:val="00595A4E"/>
    <w:rsid w:val="0059647E"/>
    <w:rsid w:val="005A1D5D"/>
    <w:rsid w:val="005A3FFA"/>
    <w:rsid w:val="005B3F0E"/>
    <w:rsid w:val="005B7BDB"/>
    <w:rsid w:val="005C1F68"/>
    <w:rsid w:val="005C23C3"/>
    <w:rsid w:val="005D10B7"/>
    <w:rsid w:val="005D14AC"/>
    <w:rsid w:val="005E0CB7"/>
    <w:rsid w:val="005E0E61"/>
    <w:rsid w:val="005E3970"/>
    <w:rsid w:val="005F12AA"/>
    <w:rsid w:val="005F151D"/>
    <w:rsid w:val="005F1530"/>
    <w:rsid w:val="005F42E4"/>
    <w:rsid w:val="005F4996"/>
    <w:rsid w:val="00600E34"/>
    <w:rsid w:val="00603305"/>
    <w:rsid w:val="00603925"/>
    <w:rsid w:val="00604F40"/>
    <w:rsid w:val="006069D5"/>
    <w:rsid w:val="00611019"/>
    <w:rsid w:val="0061440A"/>
    <w:rsid w:val="00616812"/>
    <w:rsid w:val="006242FF"/>
    <w:rsid w:val="006244D1"/>
    <w:rsid w:val="00626083"/>
    <w:rsid w:val="00626E89"/>
    <w:rsid w:val="0063215C"/>
    <w:rsid w:val="00636E71"/>
    <w:rsid w:val="0063741E"/>
    <w:rsid w:val="00643EBB"/>
    <w:rsid w:val="00644E5F"/>
    <w:rsid w:val="00645087"/>
    <w:rsid w:val="0064558F"/>
    <w:rsid w:val="006505D4"/>
    <w:rsid w:val="0065162D"/>
    <w:rsid w:val="00651996"/>
    <w:rsid w:val="00652E73"/>
    <w:rsid w:val="00652FAC"/>
    <w:rsid w:val="00653505"/>
    <w:rsid w:val="00653B19"/>
    <w:rsid w:val="006550CB"/>
    <w:rsid w:val="00656D66"/>
    <w:rsid w:val="00657C11"/>
    <w:rsid w:val="006610AF"/>
    <w:rsid w:val="00662D6D"/>
    <w:rsid w:val="006631BB"/>
    <w:rsid w:val="006632A2"/>
    <w:rsid w:val="006649B9"/>
    <w:rsid w:val="00667D7F"/>
    <w:rsid w:val="00670C6C"/>
    <w:rsid w:val="00672710"/>
    <w:rsid w:val="00675E86"/>
    <w:rsid w:val="0067690F"/>
    <w:rsid w:val="006802D6"/>
    <w:rsid w:val="006805FA"/>
    <w:rsid w:val="006813C8"/>
    <w:rsid w:val="006872C1"/>
    <w:rsid w:val="00687F91"/>
    <w:rsid w:val="00691154"/>
    <w:rsid w:val="00691587"/>
    <w:rsid w:val="00692034"/>
    <w:rsid w:val="006946A1"/>
    <w:rsid w:val="00694FDC"/>
    <w:rsid w:val="006A477D"/>
    <w:rsid w:val="006B094E"/>
    <w:rsid w:val="006B344F"/>
    <w:rsid w:val="006B4C0A"/>
    <w:rsid w:val="006B561F"/>
    <w:rsid w:val="006C1039"/>
    <w:rsid w:val="006C281F"/>
    <w:rsid w:val="006C5937"/>
    <w:rsid w:val="006C5F84"/>
    <w:rsid w:val="006D1970"/>
    <w:rsid w:val="006D2474"/>
    <w:rsid w:val="006D4645"/>
    <w:rsid w:val="006E1D6B"/>
    <w:rsid w:val="006E253E"/>
    <w:rsid w:val="006E2FB1"/>
    <w:rsid w:val="006E3470"/>
    <w:rsid w:val="006E60BA"/>
    <w:rsid w:val="006F1703"/>
    <w:rsid w:val="006F29D4"/>
    <w:rsid w:val="006F3A15"/>
    <w:rsid w:val="006F4D98"/>
    <w:rsid w:val="006F5C89"/>
    <w:rsid w:val="00703037"/>
    <w:rsid w:val="007031B1"/>
    <w:rsid w:val="0070354E"/>
    <w:rsid w:val="00704EDA"/>
    <w:rsid w:val="007075CE"/>
    <w:rsid w:val="00710000"/>
    <w:rsid w:val="00711EAF"/>
    <w:rsid w:val="007161A4"/>
    <w:rsid w:val="007216A9"/>
    <w:rsid w:val="00722464"/>
    <w:rsid w:val="00722DD7"/>
    <w:rsid w:val="007246B2"/>
    <w:rsid w:val="00730A19"/>
    <w:rsid w:val="007317E1"/>
    <w:rsid w:val="00732227"/>
    <w:rsid w:val="00732990"/>
    <w:rsid w:val="0073550D"/>
    <w:rsid w:val="00735D79"/>
    <w:rsid w:val="007375A0"/>
    <w:rsid w:val="007402F6"/>
    <w:rsid w:val="00741749"/>
    <w:rsid w:val="00742AD4"/>
    <w:rsid w:val="007438B9"/>
    <w:rsid w:val="007445EA"/>
    <w:rsid w:val="007455ED"/>
    <w:rsid w:val="00747DFD"/>
    <w:rsid w:val="007535B7"/>
    <w:rsid w:val="00756A08"/>
    <w:rsid w:val="00756CC2"/>
    <w:rsid w:val="00762848"/>
    <w:rsid w:val="00762B91"/>
    <w:rsid w:val="00763E97"/>
    <w:rsid w:val="00765599"/>
    <w:rsid w:val="00775F02"/>
    <w:rsid w:val="0078246D"/>
    <w:rsid w:val="00783B44"/>
    <w:rsid w:val="00785B87"/>
    <w:rsid w:val="00787C4F"/>
    <w:rsid w:val="00797A75"/>
    <w:rsid w:val="007A4698"/>
    <w:rsid w:val="007A5290"/>
    <w:rsid w:val="007A6059"/>
    <w:rsid w:val="007A6D61"/>
    <w:rsid w:val="007A79BB"/>
    <w:rsid w:val="007B009A"/>
    <w:rsid w:val="007B1AC6"/>
    <w:rsid w:val="007B221F"/>
    <w:rsid w:val="007B3FC6"/>
    <w:rsid w:val="007B4842"/>
    <w:rsid w:val="007B4B53"/>
    <w:rsid w:val="007B5880"/>
    <w:rsid w:val="007C0964"/>
    <w:rsid w:val="007C2B6B"/>
    <w:rsid w:val="007C3A32"/>
    <w:rsid w:val="007C797D"/>
    <w:rsid w:val="007D0F1B"/>
    <w:rsid w:val="007D1571"/>
    <w:rsid w:val="007D1798"/>
    <w:rsid w:val="007D405C"/>
    <w:rsid w:val="007D6E12"/>
    <w:rsid w:val="007E0E18"/>
    <w:rsid w:val="007E11E2"/>
    <w:rsid w:val="007E3DE2"/>
    <w:rsid w:val="007E43BD"/>
    <w:rsid w:val="007E7A4B"/>
    <w:rsid w:val="007E7B84"/>
    <w:rsid w:val="007F1B5F"/>
    <w:rsid w:val="007F1C8E"/>
    <w:rsid w:val="007F22F2"/>
    <w:rsid w:val="007F3740"/>
    <w:rsid w:val="007F4947"/>
    <w:rsid w:val="007F4D96"/>
    <w:rsid w:val="007F5269"/>
    <w:rsid w:val="008001C3"/>
    <w:rsid w:val="00801F5D"/>
    <w:rsid w:val="0080263E"/>
    <w:rsid w:val="008027C9"/>
    <w:rsid w:val="00803396"/>
    <w:rsid w:val="008072A4"/>
    <w:rsid w:val="00811D37"/>
    <w:rsid w:val="00812CF8"/>
    <w:rsid w:val="0081449F"/>
    <w:rsid w:val="00821499"/>
    <w:rsid w:val="00825073"/>
    <w:rsid w:val="008256A6"/>
    <w:rsid w:val="00825948"/>
    <w:rsid w:val="0083156D"/>
    <w:rsid w:val="00831911"/>
    <w:rsid w:val="0083351C"/>
    <w:rsid w:val="008361E0"/>
    <w:rsid w:val="008409C9"/>
    <w:rsid w:val="008516E9"/>
    <w:rsid w:val="0085180F"/>
    <w:rsid w:val="00855339"/>
    <w:rsid w:val="00862217"/>
    <w:rsid w:val="008649C0"/>
    <w:rsid w:val="00865419"/>
    <w:rsid w:val="00865E71"/>
    <w:rsid w:val="00867AF6"/>
    <w:rsid w:val="00870CFD"/>
    <w:rsid w:val="00872050"/>
    <w:rsid w:val="00875398"/>
    <w:rsid w:val="00882BD0"/>
    <w:rsid w:val="0088381A"/>
    <w:rsid w:val="0088384F"/>
    <w:rsid w:val="00885365"/>
    <w:rsid w:val="00885461"/>
    <w:rsid w:val="00886FB0"/>
    <w:rsid w:val="00887BE2"/>
    <w:rsid w:val="008909E8"/>
    <w:rsid w:val="008911F1"/>
    <w:rsid w:val="008915E6"/>
    <w:rsid w:val="008924C7"/>
    <w:rsid w:val="00892D59"/>
    <w:rsid w:val="008A1A63"/>
    <w:rsid w:val="008A6B6E"/>
    <w:rsid w:val="008B155C"/>
    <w:rsid w:val="008B2B25"/>
    <w:rsid w:val="008B40AF"/>
    <w:rsid w:val="008B4DFA"/>
    <w:rsid w:val="008B59A1"/>
    <w:rsid w:val="008C109F"/>
    <w:rsid w:val="008C1722"/>
    <w:rsid w:val="008C2A1F"/>
    <w:rsid w:val="008C5525"/>
    <w:rsid w:val="008C75D6"/>
    <w:rsid w:val="008C7A1E"/>
    <w:rsid w:val="008D737D"/>
    <w:rsid w:val="008E259E"/>
    <w:rsid w:val="008E5562"/>
    <w:rsid w:val="008F2372"/>
    <w:rsid w:val="008F4E58"/>
    <w:rsid w:val="008F684C"/>
    <w:rsid w:val="00901998"/>
    <w:rsid w:val="00902F41"/>
    <w:rsid w:val="00905F47"/>
    <w:rsid w:val="00905F68"/>
    <w:rsid w:val="00912A02"/>
    <w:rsid w:val="00912A4E"/>
    <w:rsid w:val="009131CE"/>
    <w:rsid w:val="00913CF7"/>
    <w:rsid w:val="00914B87"/>
    <w:rsid w:val="0091728D"/>
    <w:rsid w:val="00917FC8"/>
    <w:rsid w:val="00920304"/>
    <w:rsid w:val="00921EAD"/>
    <w:rsid w:val="00922FF7"/>
    <w:rsid w:val="009245AA"/>
    <w:rsid w:val="00931CDE"/>
    <w:rsid w:val="00937815"/>
    <w:rsid w:val="0094211F"/>
    <w:rsid w:val="0094299D"/>
    <w:rsid w:val="00945C64"/>
    <w:rsid w:val="0095006B"/>
    <w:rsid w:val="009505BE"/>
    <w:rsid w:val="00952BBF"/>
    <w:rsid w:val="0095394B"/>
    <w:rsid w:val="00954E48"/>
    <w:rsid w:val="0095559E"/>
    <w:rsid w:val="00962526"/>
    <w:rsid w:val="00962C55"/>
    <w:rsid w:val="00964F82"/>
    <w:rsid w:val="0096573F"/>
    <w:rsid w:val="0097112B"/>
    <w:rsid w:val="009715F2"/>
    <w:rsid w:val="0097265B"/>
    <w:rsid w:val="00974DA4"/>
    <w:rsid w:val="00981BC3"/>
    <w:rsid w:val="009826DB"/>
    <w:rsid w:val="00983C5C"/>
    <w:rsid w:val="009857DA"/>
    <w:rsid w:val="0099077C"/>
    <w:rsid w:val="009915A3"/>
    <w:rsid w:val="00992A2A"/>
    <w:rsid w:val="00997281"/>
    <w:rsid w:val="0099738F"/>
    <w:rsid w:val="009A337D"/>
    <w:rsid w:val="009A5E2F"/>
    <w:rsid w:val="009A7D39"/>
    <w:rsid w:val="009B1540"/>
    <w:rsid w:val="009B201B"/>
    <w:rsid w:val="009B4EB1"/>
    <w:rsid w:val="009B7922"/>
    <w:rsid w:val="009C2781"/>
    <w:rsid w:val="009C3908"/>
    <w:rsid w:val="009C55AD"/>
    <w:rsid w:val="009C57A8"/>
    <w:rsid w:val="009C6423"/>
    <w:rsid w:val="009D2AA9"/>
    <w:rsid w:val="009D332D"/>
    <w:rsid w:val="009D3D15"/>
    <w:rsid w:val="009D7933"/>
    <w:rsid w:val="009D79CF"/>
    <w:rsid w:val="009E0AF9"/>
    <w:rsid w:val="009E56EF"/>
    <w:rsid w:val="009E6C31"/>
    <w:rsid w:val="009F1450"/>
    <w:rsid w:val="009F422D"/>
    <w:rsid w:val="009F7FA7"/>
    <w:rsid w:val="00A02AA0"/>
    <w:rsid w:val="00A03362"/>
    <w:rsid w:val="00A039DD"/>
    <w:rsid w:val="00A06B05"/>
    <w:rsid w:val="00A10060"/>
    <w:rsid w:val="00A10880"/>
    <w:rsid w:val="00A1169E"/>
    <w:rsid w:val="00A11CB2"/>
    <w:rsid w:val="00A13523"/>
    <w:rsid w:val="00A1586D"/>
    <w:rsid w:val="00A27FF5"/>
    <w:rsid w:val="00A35B09"/>
    <w:rsid w:val="00A36636"/>
    <w:rsid w:val="00A404C3"/>
    <w:rsid w:val="00A41E67"/>
    <w:rsid w:val="00A44CF0"/>
    <w:rsid w:val="00A479D3"/>
    <w:rsid w:val="00A5137E"/>
    <w:rsid w:val="00A609F7"/>
    <w:rsid w:val="00A6110D"/>
    <w:rsid w:val="00A621D3"/>
    <w:rsid w:val="00A65253"/>
    <w:rsid w:val="00A658D1"/>
    <w:rsid w:val="00A66049"/>
    <w:rsid w:val="00A66DCB"/>
    <w:rsid w:val="00A706DB"/>
    <w:rsid w:val="00A71CA5"/>
    <w:rsid w:val="00A74889"/>
    <w:rsid w:val="00A749DA"/>
    <w:rsid w:val="00A80895"/>
    <w:rsid w:val="00A810AC"/>
    <w:rsid w:val="00A838AD"/>
    <w:rsid w:val="00A83966"/>
    <w:rsid w:val="00A842B2"/>
    <w:rsid w:val="00A85177"/>
    <w:rsid w:val="00A860AE"/>
    <w:rsid w:val="00A87280"/>
    <w:rsid w:val="00A940C7"/>
    <w:rsid w:val="00A95573"/>
    <w:rsid w:val="00AA032D"/>
    <w:rsid w:val="00AA140C"/>
    <w:rsid w:val="00AA2A7D"/>
    <w:rsid w:val="00AA5826"/>
    <w:rsid w:val="00AA70C7"/>
    <w:rsid w:val="00AB2C46"/>
    <w:rsid w:val="00AB424D"/>
    <w:rsid w:val="00AB71DE"/>
    <w:rsid w:val="00AB743A"/>
    <w:rsid w:val="00AC006E"/>
    <w:rsid w:val="00AC0C7E"/>
    <w:rsid w:val="00AC67F2"/>
    <w:rsid w:val="00AC68C7"/>
    <w:rsid w:val="00AD5AD3"/>
    <w:rsid w:val="00AD5E22"/>
    <w:rsid w:val="00AE0EE3"/>
    <w:rsid w:val="00AE75BD"/>
    <w:rsid w:val="00AF1697"/>
    <w:rsid w:val="00AF4702"/>
    <w:rsid w:val="00AF594C"/>
    <w:rsid w:val="00B01169"/>
    <w:rsid w:val="00B0169E"/>
    <w:rsid w:val="00B0360E"/>
    <w:rsid w:val="00B051B5"/>
    <w:rsid w:val="00B06C94"/>
    <w:rsid w:val="00B100A1"/>
    <w:rsid w:val="00B11877"/>
    <w:rsid w:val="00B132A0"/>
    <w:rsid w:val="00B1522D"/>
    <w:rsid w:val="00B2274E"/>
    <w:rsid w:val="00B237DA"/>
    <w:rsid w:val="00B30843"/>
    <w:rsid w:val="00B31095"/>
    <w:rsid w:val="00B3294D"/>
    <w:rsid w:val="00B34F72"/>
    <w:rsid w:val="00B42071"/>
    <w:rsid w:val="00B443A5"/>
    <w:rsid w:val="00B46C56"/>
    <w:rsid w:val="00B46F66"/>
    <w:rsid w:val="00B51432"/>
    <w:rsid w:val="00B52A00"/>
    <w:rsid w:val="00B55FD0"/>
    <w:rsid w:val="00B56140"/>
    <w:rsid w:val="00B56C77"/>
    <w:rsid w:val="00B6649E"/>
    <w:rsid w:val="00B704A4"/>
    <w:rsid w:val="00B71930"/>
    <w:rsid w:val="00B72B13"/>
    <w:rsid w:val="00B72D4D"/>
    <w:rsid w:val="00B75105"/>
    <w:rsid w:val="00B8004F"/>
    <w:rsid w:val="00B8027E"/>
    <w:rsid w:val="00B804A3"/>
    <w:rsid w:val="00B804F2"/>
    <w:rsid w:val="00B810C2"/>
    <w:rsid w:val="00B818B2"/>
    <w:rsid w:val="00B81B7D"/>
    <w:rsid w:val="00B83F5D"/>
    <w:rsid w:val="00B8430B"/>
    <w:rsid w:val="00B8653A"/>
    <w:rsid w:val="00B9743D"/>
    <w:rsid w:val="00BA1620"/>
    <w:rsid w:val="00BA2FD0"/>
    <w:rsid w:val="00BA5CA9"/>
    <w:rsid w:val="00BB74F5"/>
    <w:rsid w:val="00BC03CD"/>
    <w:rsid w:val="00BC63A5"/>
    <w:rsid w:val="00BD0E56"/>
    <w:rsid w:val="00BD3DF7"/>
    <w:rsid w:val="00BD6710"/>
    <w:rsid w:val="00BD6746"/>
    <w:rsid w:val="00BD697A"/>
    <w:rsid w:val="00BE0B33"/>
    <w:rsid w:val="00BE1061"/>
    <w:rsid w:val="00BE20C9"/>
    <w:rsid w:val="00BE2220"/>
    <w:rsid w:val="00BE3350"/>
    <w:rsid w:val="00BE34AA"/>
    <w:rsid w:val="00BE41A4"/>
    <w:rsid w:val="00BE46B6"/>
    <w:rsid w:val="00BE4F6A"/>
    <w:rsid w:val="00BE5CD8"/>
    <w:rsid w:val="00BF2384"/>
    <w:rsid w:val="00BF3F66"/>
    <w:rsid w:val="00BF724D"/>
    <w:rsid w:val="00C02EB2"/>
    <w:rsid w:val="00C02F8C"/>
    <w:rsid w:val="00C0312E"/>
    <w:rsid w:val="00C03266"/>
    <w:rsid w:val="00C04200"/>
    <w:rsid w:val="00C11887"/>
    <w:rsid w:val="00C1342A"/>
    <w:rsid w:val="00C137E8"/>
    <w:rsid w:val="00C15C97"/>
    <w:rsid w:val="00C17616"/>
    <w:rsid w:val="00C226B9"/>
    <w:rsid w:val="00C23B19"/>
    <w:rsid w:val="00C26FF4"/>
    <w:rsid w:val="00C309A0"/>
    <w:rsid w:val="00C326D1"/>
    <w:rsid w:val="00C36D7D"/>
    <w:rsid w:val="00C47769"/>
    <w:rsid w:val="00C501B5"/>
    <w:rsid w:val="00C50AC8"/>
    <w:rsid w:val="00C5249C"/>
    <w:rsid w:val="00C538DB"/>
    <w:rsid w:val="00C539BF"/>
    <w:rsid w:val="00C53F95"/>
    <w:rsid w:val="00C5544A"/>
    <w:rsid w:val="00C56B6E"/>
    <w:rsid w:val="00C57389"/>
    <w:rsid w:val="00C62DE0"/>
    <w:rsid w:val="00C63044"/>
    <w:rsid w:val="00C64C28"/>
    <w:rsid w:val="00C6637A"/>
    <w:rsid w:val="00C66CC3"/>
    <w:rsid w:val="00C72024"/>
    <w:rsid w:val="00C72548"/>
    <w:rsid w:val="00C74C2F"/>
    <w:rsid w:val="00C752DA"/>
    <w:rsid w:val="00C75E94"/>
    <w:rsid w:val="00C76F10"/>
    <w:rsid w:val="00C80E69"/>
    <w:rsid w:val="00C81B4C"/>
    <w:rsid w:val="00C81FAD"/>
    <w:rsid w:val="00C84C49"/>
    <w:rsid w:val="00C8541F"/>
    <w:rsid w:val="00C85C8E"/>
    <w:rsid w:val="00C96E4F"/>
    <w:rsid w:val="00C97B97"/>
    <w:rsid w:val="00CA2BF6"/>
    <w:rsid w:val="00CA3D9B"/>
    <w:rsid w:val="00CA4AE3"/>
    <w:rsid w:val="00CA5A6D"/>
    <w:rsid w:val="00CA66DE"/>
    <w:rsid w:val="00CA6DDA"/>
    <w:rsid w:val="00CA74B9"/>
    <w:rsid w:val="00CB3172"/>
    <w:rsid w:val="00CB6136"/>
    <w:rsid w:val="00CC57B5"/>
    <w:rsid w:val="00CC7DF0"/>
    <w:rsid w:val="00CD040F"/>
    <w:rsid w:val="00CD1CF9"/>
    <w:rsid w:val="00CD2048"/>
    <w:rsid w:val="00CD3B0F"/>
    <w:rsid w:val="00CE2163"/>
    <w:rsid w:val="00CE69EB"/>
    <w:rsid w:val="00CF0047"/>
    <w:rsid w:val="00CF19B8"/>
    <w:rsid w:val="00CF301B"/>
    <w:rsid w:val="00CF423D"/>
    <w:rsid w:val="00CF50D6"/>
    <w:rsid w:val="00D02040"/>
    <w:rsid w:val="00D027EC"/>
    <w:rsid w:val="00D05EBB"/>
    <w:rsid w:val="00D10BAB"/>
    <w:rsid w:val="00D120DE"/>
    <w:rsid w:val="00D16CEC"/>
    <w:rsid w:val="00D173A0"/>
    <w:rsid w:val="00D319FE"/>
    <w:rsid w:val="00D32C23"/>
    <w:rsid w:val="00D37A00"/>
    <w:rsid w:val="00D43F0D"/>
    <w:rsid w:val="00D46273"/>
    <w:rsid w:val="00D47F0E"/>
    <w:rsid w:val="00D50CA0"/>
    <w:rsid w:val="00D52121"/>
    <w:rsid w:val="00D5473E"/>
    <w:rsid w:val="00D57CF1"/>
    <w:rsid w:val="00D602D4"/>
    <w:rsid w:val="00D66F62"/>
    <w:rsid w:val="00D70959"/>
    <w:rsid w:val="00D70FE2"/>
    <w:rsid w:val="00D735FE"/>
    <w:rsid w:val="00D73FD6"/>
    <w:rsid w:val="00D747B7"/>
    <w:rsid w:val="00D769D9"/>
    <w:rsid w:val="00D7740D"/>
    <w:rsid w:val="00D82DD9"/>
    <w:rsid w:val="00D8397E"/>
    <w:rsid w:val="00D84D17"/>
    <w:rsid w:val="00D85539"/>
    <w:rsid w:val="00D85B0E"/>
    <w:rsid w:val="00D910FC"/>
    <w:rsid w:val="00D91356"/>
    <w:rsid w:val="00D953A1"/>
    <w:rsid w:val="00D95AD4"/>
    <w:rsid w:val="00D95B87"/>
    <w:rsid w:val="00D96F13"/>
    <w:rsid w:val="00DA1F88"/>
    <w:rsid w:val="00DA51FA"/>
    <w:rsid w:val="00DB1908"/>
    <w:rsid w:val="00DB4423"/>
    <w:rsid w:val="00DB5416"/>
    <w:rsid w:val="00DC0780"/>
    <w:rsid w:val="00DC0F52"/>
    <w:rsid w:val="00DC17F1"/>
    <w:rsid w:val="00DC1A9D"/>
    <w:rsid w:val="00DC1D5C"/>
    <w:rsid w:val="00DC3507"/>
    <w:rsid w:val="00DC5E33"/>
    <w:rsid w:val="00DC6227"/>
    <w:rsid w:val="00DD0423"/>
    <w:rsid w:val="00DD5053"/>
    <w:rsid w:val="00DD5CBA"/>
    <w:rsid w:val="00DD79CB"/>
    <w:rsid w:val="00DE4F99"/>
    <w:rsid w:val="00DE58AC"/>
    <w:rsid w:val="00DF2022"/>
    <w:rsid w:val="00DF24EE"/>
    <w:rsid w:val="00DF6832"/>
    <w:rsid w:val="00E02944"/>
    <w:rsid w:val="00E02B59"/>
    <w:rsid w:val="00E04316"/>
    <w:rsid w:val="00E05D84"/>
    <w:rsid w:val="00E12C3A"/>
    <w:rsid w:val="00E13104"/>
    <w:rsid w:val="00E131D0"/>
    <w:rsid w:val="00E13604"/>
    <w:rsid w:val="00E16027"/>
    <w:rsid w:val="00E20699"/>
    <w:rsid w:val="00E207A6"/>
    <w:rsid w:val="00E21AC1"/>
    <w:rsid w:val="00E220C1"/>
    <w:rsid w:val="00E226FA"/>
    <w:rsid w:val="00E241D1"/>
    <w:rsid w:val="00E25725"/>
    <w:rsid w:val="00E25763"/>
    <w:rsid w:val="00E2618E"/>
    <w:rsid w:val="00E279C9"/>
    <w:rsid w:val="00E31632"/>
    <w:rsid w:val="00E32930"/>
    <w:rsid w:val="00E36BF5"/>
    <w:rsid w:val="00E36F5D"/>
    <w:rsid w:val="00E37216"/>
    <w:rsid w:val="00E37237"/>
    <w:rsid w:val="00E37C42"/>
    <w:rsid w:val="00E40203"/>
    <w:rsid w:val="00E44181"/>
    <w:rsid w:val="00E44A2F"/>
    <w:rsid w:val="00E5011D"/>
    <w:rsid w:val="00E51D3E"/>
    <w:rsid w:val="00E52295"/>
    <w:rsid w:val="00E545E5"/>
    <w:rsid w:val="00E547FE"/>
    <w:rsid w:val="00E561AF"/>
    <w:rsid w:val="00E56C7F"/>
    <w:rsid w:val="00E57EAC"/>
    <w:rsid w:val="00E65672"/>
    <w:rsid w:val="00E65DAA"/>
    <w:rsid w:val="00E65EED"/>
    <w:rsid w:val="00E66041"/>
    <w:rsid w:val="00E6674F"/>
    <w:rsid w:val="00E6730D"/>
    <w:rsid w:val="00E67802"/>
    <w:rsid w:val="00E67FDE"/>
    <w:rsid w:val="00E716ED"/>
    <w:rsid w:val="00E74A9A"/>
    <w:rsid w:val="00E77002"/>
    <w:rsid w:val="00E83565"/>
    <w:rsid w:val="00E84DBC"/>
    <w:rsid w:val="00E87EAD"/>
    <w:rsid w:val="00E9140F"/>
    <w:rsid w:val="00E91D4E"/>
    <w:rsid w:val="00E93DCC"/>
    <w:rsid w:val="00E96A26"/>
    <w:rsid w:val="00E97A1C"/>
    <w:rsid w:val="00EA1436"/>
    <w:rsid w:val="00EA1754"/>
    <w:rsid w:val="00EA175A"/>
    <w:rsid w:val="00EA2340"/>
    <w:rsid w:val="00EA29C7"/>
    <w:rsid w:val="00EA79B4"/>
    <w:rsid w:val="00EB10E6"/>
    <w:rsid w:val="00EB163C"/>
    <w:rsid w:val="00EB1C24"/>
    <w:rsid w:val="00EB1CF0"/>
    <w:rsid w:val="00EB2A91"/>
    <w:rsid w:val="00EB3173"/>
    <w:rsid w:val="00EB36EE"/>
    <w:rsid w:val="00EB5C45"/>
    <w:rsid w:val="00EB6B01"/>
    <w:rsid w:val="00EB6E75"/>
    <w:rsid w:val="00EC038E"/>
    <w:rsid w:val="00EC6CF0"/>
    <w:rsid w:val="00EC7EA0"/>
    <w:rsid w:val="00EC7F06"/>
    <w:rsid w:val="00ED1360"/>
    <w:rsid w:val="00ED210C"/>
    <w:rsid w:val="00ED3583"/>
    <w:rsid w:val="00ED3C25"/>
    <w:rsid w:val="00ED41DE"/>
    <w:rsid w:val="00ED6FCB"/>
    <w:rsid w:val="00ED7393"/>
    <w:rsid w:val="00EE01B0"/>
    <w:rsid w:val="00EE25D8"/>
    <w:rsid w:val="00EE4EAD"/>
    <w:rsid w:val="00EF0330"/>
    <w:rsid w:val="00EF13BF"/>
    <w:rsid w:val="00EF16E9"/>
    <w:rsid w:val="00EF280C"/>
    <w:rsid w:val="00EF4EED"/>
    <w:rsid w:val="00EF503E"/>
    <w:rsid w:val="00EF7824"/>
    <w:rsid w:val="00EF7C35"/>
    <w:rsid w:val="00F004BF"/>
    <w:rsid w:val="00F0341C"/>
    <w:rsid w:val="00F04B9C"/>
    <w:rsid w:val="00F04F1E"/>
    <w:rsid w:val="00F06E3C"/>
    <w:rsid w:val="00F06F78"/>
    <w:rsid w:val="00F0791C"/>
    <w:rsid w:val="00F1422C"/>
    <w:rsid w:val="00F16899"/>
    <w:rsid w:val="00F16936"/>
    <w:rsid w:val="00F20146"/>
    <w:rsid w:val="00F20639"/>
    <w:rsid w:val="00F240B6"/>
    <w:rsid w:val="00F301AA"/>
    <w:rsid w:val="00F32539"/>
    <w:rsid w:val="00F342A5"/>
    <w:rsid w:val="00F372C9"/>
    <w:rsid w:val="00F42190"/>
    <w:rsid w:val="00F43216"/>
    <w:rsid w:val="00F4352B"/>
    <w:rsid w:val="00F4419A"/>
    <w:rsid w:val="00F455E9"/>
    <w:rsid w:val="00F45841"/>
    <w:rsid w:val="00F45955"/>
    <w:rsid w:val="00F51869"/>
    <w:rsid w:val="00F54C02"/>
    <w:rsid w:val="00F604C3"/>
    <w:rsid w:val="00F61D4B"/>
    <w:rsid w:val="00F62B01"/>
    <w:rsid w:val="00F63FEC"/>
    <w:rsid w:val="00F671FD"/>
    <w:rsid w:val="00F7339D"/>
    <w:rsid w:val="00F73C5F"/>
    <w:rsid w:val="00F7618C"/>
    <w:rsid w:val="00F77822"/>
    <w:rsid w:val="00F83ED9"/>
    <w:rsid w:val="00F857B1"/>
    <w:rsid w:val="00F86DC2"/>
    <w:rsid w:val="00F904D9"/>
    <w:rsid w:val="00F92963"/>
    <w:rsid w:val="00F93368"/>
    <w:rsid w:val="00F94D1D"/>
    <w:rsid w:val="00F9690E"/>
    <w:rsid w:val="00F9707C"/>
    <w:rsid w:val="00FA0007"/>
    <w:rsid w:val="00FA0AAF"/>
    <w:rsid w:val="00FA2811"/>
    <w:rsid w:val="00FA43F5"/>
    <w:rsid w:val="00FA4EE9"/>
    <w:rsid w:val="00FA547E"/>
    <w:rsid w:val="00FA7D68"/>
    <w:rsid w:val="00FB2DDA"/>
    <w:rsid w:val="00FC1058"/>
    <w:rsid w:val="00FC10E1"/>
    <w:rsid w:val="00FC23C5"/>
    <w:rsid w:val="00FC2F6A"/>
    <w:rsid w:val="00FC6762"/>
    <w:rsid w:val="00FC7A31"/>
    <w:rsid w:val="00FC7AE2"/>
    <w:rsid w:val="00FD12E7"/>
    <w:rsid w:val="00FD2C86"/>
    <w:rsid w:val="00FE27A0"/>
    <w:rsid w:val="00FE4E7D"/>
    <w:rsid w:val="00FE5CE9"/>
    <w:rsid w:val="00FF27E4"/>
    <w:rsid w:val="00FF343B"/>
    <w:rsid w:val="00FF6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3E80"/>
  <w15:docId w15:val="{EBAB0E62-209B-5F4F-A38D-6880BB2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04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04BF"/>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F004BF"/>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004BF"/>
    <w:rPr>
      <w:rFonts w:ascii="Cambria" w:eastAsia="Times New Roman" w:hAnsi="Cambria" w:cs="Times New Roman"/>
      <w:b/>
      <w:bCs/>
      <w:i/>
      <w:iCs/>
      <w:sz w:val="28"/>
      <w:szCs w:val="28"/>
      <w:lang w:val="en-US"/>
    </w:rPr>
  </w:style>
  <w:style w:type="character" w:styleId="Hyperlink">
    <w:name w:val="Hyperlink"/>
    <w:rsid w:val="00F004BF"/>
    <w:rPr>
      <w:color w:val="0000FF"/>
      <w:u w:val="single"/>
    </w:rPr>
  </w:style>
  <w:style w:type="paragraph" w:styleId="FootnoteText">
    <w:name w:val="footnote text"/>
    <w:aliases w:val="ft,ADB,single space,Footnote Text Char Char Char,Footnote Text Char Char Char Char,Fodnotetekst Tegn,Footnote Text1,footnote text Char,Fodnotetekst Tegn Char,single space Char,footnote text Char Char Char,Fodnotetekst Tegn Char1"/>
    <w:basedOn w:val="Normal"/>
    <w:link w:val="FootnoteTextChar"/>
    <w:uiPriority w:val="99"/>
    <w:rsid w:val="00F004BF"/>
    <w:rPr>
      <w:sz w:val="20"/>
      <w:szCs w:val="20"/>
    </w:rPr>
  </w:style>
  <w:style w:type="character" w:customStyle="1" w:styleId="FootnoteTextChar">
    <w:name w:val="Footnote Text Char"/>
    <w:aliases w:val="ft Char,ADB Char,single space Char1,Footnote Text Char Char Char Char1,Footnote Text Char Char Char Char Char,Fodnotetekst Tegn Char2,Footnote Text1 Char,footnote text Char Char,Fodnotetekst Tegn Char Char,single space Char Char"/>
    <w:basedOn w:val="DefaultParagraphFont"/>
    <w:link w:val="FootnoteText"/>
    <w:uiPriority w:val="99"/>
    <w:rsid w:val="00F004BF"/>
    <w:rPr>
      <w:rFonts w:ascii="Times New Roman" w:eastAsia="Times New Roman" w:hAnsi="Times New Roman" w:cs="Times New Roman"/>
      <w:sz w:val="20"/>
      <w:szCs w:val="20"/>
      <w:lang w:val="en-GB" w:eastAsia="en-GB"/>
    </w:rPr>
  </w:style>
  <w:style w:type="character" w:styleId="FootnoteReference">
    <w:name w:val="footnote reference"/>
    <w:aliases w:val="Error-Fußnotenzeichen5,Error-Fußnotenzeichen6,Error-Fußnotenzeichen3,Liste à puces Car,Appel note de bas de p. Car,Car Car,Appel note de bas de p. Car Car Char Car Car Car Car Car,Car,16 Point Car Car Car Car Car Car Car"/>
    <w:link w:val="16PointCarCarCarCarCarCar"/>
    <w:uiPriority w:val="99"/>
    <w:rsid w:val="00F004BF"/>
    <w:rPr>
      <w:vertAlign w:val="superscript"/>
    </w:rPr>
  </w:style>
  <w:style w:type="paragraph" w:styleId="BalloonText">
    <w:name w:val="Balloon Text"/>
    <w:basedOn w:val="Normal"/>
    <w:link w:val="BalloonTextChar"/>
    <w:unhideWhenUsed/>
    <w:rsid w:val="00F004BF"/>
    <w:rPr>
      <w:rFonts w:ascii="Tahoma" w:hAnsi="Tahoma" w:cs="Tahoma"/>
      <w:sz w:val="16"/>
      <w:szCs w:val="16"/>
    </w:rPr>
  </w:style>
  <w:style w:type="character" w:customStyle="1" w:styleId="BalloonTextChar">
    <w:name w:val="Balloon Text Char"/>
    <w:basedOn w:val="DefaultParagraphFont"/>
    <w:link w:val="BalloonText"/>
    <w:rsid w:val="00F004BF"/>
    <w:rPr>
      <w:rFonts w:ascii="Tahoma" w:eastAsia="Times New Roman" w:hAnsi="Tahoma" w:cs="Tahoma"/>
      <w:sz w:val="16"/>
      <w:szCs w:val="16"/>
      <w:lang w:val="en-GB" w:eastAsia="en-GB"/>
    </w:rPr>
  </w:style>
  <w:style w:type="paragraph" w:styleId="Header">
    <w:name w:val="header"/>
    <w:basedOn w:val="Normal"/>
    <w:link w:val="HeaderChar"/>
    <w:unhideWhenUsed/>
    <w:rsid w:val="00F004BF"/>
    <w:pPr>
      <w:tabs>
        <w:tab w:val="center" w:pos="4680"/>
        <w:tab w:val="right" w:pos="9360"/>
      </w:tabs>
    </w:pPr>
  </w:style>
  <w:style w:type="character" w:customStyle="1" w:styleId="HeaderChar">
    <w:name w:val="Header Char"/>
    <w:basedOn w:val="DefaultParagraphFont"/>
    <w:link w:val="Header"/>
    <w:rsid w:val="00F004BF"/>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F004BF"/>
    <w:pPr>
      <w:tabs>
        <w:tab w:val="center" w:pos="4680"/>
        <w:tab w:val="right" w:pos="9360"/>
      </w:tabs>
    </w:pPr>
  </w:style>
  <w:style w:type="character" w:customStyle="1" w:styleId="FooterChar">
    <w:name w:val="Footer Char"/>
    <w:basedOn w:val="DefaultParagraphFont"/>
    <w:link w:val="Footer"/>
    <w:rsid w:val="00F004BF"/>
    <w:rPr>
      <w:rFonts w:ascii="Times New Roman" w:eastAsia="Times New Roman" w:hAnsi="Times New Roman" w:cs="Times New Roman"/>
      <w:sz w:val="24"/>
      <w:szCs w:val="24"/>
      <w:lang w:val="en-GB" w:eastAsia="en-GB"/>
    </w:rPr>
  </w:style>
  <w:style w:type="paragraph" w:styleId="ListParagraph">
    <w:name w:val="List Paragraph"/>
    <w:aliases w:val="Premier,Style 3,Lapis Bulleted List,List Paragraph1,List Paragraph (numbered (a)),Dot pt,F5 List Paragraph,No Spacing1,List Paragraph Char Char Char,Indicator Text,Numbered Para 1,Bullet 1,List Paragraph12,Bullet Points,MAIN CONTENT"/>
    <w:basedOn w:val="Normal"/>
    <w:link w:val="ListParagraphChar"/>
    <w:qFormat/>
    <w:rsid w:val="00F004BF"/>
    <w:pPr>
      <w:ind w:left="720"/>
      <w:contextualSpacing/>
    </w:pPr>
  </w:style>
  <w:style w:type="character" w:styleId="FollowedHyperlink">
    <w:name w:val="FollowedHyperlink"/>
    <w:uiPriority w:val="99"/>
    <w:semiHidden/>
    <w:unhideWhenUsed/>
    <w:rsid w:val="00F004BF"/>
    <w:rPr>
      <w:color w:val="800080"/>
      <w:u w:val="single"/>
    </w:rPr>
  </w:style>
  <w:style w:type="character" w:styleId="CommentReference">
    <w:name w:val="annotation reference"/>
    <w:uiPriority w:val="99"/>
    <w:semiHidden/>
    <w:rsid w:val="00F004BF"/>
    <w:rPr>
      <w:sz w:val="16"/>
      <w:szCs w:val="16"/>
    </w:rPr>
  </w:style>
  <w:style w:type="paragraph" w:styleId="CommentText">
    <w:name w:val="annotation text"/>
    <w:basedOn w:val="Normal"/>
    <w:link w:val="CommentTextChar"/>
    <w:uiPriority w:val="99"/>
    <w:rsid w:val="00F004BF"/>
    <w:rPr>
      <w:sz w:val="20"/>
      <w:szCs w:val="20"/>
    </w:rPr>
  </w:style>
  <w:style w:type="character" w:customStyle="1" w:styleId="CommentTextChar">
    <w:name w:val="Comment Text Char"/>
    <w:basedOn w:val="DefaultParagraphFont"/>
    <w:link w:val="CommentText"/>
    <w:uiPriority w:val="99"/>
    <w:rsid w:val="00F004B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F004BF"/>
    <w:rPr>
      <w:b/>
      <w:bCs/>
    </w:rPr>
  </w:style>
  <w:style w:type="character" w:customStyle="1" w:styleId="CommentSubjectChar">
    <w:name w:val="Comment Subject Char"/>
    <w:basedOn w:val="CommentTextChar"/>
    <w:link w:val="CommentSubject"/>
    <w:semiHidden/>
    <w:rsid w:val="00F004B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004BF"/>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004BF"/>
    <w:pPr>
      <w:spacing w:after="0" w:line="240" w:lineRule="auto"/>
    </w:pPr>
    <w:rPr>
      <w:rFonts w:ascii="Calibri" w:eastAsia="Calibri"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4BF"/>
    <w:rPr>
      <w:rFonts w:ascii="Arial" w:hAnsi="Arial" w:cs="Arial"/>
      <w:sz w:val="20"/>
      <w:szCs w:val="20"/>
      <w:lang w:val="en-US" w:eastAsia="en-US"/>
    </w:rPr>
  </w:style>
  <w:style w:type="character" w:customStyle="1" w:styleId="BodyTextChar">
    <w:name w:val="Body Text Char"/>
    <w:basedOn w:val="DefaultParagraphFont"/>
    <w:link w:val="BodyText"/>
    <w:rsid w:val="00F004BF"/>
    <w:rPr>
      <w:rFonts w:ascii="Arial" w:eastAsia="Times New Roman" w:hAnsi="Arial" w:cs="Arial"/>
      <w:sz w:val="20"/>
      <w:szCs w:val="20"/>
      <w:lang w:val="en-US"/>
    </w:rPr>
  </w:style>
  <w:style w:type="paragraph" w:customStyle="1" w:styleId="H1">
    <w:name w:val="H1"/>
    <w:rsid w:val="00F004BF"/>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F004BF"/>
    <w:pPr>
      <w:spacing w:after="0" w:line="240" w:lineRule="auto"/>
    </w:pPr>
    <w:rPr>
      <w:rFonts w:ascii="Times New Roman" w:eastAsia="Times New Roman" w:hAnsi="Times New Roman" w:cs="Arial"/>
      <w:b/>
      <w:bCs/>
      <w:iCs/>
      <w:snapToGrid w:val="0"/>
      <w:szCs w:val="28"/>
      <w:lang w:val="en-GB"/>
    </w:rPr>
  </w:style>
  <w:style w:type="numbering" w:customStyle="1" w:styleId="NoList1">
    <w:name w:val="No List1"/>
    <w:next w:val="NoList"/>
    <w:semiHidden/>
    <w:rsid w:val="00F004BF"/>
  </w:style>
  <w:style w:type="table" w:customStyle="1" w:styleId="TableGrid1">
    <w:name w:val="Table Grid1"/>
    <w:basedOn w:val="TableNormal"/>
    <w:next w:val="TableGrid"/>
    <w:rsid w:val="00F004BF"/>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F004BF"/>
  </w:style>
  <w:style w:type="paragraph" w:customStyle="1" w:styleId="Char">
    <w:name w:val="Char"/>
    <w:basedOn w:val="Normal"/>
    <w:rsid w:val="00F004BF"/>
    <w:pPr>
      <w:spacing w:after="160" w:line="240" w:lineRule="exact"/>
    </w:pPr>
    <w:rPr>
      <w:rFonts w:ascii="Arial" w:hAnsi="Arial" w:cs="Arial"/>
      <w:sz w:val="20"/>
      <w:szCs w:val="20"/>
      <w:lang w:eastAsia="en-US"/>
    </w:rPr>
  </w:style>
  <w:style w:type="character" w:styleId="PageNumber">
    <w:name w:val="page number"/>
    <w:rsid w:val="00F004BF"/>
  </w:style>
  <w:style w:type="paragraph" w:styleId="NoSpacing">
    <w:name w:val="No Spacing"/>
    <w:uiPriority w:val="1"/>
    <w:qFormat/>
    <w:rsid w:val="00F004BF"/>
    <w:pPr>
      <w:spacing w:after="0" w:line="240" w:lineRule="auto"/>
      <w:ind w:left="1440" w:right="720"/>
    </w:pPr>
    <w:rPr>
      <w:rFonts w:ascii="Calibri" w:eastAsia="Calibri" w:hAnsi="Calibri" w:cs="Times New Roman"/>
      <w:lang w:val="en-GB"/>
    </w:rPr>
  </w:style>
  <w:style w:type="paragraph" w:styleId="HTMLPreformatted">
    <w:name w:val="HTML Preformatted"/>
    <w:basedOn w:val="Normal"/>
    <w:link w:val="HTMLPreformattedChar"/>
    <w:uiPriority w:val="99"/>
    <w:unhideWhenUsed/>
    <w:rsid w:val="00F0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004BF"/>
    <w:rPr>
      <w:rFonts w:ascii="Courier New" w:eastAsia="Times New Roman" w:hAnsi="Courier New" w:cs="Courier New"/>
      <w:sz w:val="20"/>
      <w:szCs w:val="20"/>
      <w:lang w:val="en-US" w:eastAsia="zh-CN"/>
    </w:rPr>
  </w:style>
  <w:style w:type="character" w:styleId="PlaceholderText">
    <w:name w:val="Placeholder Text"/>
    <w:basedOn w:val="DefaultParagraphFont"/>
    <w:uiPriority w:val="99"/>
    <w:semiHidden/>
    <w:rsid w:val="00F004BF"/>
    <w:rPr>
      <w:color w:val="808080"/>
    </w:rPr>
  </w:style>
  <w:style w:type="paragraph" w:customStyle="1" w:styleId="Default">
    <w:name w:val="Default"/>
    <w:rsid w:val="00F004B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styleId="NormalWeb">
    <w:name w:val="Normal (Web)"/>
    <w:basedOn w:val="Normal"/>
    <w:uiPriority w:val="99"/>
    <w:unhideWhenUsed/>
    <w:rsid w:val="00BE0B33"/>
    <w:pPr>
      <w:spacing w:before="100" w:beforeAutospacing="1" w:after="100" w:afterAutospacing="1"/>
    </w:pPr>
    <w:rPr>
      <w:lang w:val="en-CA" w:eastAsia="en-CA"/>
    </w:rPr>
  </w:style>
  <w:style w:type="character" w:customStyle="1" w:styleId="ListParagraphChar">
    <w:name w:val="List Paragraph Char"/>
    <w:aliases w:val="Premier Char,Style 3 Char,Lapis Bulleted List Char,List Paragraph1 Char,List Paragraph (numbered (a)) Char,Dot pt Char,F5 List Paragraph Char,No Spacing1 Char,List Paragraph Char Char Char Char,Indicator Text Char,Bullet 1 Char"/>
    <w:link w:val="ListParagraph"/>
    <w:qFormat/>
    <w:locked/>
    <w:rsid w:val="000B5548"/>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qFormat/>
    <w:rsid w:val="00DF2022"/>
    <w:pPr>
      <w:spacing w:after="200"/>
      <w:jc w:val="center"/>
    </w:pPr>
    <w:rPr>
      <w:rFonts w:ascii="Calibri Light" w:eastAsia="Calibri" w:hAnsi="Calibri Light"/>
      <w:i/>
      <w:iCs/>
      <w:color w:val="2F5496" w:themeColor="accent1" w:themeShade="BF"/>
      <w:sz w:val="22"/>
      <w:szCs w:val="18"/>
      <w:lang w:val="fr-FR" w:eastAsia="en-US"/>
    </w:rPr>
  </w:style>
  <w:style w:type="character" w:styleId="UnresolvedMention">
    <w:name w:val="Unresolved Mention"/>
    <w:basedOn w:val="DefaultParagraphFont"/>
    <w:uiPriority w:val="99"/>
    <w:semiHidden/>
    <w:unhideWhenUsed/>
    <w:rsid w:val="00756CC2"/>
    <w:rPr>
      <w:color w:val="605E5C"/>
      <w:shd w:val="clear" w:color="auto" w:fill="E1DFDD"/>
    </w:rPr>
  </w:style>
  <w:style w:type="paragraph" w:customStyle="1" w:styleId="16PointCarCarCarCarCarCar">
    <w:name w:val="16 Point Car Car Car Car Car Car"/>
    <w:aliases w:val="Superscript 6 Point Car Car Car Car Car Car,BVI fnr Car Char Char Car Car Car Car Car Car,BVI fnr Car Car Car Char Char Car Car Car Car Car Car"/>
    <w:basedOn w:val="Normal"/>
    <w:link w:val="FootnoteReference"/>
    <w:uiPriority w:val="99"/>
    <w:rsid w:val="006F29D4"/>
    <w:pPr>
      <w:spacing w:after="160" w:line="240" w:lineRule="exact"/>
    </w:pPr>
    <w:rPr>
      <w:rFonts w:asciiTheme="minorHAnsi" w:eastAsiaTheme="minorHAnsi" w:hAnsiTheme="minorHAnsi" w:cstheme="minorBidi"/>
      <w:sz w:val="22"/>
      <w:szCs w:val="22"/>
      <w:vertAlign w:val="superscript"/>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70804">
      <w:bodyDiv w:val="1"/>
      <w:marLeft w:val="0"/>
      <w:marRight w:val="0"/>
      <w:marTop w:val="0"/>
      <w:marBottom w:val="0"/>
      <w:divBdr>
        <w:top w:val="none" w:sz="0" w:space="0" w:color="auto"/>
        <w:left w:val="none" w:sz="0" w:space="0" w:color="auto"/>
        <w:bottom w:val="none" w:sz="0" w:space="0" w:color="auto"/>
        <w:right w:val="none" w:sz="0" w:space="0" w:color="auto"/>
      </w:divBdr>
    </w:div>
    <w:div w:id="1375546255">
      <w:bodyDiv w:val="1"/>
      <w:marLeft w:val="0"/>
      <w:marRight w:val="0"/>
      <w:marTop w:val="0"/>
      <w:marBottom w:val="0"/>
      <w:divBdr>
        <w:top w:val="none" w:sz="0" w:space="0" w:color="auto"/>
        <w:left w:val="none" w:sz="0" w:space="0" w:color="auto"/>
        <w:bottom w:val="none" w:sz="0" w:space="0" w:color="auto"/>
        <w:right w:val="none" w:sz="0" w:space="0" w:color="auto"/>
      </w:divBdr>
    </w:div>
    <w:div w:id="1917934360">
      <w:bodyDiv w:val="1"/>
      <w:marLeft w:val="0"/>
      <w:marRight w:val="0"/>
      <w:marTop w:val="0"/>
      <w:marBottom w:val="0"/>
      <w:divBdr>
        <w:top w:val="none" w:sz="0" w:space="0" w:color="auto"/>
        <w:left w:val="none" w:sz="0" w:space="0" w:color="auto"/>
        <w:bottom w:val="none" w:sz="0" w:space="0" w:color="auto"/>
        <w:right w:val="none" w:sz="0" w:space="0" w:color="auto"/>
      </w:divBdr>
      <w:divsChild>
        <w:div w:id="2073193011">
          <w:marLeft w:val="0"/>
          <w:marRight w:val="0"/>
          <w:marTop w:val="0"/>
          <w:marBottom w:val="0"/>
          <w:divBdr>
            <w:top w:val="none" w:sz="0" w:space="0" w:color="auto"/>
            <w:left w:val="none" w:sz="0" w:space="0" w:color="auto"/>
            <w:bottom w:val="none" w:sz="0" w:space="0" w:color="auto"/>
            <w:right w:val="none" w:sz="0" w:space="0" w:color="auto"/>
          </w:divBdr>
        </w:div>
        <w:div w:id="1627732511">
          <w:marLeft w:val="0"/>
          <w:marRight w:val="0"/>
          <w:marTop w:val="0"/>
          <w:marBottom w:val="0"/>
          <w:divBdr>
            <w:top w:val="none" w:sz="0" w:space="0" w:color="auto"/>
            <w:left w:val="none" w:sz="0" w:space="0" w:color="auto"/>
            <w:bottom w:val="none" w:sz="0" w:space="0" w:color="auto"/>
            <w:right w:val="none" w:sz="0" w:space="0" w:color="auto"/>
          </w:divBdr>
        </w:div>
        <w:div w:id="1082022656">
          <w:marLeft w:val="0"/>
          <w:marRight w:val="0"/>
          <w:marTop w:val="0"/>
          <w:marBottom w:val="0"/>
          <w:divBdr>
            <w:top w:val="none" w:sz="0" w:space="0" w:color="auto"/>
            <w:left w:val="none" w:sz="0" w:space="0" w:color="auto"/>
            <w:bottom w:val="none" w:sz="0" w:space="0" w:color="auto"/>
            <w:right w:val="none" w:sz="0" w:space="0" w:color="auto"/>
          </w:divBdr>
        </w:div>
        <w:div w:id="702825731">
          <w:marLeft w:val="0"/>
          <w:marRight w:val="0"/>
          <w:marTop w:val="0"/>
          <w:marBottom w:val="0"/>
          <w:divBdr>
            <w:top w:val="none" w:sz="0" w:space="0" w:color="auto"/>
            <w:left w:val="none" w:sz="0" w:space="0" w:color="auto"/>
            <w:bottom w:val="none" w:sz="0" w:space="0" w:color="auto"/>
            <w:right w:val="none" w:sz="0" w:space="0" w:color="auto"/>
          </w:divBdr>
        </w:div>
        <w:div w:id="33129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435C-2CCA-4FC2-8057-686EA95D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7810</Words>
  <Characters>44519</Characters>
  <Application>Microsoft Office Word</Application>
  <DocSecurity>0</DocSecurity>
  <Lines>370</Lines>
  <Paragraphs>104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Mansoura Yamssa</dc:creator>
  <cp:lastModifiedBy>Anatole N'Doma</cp:lastModifiedBy>
  <cp:revision>2</cp:revision>
  <dcterms:created xsi:type="dcterms:W3CDTF">2021-11-23T13:17:00Z</dcterms:created>
  <dcterms:modified xsi:type="dcterms:W3CDTF">2021-11-23T13:17:00Z</dcterms:modified>
</cp:coreProperties>
</file>