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2E779B20" w:rsidR="00E76CA1" w:rsidRPr="00627A1C" w:rsidRDefault="003758E5" w:rsidP="00AA1865">
      <w:pPr>
        <w:pStyle w:val="Heading1"/>
      </w:pPr>
      <w:r>
        <w:rPr>
          <w:noProof/>
        </w:rPr>
        <w:drawing>
          <wp:anchor distT="0" distB="0" distL="114300" distR="114300" simplePos="0" relativeHeight="251658240" behindDoc="0" locked="0" layoutInCell="1" allowOverlap="1" wp14:anchorId="65259C3B" wp14:editId="0AEDB8E4">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9BA4" w14:textId="6CAA299F"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21E50F4B" w:rsidR="000F43A8" w:rsidRPr="00705227" w:rsidRDefault="00705227" w:rsidP="000F43A8">
      <w:pPr>
        <w:jc w:val="center"/>
        <w:rPr>
          <w:b/>
          <w:bCs/>
          <w:caps/>
          <w:lang w:val="fr-FR"/>
        </w:rPr>
      </w:pPr>
      <w:r w:rsidRPr="00136BFF">
        <w:rPr>
          <w:b/>
          <w:bCs/>
          <w:caps/>
          <w:lang w:val="fr-FR"/>
        </w:rPr>
        <w:t>PAYS :</w:t>
      </w:r>
      <w:r w:rsidR="000F43A8" w:rsidRPr="00136BFF">
        <w:rPr>
          <w:bCs/>
          <w:iCs/>
          <w:snapToGrid w:val="0"/>
          <w:szCs w:val="28"/>
          <w:lang w:val="fr-FR"/>
        </w:rPr>
        <w:t xml:space="preserve"> </w:t>
      </w:r>
      <w:r w:rsidRPr="00705227">
        <w:rPr>
          <w:bCs/>
          <w:iCs/>
          <w:snapToGrid w:val="0"/>
          <w:szCs w:val="28"/>
          <w:lang w:val="fr-FR"/>
        </w:rPr>
        <w:t>H</w:t>
      </w:r>
      <w:r>
        <w:rPr>
          <w:bCs/>
          <w:iCs/>
          <w:snapToGrid w:val="0"/>
          <w:szCs w:val="28"/>
          <w:lang w:val="fr-FR"/>
        </w:rPr>
        <w:t>aïti</w:t>
      </w:r>
    </w:p>
    <w:p w14:paraId="35B8BCCA" w14:textId="28BEBC99" w:rsidR="000F43A8" w:rsidRPr="001948EA" w:rsidRDefault="000F43A8" w:rsidP="000F43A8">
      <w:pPr>
        <w:jc w:val="center"/>
        <w:rPr>
          <w:b/>
          <w:bCs/>
          <w:caps/>
          <w:sz w:val="22"/>
          <w:szCs w:val="22"/>
          <w:lang w:val="fr-FR"/>
        </w:rPr>
      </w:pPr>
      <w:r w:rsidRPr="001948EA">
        <w:rPr>
          <w:b/>
          <w:bCs/>
          <w:caps/>
          <w:sz w:val="22"/>
          <w:szCs w:val="22"/>
          <w:lang w:val="fr-FR"/>
        </w:rPr>
        <w:t xml:space="preserve">TYPE DE </w:t>
      </w:r>
      <w:r w:rsidR="00705227" w:rsidRPr="001948EA">
        <w:rPr>
          <w:b/>
          <w:bCs/>
          <w:caps/>
          <w:sz w:val="22"/>
          <w:szCs w:val="22"/>
          <w:lang w:val="fr-FR"/>
        </w:rPr>
        <w:t>RAPPORT :</w:t>
      </w:r>
      <w:r w:rsidRPr="001948EA">
        <w:rPr>
          <w:b/>
          <w:bCs/>
          <w:caps/>
          <w:sz w:val="22"/>
          <w:szCs w:val="22"/>
          <w:lang w:val="fr-FR"/>
        </w:rPr>
        <w:t xml:space="preserve"> SEMESTRIEL</w:t>
      </w:r>
    </w:p>
    <w:p w14:paraId="0B2F56D8" w14:textId="4C33CAD5" w:rsidR="000554F8" w:rsidRDefault="00500587" w:rsidP="000F43A8">
      <w:pPr>
        <w:jc w:val="center"/>
        <w:rPr>
          <w:bCs/>
          <w:iCs/>
          <w:snapToGrid w:val="0"/>
          <w:szCs w:val="28"/>
        </w:rPr>
      </w:pPr>
      <w:r>
        <w:rPr>
          <w:b/>
          <w:bCs/>
          <w:caps/>
        </w:rPr>
        <w:t>ANNEE</w:t>
      </w:r>
      <w:r w:rsidR="000F43A8">
        <w:rPr>
          <w:b/>
          <w:bCs/>
          <w:caps/>
        </w:rPr>
        <w:t xml:space="preserve"> DE RAPPORT: </w:t>
      </w:r>
      <w:r w:rsidR="00705227">
        <w:rPr>
          <w:bCs/>
          <w:iCs/>
          <w:snapToGrid w:val="0"/>
          <w:szCs w:val="28"/>
        </w:rPr>
        <w:t>2022</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705227" w14:paraId="26E9F2DE" w14:textId="77777777" w:rsidTr="6595E2F0">
        <w:trPr>
          <w:trHeight w:val="422"/>
        </w:trPr>
        <w:tc>
          <w:tcPr>
            <w:tcW w:w="10080" w:type="dxa"/>
            <w:gridSpan w:val="2"/>
          </w:tcPr>
          <w:p w14:paraId="11EF4F5F" w14:textId="536A5ED9"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r w:rsidR="00705227" w:rsidRPr="00136BFF">
              <w:rPr>
                <w:rFonts w:ascii="Times New Roman" w:hAnsi="Times New Roman" w:cs="Times New Roman"/>
                <w:b/>
                <w:sz w:val="24"/>
                <w:szCs w:val="24"/>
                <w:lang w:val="fr-FR"/>
              </w:rPr>
              <w:t>projet :</w:t>
            </w:r>
            <w:r w:rsidRPr="00136BFF">
              <w:rPr>
                <w:rFonts w:ascii="Times New Roman" w:hAnsi="Times New Roman" w:cs="Times New Roman"/>
                <w:b/>
                <w:sz w:val="24"/>
                <w:szCs w:val="24"/>
                <w:lang w:val="fr-FR"/>
              </w:rPr>
              <w:t xml:space="preserve"> </w:t>
            </w:r>
            <w:r w:rsidR="00705227" w:rsidRPr="00D10FE6">
              <w:rPr>
                <w:rFonts w:ascii="Cambria" w:eastAsia="Cambria" w:hAnsi="Cambria" w:cs="Cambria"/>
                <w:b/>
                <w:color w:val="000000"/>
                <w:sz w:val="22"/>
                <w:szCs w:val="22"/>
                <w:lang w:val="fr-FR"/>
              </w:rPr>
              <w:t>Renforcer l’accès à la justice des populations les plus vulnérables, en particulier les femmes et les enfants en vue d’une meilleure cohésion sociale</w:t>
            </w:r>
            <w:r w:rsidR="00705227" w:rsidRPr="00D10FE6">
              <w:rPr>
                <w:rFonts w:eastAsia="Tahoma"/>
                <w:color w:val="000000"/>
                <w:lang w:val="fr-FR"/>
              </w:rPr>
              <w:t>     </w:t>
            </w:r>
          </w:p>
          <w:p w14:paraId="24C4A490" w14:textId="2B071DB6" w:rsidR="00793DE6" w:rsidRPr="000F43A8" w:rsidRDefault="000F43A8" w:rsidP="000F43A8">
            <w:pPr>
              <w:rPr>
                <w:b/>
                <w:lang w:val="fr-FR"/>
              </w:rPr>
            </w:pPr>
            <w:r>
              <w:rPr>
                <w:b/>
                <w:lang w:val="fr-FR"/>
              </w:rPr>
              <w:t>Numéro</w:t>
            </w:r>
            <w:r w:rsidRPr="003C62F7">
              <w:rPr>
                <w:b/>
                <w:lang w:val="fr-FR"/>
              </w:rPr>
              <w:t xml:space="preserve"> Projet / MPTF </w:t>
            </w:r>
            <w:r w:rsidR="00705227" w:rsidRPr="003C62F7">
              <w:rPr>
                <w:b/>
                <w:lang w:val="fr-FR"/>
              </w:rPr>
              <w:t>Gateway</w:t>
            </w:r>
            <w:r w:rsidR="00705227" w:rsidRPr="000F43A8">
              <w:rPr>
                <w:b/>
                <w:lang w:val="fr-FR"/>
              </w:rPr>
              <w:t xml:space="preserve"> :</w:t>
            </w:r>
            <w:r w:rsidR="00793DE6" w:rsidRPr="000F43A8">
              <w:rPr>
                <w:b/>
                <w:lang w:val="fr-FR"/>
              </w:rPr>
              <w:t xml:space="preserve"> </w:t>
            </w:r>
            <w:r w:rsidR="00705227" w:rsidRPr="00D10FE6">
              <w:rPr>
                <w:rFonts w:ascii="Cambria" w:eastAsia="Cambria" w:hAnsi="Cambria" w:cs="Cambria"/>
                <w:b/>
                <w:color w:val="000000"/>
              </w:rPr>
              <w:t>00119937</w:t>
            </w:r>
          </w:p>
        </w:tc>
      </w:tr>
      <w:tr w:rsidR="00A43B9C" w:rsidRPr="0030235D" w14:paraId="27B16979" w14:textId="77777777" w:rsidTr="6595E2F0">
        <w:trPr>
          <w:trHeight w:val="422"/>
        </w:trPr>
        <w:tc>
          <w:tcPr>
            <w:tcW w:w="4163" w:type="dxa"/>
          </w:tcPr>
          <w:p w14:paraId="7816FE38" w14:textId="39AB147D"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r w:rsidR="00705227" w:rsidRPr="0069221B">
              <w:rPr>
                <w:rFonts w:ascii="Times New Roman" w:hAnsi="Times New Roman" w:cs="Times New Roman"/>
                <w:b/>
                <w:sz w:val="24"/>
                <w:szCs w:val="24"/>
                <w:lang w:val="fr-FR"/>
              </w:rPr>
              <w:t>) :</w:t>
            </w:r>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043939">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043939">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6A337F9A"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r w:rsidR="00705227" w:rsidRPr="0069221B">
              <w:rPr>
                <w:rFonts w:ascii="Times New Roman" w:hAnsi="Times New Roman" w:cs="Times New Roman"/>
                <w:b/>
                <w:sz w:val="24"/>
                <w:szCs w:val="24"/>
                <w:lang w:val="fr-FR"/>
              </w:rPr>
              <w:t>fiduciaire :</w:t>
            </w:r>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07449C74" w:rsidR="00A43B9C"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705227" w:rsidRPr="000F43A8">
              <w:rPr>
                <w:b/>
                <w:bCs/>
                <w:iCs/>
                <w:lang w:val="fr-FR"/>
              </w:rPr>
              <w:t>récipiendaire :</w:t>
            </w:r>
            <w:r w:rsidRPr="000F43A8">
              <w:rPr>
                <w:b/>
                <w:bCs/>
                <w:iCs/>
                <w:lang w:val="fr-FR"/>
              </w:rPr>
              <w:t xml:space="preserve"> </w:t>
            </w:r>
          </w:p>
          <w:p w14:paraId="6E32C6A3" w14:textId="2CFB41C9" w:rsidR="00705227" w:rsidRDefault="00705227" w:rsidP="00A43B9C">
            <w:pPr>
              <w:rPr>
                <w:b/>
                <w:bCs/>
                <w:iCs/>
                <w:lang w:val="fr-FR"/>
              </w:rPr>
            </w:pPr>
          </w:p>
          <w:p w14:paraId="25A9DAF7" w14:textId="77777777" w:rsidR="00705227" w:rsidRPr="00252E54" w:rsidRDefault="00705227" w:rsidP="00705227">
            <w:pPr>
              <w:pBdr>
                <w:top w:val="nil"/>
                <w:left w:val="nil"/>
                <w:bottom w:val="nil"/>
                <w:right w:val="nil"/>
                <w:between w:val="nil"/>
              </w:pBdr>
              <w:tabs>
                <w:tab w:val="left" w:pos="-720"/>
                <w:tab w:val="left" w:pos="4500"/>
              </w:tabs>
              <w:ind w:hanging="2"/>
              <w:rPr>
                <w:color w:val="000000"/>
                <w:lang w:val="fr-FR"/>
              </w:rPr>
            </w:pPr>
            <w:r w:rsidRPr="00252E54">
              <w:rPr>
                <w:b/>
                <w:color w:val="000000"/>
                <w:lang w:val="fr-FR"/>
              </w:rPr>
              <w:t>PNUD (Agence coordinatrice)</w:t>
            </w:r>
          </w:p>
          <w:p w14:paraId="0041EF81" w14:textId="3EE48233" w:rsidR="00705227" w:rsidRPr="00252E54" w:rsidRDefault="00705227" w:rsidP="00705227">
            <w:pPr>
              <w:pBdr>
                <w:top w:val="nil"/>
                <w:left w:val="nil"/>
                <w:bottom w:val="nil"/>
                <w:right w:val="nil"/>
                <w:between w:val="nil"/>
              </w:pBdr>
              <w:tabs>
                <w:tab w:val="left" w:pos="-720"/>
                <w:tab w:val="left" w:pos="4500"/>
              </w:tabs>
              <w:ind w:hanging="2"/>
              <w:rPr>
                <w:color w:val="000000"/>
                <w:lang w:val="fr-FR"/>
              </w:rPr>
            </w:pPr>
            <w:r w:rsidRPr="00252E54">
              <w:rPr>
                <w:b/>
                <w:color w:val="000000"/>
                <w:lang w:val="fr-FR"/>
              </w:rPr>
              <w:t>ONU</w:t>
            </w:r>
            <w:r w:rsidR="00252E54" w:rsidRPr="00252E54">
              <w:rPr>
                <w:b/>
                <w:color w:val="000000"/>
                <w:lang w:val="fr-FR"/>
              </w:rPr>
              <w:t xml:space="preserve"> </w:t>
            </w:r>
            <w:r w:rsidRPr="00252E54">
              <w:rPr>
                <w:b/>
                <w:color w:val="000000"/>
                <w:lang w:val="fr-FR"/>
              </w:rPr>
              <w:t>Femmes</w:t>
            </w:r>
          </w:p>
          <w:p w14:paraId="7C8DDD0F" w14:textId="77777777" w:rsidR="00705227" w:rsidRPr="00252E54" w:rsidRDefault="00705227" w:rsidP="00705227">
            <w:pPr>
              <w:pBdr>
                <w:top w:val="nil"/>
                <w:left w:val="nil"/>
                <w:bottom w:val="nil"/>
                <w:right w:val="nil"/>
                <w:between w:val="nil"/>
              </w:pBdr>
              <w:tabs>
                <w:tab w:val="left" w:pos="-720"/>
                <w:tab w:val="left" w:pos="4500"/>
              </w:tabs>
              <w:ind w:hanging="2"/>
              <w:rPr>
                <w:color w:val="000000"/>
                <w:lang w:val="fr-FR"/>
              </w:rPr>
            </w:pPr>
            <w:r w:rsidRPr="00252E54">
              <w:rPr>
                <w:b/>
                <w:color w:val="000000"/>
                <w:lang w:val="fr-FR"/>
              </w:rPr>
              <w:t>UNICEF</w:t>
            </w:r>
          </w:p>
          <w:p w14:paraId="3E1779D6" w14:textId="77777777" w:rsidR="00705227" w:rsidRPr="000F43A8" w:rsidRDefault="00705227" w:rsidP="00A43B9C">
            <w:pPr>
              <w:rPr>
                <w:b/>
                <w:bCs/>
                <w:iCs/>
                <w:lang w:val="fr-FR"/>
              </w:rPr>
            </w:pPr>
          </w:p>
          <w:p w14:paraId="2FF52B1A" w14:textId="77777777" w:rsidR="00A43B9C" w:rsidRPr="000F43A8" w:rsidRDefault="00A43B9C" w:rsidP="00A43B9C">
            <w:pPr>
              <w:rPr>
                <w:b/>
                <w:bCs/>
                <w:iCs/>
                <w:lang w:val="fr-FR"/>
              </w:rPr>
            </w:pPr>
          </w:p>
          <w:p w14:paraId="0673E8AA" w14:textId="38B9B2BF" w:rsidR="00A43B9C" w:rsidRPr="00252E54" w:rsidRDefault="00A43B9C" w:rsidP="00A43B9C">
            <w:pPr>
              <w:pStyle w:val="BalloonText"/>
              <w:numPr>
                <w:ilvl w:val="12"/>
                <w:numId w:val="0"/>
              </w:numPr>
              <w:tabs>
                <w:tab w:val="left" w:pos="-720"/>
                <w:tab w:val="left" w:pos="4500"/>
              </w:tabs>
              <w:rPr>
                <w:rFonts w:ascii="Times New Roman" w:hAnsi="Times New Roman" w:cs="Times New Roman"/>
                <w:b/>
                <w:sz w:val="24"/>
                <w:szCs w:val="24"/>
                <w:lang w:val="fr-FR"/>
              </w:rPr>
            </w:pPr>
          </w:p>
        </w:tc>
      </w:tr>
      <w:tr w:rsidR="00793DE6" w:rsidRPr="00705227" w14:paraId="72CE853D" w14:textId="77777777" w:rsidTr="6595E2F0">
        <w:trPr>
          <w:trHeight w:val="368"/>
        </w:trPr>
        <w:tc>
          <w:tcPr>
            <w:tcW w:w="10080" w:type="dxa"/>
            <w:gridSpan w:val="2"/>
          </w:tcPr>
          <w:p w14:paraId="5C2804C5" w14:textId="3289A267" w:rsidR="00793DE6" w:rsidRPr="000F43A8" w:rsidRDefault="000F43A8" w:rsidP="00F23D0F">
            <w:pPr>
              <w:rPr>
                <w:b/>
                <w:bCs/>
                <w:iCs/>
                <w:lang w:val="fr-FR"/>
              </w:rPr>
            </w:pPr>
            <w:r w:rsidRPr="000F43A8">
              <w:rPr>
                <w:b/>
                <w:bCs/>
                <w:iCs/>
                <w:lang w:val="fr-FR"/>
              </w:rPr>
              <w:t xml:space="preserve">Date du premier transfert de </w:t>
            </w:r>
            <w:r w:rsidR="00705227" w:rsidRPr="000F43A8">
              <w:rPr>
                <w:b/>
                <w:bCs/>
                <w:iCs/>
                <w:lang w:val="fr-FR"/>
              </w:rPr>
              <w:t>fonds :</w:t>
            </w:r>
            <w:r w:rsidR="00793DE6" w:rsidRPr="000F43A8">
              <w:rPr>
                <w:b/>
                <w:bCs/>
                <w:iCs/>
                <w:lang w:val="fr-FR"/>
              </w:rPr>
              <w:t xml:space="preserve"> </w:t>
            </w:r>
            <w:r w:rsidR="009A6313">
              <w:rPr>
                <w:lang w:val="fr-FR"/>
              </w:rPr>
              <w:t>31</w:t>
            </w:r>
            <w:r w:rsidR="009A6313" w:rsidRPr="00D10FE6">
              <w:rPr>
                <w:lang w:val="fr-FR"/>
              </w:rPr>
              <w:t xml:space="preserve"> </w:t>
            </w:r>
            <w:r w:rsidR="009A6313">
              <w:rPr>
                <w:lang w:val="fr-FR"/>
              </w:rPr>
              <w:t>janvier</w:t>
            </w:r>
            <w:r w:rsidR="009A6313" w:rsidRPr="00D10FE6">
              <w:rPr>
                <w:lang w:val="fr-FR"/>
              </w:rPr>
              <w:t xml:space="preserve"> 20</w:t>
            </w:r>
            <w:r w:rsidR="009A6313">
              <w:rPr>
                <w:lang w:val="fr-FR"/>
              </w:rPr>
              <w:t>20</w:t>
            </w:r>
          </w:p>
          <w:p w14:paraId="064BF427" w14:textId="652818FD" w:rsidR="004D141E" w:rsidRPr="000F43A8" w:rsidRDefault="000F43A8" w:rsidP="00F23D0F">
            <w:pPr>
              <w:rPr>
                <w:bCs/>
                <w:iCs/>
                <w:snapToGrid w:val="0"/>
                <w:lang w:val="fr-FR"/>
              </w:rPr>
            </w:pPr>
            <w:r w:rsidRPr="000F43A8">
              <w:rPr>
                <w:b/>
                <w:bCs/>
                <w:iCs/>
                <w:lang w:val="fr-FR"/>
              </w:rPr>
              <w:t xml:space="preserve">Date de fin de </w:t>
            </w:r>
            <w:r w:rsidR="00705227" w:rsidRPr="000F43A8">
              <w:rPr>
                <w:b/>
                <w:bCs/>
                <w:iCs/>
                <w:lang w:val="fr-FR"/>
              </w:rPr>
              <w:t>projet :</w:t>
            </w:r>
            <w:r w:rsidR="00793DE6" w:rsidRPr="000F43A8">
              <w:rPr>
                <w:b/>
                <w:bCs/>
                <w:iCs/>
                <w:lang w:val="fr-FR"/>
              </w:rPr>
              <w:t xml:space="preserve"> </w:t>
            </w:r>
            <w:r w:rsidR="009A6313">
              <w:rPr>
                <w:bCs/>
                <w:iCs/>
                <w:snapToGrid w:val="0"/>
                <w:lang w:val="fr-FR"/>
              </w:rPr>
              <w:t>29</w:t>
            </w:r>
            <w:r w:rsidR="009A6313" w:rsidRPr="00705227">
              <w:rPr>
                <w:bCs/>
                <w:iCs/>
                <w:snapToGrid w:val="0"/>
                <w:lang w:val="fr-FR"/>
              </w:rPr>
              <w:t xml:space="preserve"> </w:t>
            </w:r>
            <w:r w:rsidR="00705227" w:rsidRPr="00705227">
              <w:rPr>
                <w:bCs/>
                <w:iCs/>
                <w:snapToGrid w:val="0"/>
                <w:lang w:val="fr-FR"/>
              </w:rPr>
              <w:t>juin 2022</w:t>
            </w:r>
            <w:r w:rsidR="0025220B" w:rsidRPr="000F43A8">
              <w:rPr>
                <w:bCs/>
                <w:iCs/>
                <w:snapToGrid w:val="0"/>
                <w:lang w:val="fr-FR"/>
              </w:rPr>
              <w:t xml:space="preserve">     </w:t>
            </w:r>
          </w:p>
          <w:p w14:paraId="2AE235F0" w14:textId="4D4BE4C9"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r w:rsidR="00705227" w:rsidRPr="000F43A8">
              <w:rPr>
                <w:b/>
                <w:iCs/>
                <w:snapToGrid w:val="0"/>
                <w:lang w:val="fr-FR"/>
              </w:rPr>
              <w:t>œuvre ?</w:t>
            </w:r>
            <w:r w:rsidR="0025220B" w:rsidRPr="000F43A8">
              <w:rPr>
                <w:bCs/>
                <w:iCs/>
                <w:snapToGrid w:val="0"/>
                <w:lang w:val="fr-FR"/>
              </w:rPr>
              <w:t xml:space="preserve"> </w:t>
            </w:r>
            <w:r w:rsidR="00705227">
              <w:rPr>
                <w:bCs/>
                <w:iCs/>
                <w:snapToGrid w:val="0"/>
                <w:lang w:val="fr-FR"/>
              </w:rPr>
              <w:t>Non</w:t>
            </w:r>
          </w:p>
          <w:p w14:paraId="433C13C0" w14:textId="77777777" w:rsidR="000F43A8" w:rsidRPr="000F43A8" w:rsidRDefault="000F43A8" w:rsidP="000F43A8">
            <w:pPr>
              <w:rPr>
                <w:b/>
                <w:bCs/>
                <w:iCs/>
                <w:lang w:val="fr-FR"/>
              </w:rPr>
            </w:pPr>
          </w:p>
        </w:tc>
      </w:tr>
      <w:tr w:rsidR="00793DE6" w:rsidRPr="00627A1C" w14:paraId="3A707F8C" w14:textId="77777777" w:rsidTr="6595E2F0">
        <w:trPr>
          <w:trHeight w:val="368"/>
        </w:trPr>
        <w:tc>
          <w:tcPr>
            <w:tcW w:w="10080" w:type="dxa"/>
            <w:gridSpan w:val="2"/>
          </w:tcPr>
          <w:p w14:paraId="77DA62DA" w14:textId="02414B94"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C23208">
              <w:rPr>
                <w:b/>
                <w:bCs/>
                <w:iCs/>
                <w:lang w:val="fr-FR"/>
              </w:rPr>
              <w:t>PBF</w:t>
            </w:r>
            <w:r w:rsidR="00C23208" w:rsidRPr="005D721B">
              <w:rPr>
                <w:b/>
                <w:bCs/>
                <w:iCs/>
                <w:lang w:val="fr-FR"/>
              </w:rPr>
              <w:t xml:space="preserve"> :</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43939">
              <w:rPr>
                <w:lang w:val="fr-FR"/>
              </w:rPr>
            </w:r>
            <w:r w:rsidR="00043939">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43939">
              <w:rPr>
                <w:lang w:val="fr-FR"/>
              </w:rPr>
            </w:r>
            <w:r w:rsidR="00043939">
              <w:rPr>
                <w:lang w:val="fr-FR"/>
              </w:rPr>
              <w:fldChar w:fldCharType="separate"/>
            </w:r>
            <w:r w:rsidRPr="005D721B">
              <w:rPr>
                <w:lang w:val="fr-FR"/>
              </w:rPr>
              <w:fldChar w:fldCharType="end"/>
            </w:r>
            <w:r w:rsidRPr="005D721B">
              <w:rPr>
                <w:lang w:val="fr-FR"/>
              </w:rPr>
              <w:t xml:space="preserve"> Initiative de promotion de la jeunesse</w:t>
            </w:r>
          </w:p>
          <w:p w14:paraId="422AAC34" w14:textId="30B2C3A2" w:rsidR="000F43A8" w:rsidRPr="005D721B" w:rsidRDefault="007B62A5" w:rsidP="000F43A8">
            <w:pPr>
              <w:rPr>
                <w:sz w:val="22"/>
                <w:szCs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043939">
              <w:rPr>
                <w:lang w:val="fr-FR"/>
              </w:rPr>
            </w:r>
            <w:r w:rsidR="00043939">
              <w:rPr>
                <w:lang w:val="fr-FR"/>
              </w:rPr>
              <w:fldChar w:fldCharType="separate"/>
            </w:r>
            <w:r>
              <w:rPr>
                <w:lang w:val="fr-FR"/>
              </w:rPr>
              <w:fldChar w:fldCharType="end"/>
            </w:r>
            <w:r w:rsidR="000F43A8" w:rsidRPr="005D721B">
              <w:rPr>
                <w:lang w:val="fr-FR"/>
              </w:rPr>
              <w:t xml:space="preserve"> Transition entre différentes configurations de </w:t>
            </w:r>
            <w:r w:rsidR="000F43A8"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43939">
              <w:rPr>
                <w:lang w:val="fr-FR"/>
              </w:rPr>
            </w:r>
            <w:r w:rsidR="00043939">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bl>
    <w:p w14:paraId="6F5C3184" w14:textId="77777777" w:rsidR="00252E54" w:rsidRDefault="00252E54">
      <w:r>
        <w:br w:type="page"/>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793DE6" w:rsidRPr="0030235D" w14:paraId="65120CDF" w14:textId="77777777" w:rsidTr="6595E2F0">
        <w:trPr>
          <w:trHeight w:val="1124"/>
        </w:trPr>
        <w:tc>
          <w:tcPr>
            <w:tcW w:w="10080" w:type="dxa"/>
          </w:tcPr>
          <w:p w14:paraId="08D9EBF0" w14:textId="60F69919" w:rsidR="00793DE6" w:rsidRDefault="000F43A8" w:rsidP="00F23D0F">
            <w:pPr>
              <w:rPr>
                <w:b/>
                <w:bCs/>
                <w:iCs/>
                <w:lang w:val="fr-FR"/>
              </w:rPr>
            </w:pPr>
            <w:r w:rsidRPr="000F43A8">
              <w:rPr>
                <w:b/>
                <w:bCs/>
                <w:iCs/>
                <w:lang w:val="fr-FR"/>
              </w:rPr>
              <w:lastRenderedPageBreak/>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7B753D4D" w14:textId="77777777" w:rsidR="00117EE7" w:rsidRPr="00117EE7" w:rsidRDefault="00117EE7" w:rsidP="001B7DD1">
            <w:pPr>
              <w:pStyle w:val="ListParagraph"/>
              <w:numPr>
                <w:ilvl w:val="0"/>
                <w:numId w:val="2"/>
              </w:numPr>
              <w:rPr>
                <w:iCs/>
                <w:lang w:val="fr-FR"/>
              </w:rPr>
            </w:pPr>
            <w:r w:rsidRPr="00117EE7">
              <w:rPr>
                <w:iCs/>
                <w:lang w:val="fr-FR"/>
              </w:rPr>
              <w:t xml:space="preserve">Veuillez indiquer les montants totaux en dollars US alloués à chaque organisation récipiendaire </w:t>
            </w:r>
          </w:p>
          <w:p w14:paraId="1E0D2B41" w14:textId="13DB01C6" w:rsidR="00117EE7" w:rsidRPr="00117EE7" w:rsidRDefault="00117EE7" w:rsidP="001B7DD1">
            <w:pPr>
              <w:pStyle w:val="ListParagraph"/>
              <w:numPr>
                <w:ilvl w:val="0"/>
                <w:numId w:val="2"/>
              </w:numPr>
              <w:rPr>
                <w:iCs/>
                <w:lang w:val="fr-FR"/>
              </w:rPr>
            </w:pPr>
            <w:r w:rsidRPr="00117EE7">
              <w:rPr>
                <w:iCs/>
                <w:lang w:val="fr-FR"/>
              </w:rPr>
              <w:t>Veuillez indiquer le montant du budget initial, le montant transféré à ce jour et l'estimation des dépenses par récipiendaire.</w:t>
            </w:r>
          </w:p>
          <w:p w14:paraId="53DFD428" w14:textId="3CDA5E11" w:rsidR="00117EE7" w:rsidRPr="00117EE7" w:rsidRDefault="00117EE7" w:rsidP="001B7DD1">
            <w:pPr>
              <w:pStyle w:val="ListParagraph"/>
              <w:numPr>
                <w:ilvl w:val="0"/>
                <w:numId w:val="2"/>
              </w:numPr>
              <w:rPr>
                <w:iCs/>
                <w:lang w:val="fr-FR"/>
              </w:rPr>
            </w:pPr>
            <w:r w:rsidRPr="00117EE7">
              <w:rPr>
                <w:iCs/>
                <w:lang w:val="fr-FR"/>
              </w:rPr>
              <w:t>Pour les projets transfrontaliers, regroupez les montants par agences, même s’il s’agit de différents bureaux pays, Vous aurez l’occasion de partager un budget détaillé dans la prochaine section.</w:t>
            </w:r>
          </w:p>
          <w:p w14:paraId="04AEE9BD" w14:textId="4549B268" w:rsidR="001A2539" w:rsidRDefault="001A2539" w:rsidP="00F23D0F">
            <w:pPr>
              <w:rPr>
                <w:b/>
                <w:bCs/>
                <w:iCs/>
                <w:lang w:val="fr-FR"/>
              </w:rPr>
            </w:pPr>
          </w:p>
          <w:tbl>
            <w:tblPr>
              <w:tblStyle w:val="TableGrid"/>
              <w:tblW w:w="0" w:type="auto"/>
              <w:tblLook w:val="04A0" w:firstRow="1" w:lastRow="0" w:firstColumn="1" w:lastColumn="0" w:noHBand="0" w:noVBand="1"/>
            </w:tblPr>
            <w:tblGrid>
              <w:gridCol w:w="3799"/>
              <w:gridCol w:w="2018"/>
              <w:gridCol w:w="2018"/>
              <w:gridCol w:w="2019"/>
            </w:tblGrid>
            <w:tr w:rsidR="001A2539" w:rsidRPr="0030235D" w14:paraId="3D65A18C" w14:textId="77777777" w:rsidTr="00E81748">
              <w:tc>
                <w:tcPr>
                  <w:tcW w:w="3799" w:type="dxa"/>
                </w:tcPr>
                <w:p w14:paraId="10E5F295" w14:textId="05B588BD" w:rsidR="001A2539" w:rsidRPr="000960DC" w:rsidRDefault="001A2539" w:rsidP="001A2539">
                  <w:pPr>
                    <w:rPr>
                      <w:b/>
                      <w:bCs/>
                      <w:iCs/>
                      <w:lang w:val="fr-FR"/>
                    </w:rPr>
                  </w:pPr>
                  <w:r w:rsidRPr="000960DC">
                    <w:rPr>
                      <w:b/>
                      <w:bCs/>
                      <w:iCs/>
                      <w:lang w:val="fr-FR"/>
                    </w:rPr>
                    <w:t>Récipiendaire</w:t>
                  </w:r>
                </w:p>
              </w:tc>
              <w:tc>
                <w:tcPr>
                  <w:tcW w:w="2018" w:type="dxa"/>
                </w:tcPr>
                <w:p w14:paraId="6097FF9D" w14:textId="2C2CA68F" w:rsidR="001A2539" w:rsidRPr="000960DC" w:rsidRDefault="001A2539" w:rsidP="001A2539">
                  <w:pPr>
                    <w:jc w:val="center"/>
                    <w:rPr>
                      <w:b/>
                      <w:bCs/>
                      <w:iCs/>
                      <w:lang w:val="fr-FR"/>
                    </w:rPr>
                  </w:pPr>
                  <w:r w:rsidRPr="000960DC">
                    <w:rPr>
                      <w:b/>
                      <w:bCs/>
                      <w:iCs/>
                      <w:lang w:val="fr-FR"/>
                    </w:rPr>
                    <w:t>Budget Alloué ($)</w:t>
                  </w:r>
                </w:p>
              </w:tc>
              <w:tc>
                <w:tcPr>
                  <w:tcW w:w="2018" w:type="dxa"/>
                </w:tcPr>
                <w:p w14:paraId="423620CC" w14:textId="6540F110" w:rsidR="001A2539" w:rsidRPr="000960DC" w:rsidRDefault="001A2539" w:rsidP="001A2539">
                  <w:pPr>
                    <w:jc w:val="center"/>
                    <w:rPr>
                      <w:b/>
                      <w:bCs/>
                      <w:iCs/>
                      <w:lang w:val="fr-FR"/>
                    </w:rPr>
                  </w:pPr>
                  <w:r w:rsidRPr="000960DC">
                    <w:rPr>
                      <w:b/>
                      <w:bCs/>
                      <w:iCs/>
                      <w:lang w:val="fr-FR"/>
                    </w:rPr>
                    <w:t>Transferts à ce jour ($)</w:t>
                  </w:r>
                </w:p>
              </w:tc>
              <w:tc>
                <w:tcPr>
                  <w:tcW w:w="2019" w:type="dxa"/>
                </w:tcPr>
                <w:p w14:paraId="31950821" w14:textId="29F72919" w:rsidR="001A2539" w:rsidRPr="000960DC" w:rsidRDefault="001A2539" w:rsidP="001A2539">
                  <w:pPr>
                    <w:jc w:val="center"/>
                    <w:rPr>
                      <w:b/>
                      <w:bCs/>
                      <w:iCs/>
                      <w:lang w:val="fr-FR"/>
                    </w:rPr>
                  </w:pPr>
                  <w:r w:rsidRPr="000960DC">
                    <w:rPr>
                      <w:b/>
                      <w:bCs/>
                      <w:iCs/>
                      <w:lang w:val="fr-FR"/>
                    </w:rPr>
                    <w:t>Dépenses à ce jour ($)</w:t>
                  </w:r>
                </w:p>
              </w:tc>
            </w:tr>
            <w:tr w:rsidR="001A2539" w:rsidRPr="0030235D" w14:paraId="5F79C4FD" w14:textId="77777777" w:rsidTr="00E81748">
              <w:tc>
                <w:tcPr>
                  <w:tcW w:w="3799" w:type="dxa"/>
                </w:tcPr>
                <w:p w14:paraId="7EF33D3D" w14:textId="0FFD36B8" w:rsidR="001A2539" w:rsidRPr="000960DC" w:rsidRDefault="0007676B" w:rsidP="001A2539">
                  <w:pPr>
                    <w:rPr>
                      <w:b/>
                      <w:bCs/>
                      <w:iCs/>
                      <w:lang w:val="fr-FR"/>
                    </w:rPr>
                  </w:pPr>
                  <w:r>
                    <w:rPr>
                      <w:b/>
                      <w:bCs/>
                      <w:iCs/>
                      <w:lang w:val="fr-FR"/>
                    </w:rPr>
                    <w:t>UNDP</w:t>
                  </w:r>
                  <w:r w:rsidR="00324132">
                    <w:rPr>
                      <w:b/>
                      <w:bCs/>
                      <w:iCs/>
                      <w:lang w:val="fr-FR"/>
                    </w:rPr>
                    <w:t xml:space="preserve">                                  </w:t>
                  </w:r>
                  <w:proofErr w:type="gramStart"/>
                  <w:r w:rsidR="00324132">
                    <w:rPr>
                      <w:b/>
                      <w:bCs/>
                      <w:iCs/>
                      <w:lang w:val="fr-FR"/>
                    </w:rPr>
                    <w:t xml:space="preserve">   (</w:t>
                  </w:r>
                  <w:proofErr w:type="gramEnd"/>
                  <w:r w:rsidR="00324132">
                    <w:rPr>
                      <w:b/>
                      <w:bCs/>
                      <w:iCs/>
                      <w:lang w:val="fr-FR"/>
                    </w:rPr>
                    <w:t>75%)</w:t>
                  </w:r>
                </w:p>
              </w:tc>
              <w:tc>
                <w:tcPr>
                  <w:tcW w:w="2018" w:type="dxa"/>
                </w:tcPr>
                <w:p w14:paraId="54815501" w14:textId="027542BD" w:rsidR="001A2539" w:rsidRPr="000960DC" w:rsidRDefault="003479CF" w:rsidP="001A2539">
                  <w:pPr>
                    <w:jc w:val="center"/>
                    <w:rPr>
                      <w:b/>
                      <w:bCs/>
                      <w:iCs/>
                      <w:lang w:val="fr-FR"/>
                    </w:rPr>
                  </w:pPr>
                  <w:r>
                    <w:rPr>
                      <w:b/>
                      <w:bCs/>
                      <w:iCs/>
                      <w:lang w:val="fr-FR"/>
                    </w:rPr>
                    <w:t>2,890,000.00</w:t>
                  </w:r>
                </w:p>
              </w:tc>
              <w:tc>
                <w:tcPr>
                  <w:tcW w:w="2018" w:type="dxa"/>
                </w:tcPr>
                <w:p w14:paraId="00A6ED58" w14:textId="1D8AF298" w:rsidR="001A2539" w:rsidRPr="000960DC" w:rsidRDefault="003479CF" w:rsidP="001A2539">
                  <w:pPr>
                    <w:jc w:val="center"/>
                    <w:rPr>
                      <w:b/>
                      <w:bCs/>
                      <w:iCs/>
                      <w:lang w:val="fr-FR"/>
                    </w:rPr>
                  </w:pPr>
                  <w:r>
                    <w:rPr>
                      <w:b/>
                      <w:bCs/>
                      <w:iCs/>
                      <w:lang w:val="fr-FR"/>
                    </w:rPr>
                    <w:t>2,890,000.00</w:t>
                  </w:r>
                </w:p>
              </w:tc>
              <w:tc>
                <w:tcPr>
                  <w:tcW w:w="2019" w:type="dxa"/>
                </w:tcPr>
                <w:p w14:paraId="1EEC049D" w14:textId="0320DECF" w:rsidR="001A2539" w:rsidRPr="000960DC" w:rsidRDefault="00324132" w:rsidP="001A2539">
                  <w:pPr>
                    <w:jc w:val="center"/>
                    <w:rPr>
                      <w:b/>
                      <w:bCs/>
                      <w:iCs/>
                      <w:lang w:val="fr-FR"/>
                    </w:rPr>
                  </w:pPr>
                  <w:r w:rsidRPr="00324132">
                    <w:rPr>
                      <w:b/>
                      <w:bCs/>
                      <w:iCs/>
                      <w:lang w:val="fr-FR"/>
                    </w:rPr>
                    <w:t>2,168,782.03</w:t>
                  </w:r>
                </w:p>
              </w:tc>
            </w:tr>
            <w:tr w:rsidR="001A2539" w:rsidRPr="0030235D" w14:paraId="0CD61B42" w14:textId="77777777" w:rsidTr="00E81748">
              <w:tc>
                <w:tcPr>
                  <w:tcW w:w="3799" w:type="dxa"/>
                </w:tcPr>
                <w:p w14:paraId="5D870DF7" w14:textId="03A0C837" w:rsidR="001A2539" w:rsidRPr="000960DC" w:rsidRDefault="003479CF" w:rsidP="001A2539">
                  <w:pPr>
                    <w:rPr>
                      <w:b/>
                      <w:bCs/>
                      <w:iCs/>
                      <w:lang w:val="fr-FR"/>
                    </w:rPr>
                  </w:pPr>
                  <w:r>
                    <w:rPr>
                      <w:b/>
                      <w:bCs/>
                      <w:iCs/>
                      <w:lang w:val="fr-FR"/>
                    </w:rPr>
                    <w:t>ONU Femmes</w:t>
                  </w:r>
                  <w:r w:rsidR="00324132">
                    <w:rPr>
                      <w:b/>
                      <w:bCs/>
                      <w:iCs/>
                      <w:lang w:val="fr-FR"/>
                    </w:rPr>
                    <w:t xml:space="preserve">                     </w:t>
                  </w:r>
                  <w:proofErr w:type="gramStart"/>
                  <w:r w:rsidR="00324132">
                    <w:rPr>
                      <w:b/>
                      <w:bCs/>
                      <w:iCs/>
                      <w:lang w:val="fr-FR"/>
                    </w:rPr>
                    <w:t xml:space="preserve">   (</w:t>
                  </w:r>
                  <w:proofErr w:type="gramEnd"/>
                  <w:r w:rsidR="00324132">
                    <w:rPr>
                      <w:b/>
                      <w:bCs/>
                      <w:iCs/>
                      <w:lang w:val="fr-FR"/>
                    </w:rPr>
                    <w:t>86%)</w:t>
                  </w:r>
                </w:p>
              </w:tc>
              <w:tc>
                <w:tcPr>
                  <w:tcW w:w="2018" w:type="dxa"/>
                </w:tcPr>
                <w:p w14:paraId="212F9C0B" w14:textId="1E9007E2" w:rsidR="001A2539" w:rsidRPr="000960DC" w:rsidRDefault="003479CF" w:rsidP="001A2539">
                  <w:pPr>
                    <w:jc w:val="center"/>
                    <w:rPr>
                      <w:b/>
                      <w:bCs/>
                      <w:iCs/>
                      <w:lang w:val="fr-FR"/>
                    </w:rPr>
                  </w:pPr>
                  <w:r>
                    <w:rPr>
                      <w:b/>
                      <w:bCs/>
                      <w:iCs/>
                      <w:lang w:val="fr-FR"/>
                    </w:rPr>
                    <w:t xml:space="preserve">  765,000.00</w:t>
                  </w:r>
                </w:p>
              </w:tc>
              <w:tc>
                <w:tcPr>
                  <w:tcW w:w="2018" w:type="dxa"/>
                </w:tcPr>
                <w:p w14:paraId="3A820745" w14:textId="520D3C3B" w:rsidR="001A2539" w:rsidRPr="000960DC" w:rsidRDefault="003479CF" w:rsidP="001A2539">
                  <w:pPr>
                    <w:jc w:val="center"/>
                    <w:rPr>
                      <w:b/>
                      <w:bCs/>
                      <w:iCs/>
                      <w:lang w:val="fr-FR"/>
                    </w:rPr>
                  </w:pPr>
                  <w:r>
                    <w:rPr>
                      <w:b/>
                      <w:bCs/>
                      <w:iCs/>
                      <w:lang w:val="fr-FR"/>
                    </w:rPr>
                    <w:t xml:space="preserve">   765,000.00</w:t>
                  </w:r>
                </w:p>
              </w:tc>
              <w:tc>
                <w:tcPr>
                  <w:tcW w:w="2019" w:type="dxa"/>
                </w:tcPr>
                <w:p w14:paraId="295DC187" w14:textId="4CC7A1BD" w:rsidR="001A2539" w:rsidRPr="000960DC" w:rsidRDefault="00D07B9F" w:rsidP="001A2539">
                  <w:pPr>
                    <w:jc w:val="center"/>
                    <w:rPr>
                      <w:b/>
                      <w:bCs/>
                      <w:iCs/>
                      <w:lang w:val="fr-FR"/>
                    </w:rPr>
                  </w:pPr>
                  <w:r>
                    <w:rPr>
                      <w:b/>
                      <w:bCs/>
                      <w:iCs/>
                      <w:lang w:val="fr-FR"/>
                    </w:rPr>
                    <w:t xml:space="preserve">  661,351.00</w:t>
                  </w:r>
                </w:p>
              </w:tc>
            </w:tr>
            <w:tr w:rsidR="001A2539" w:rsidRPr="0030235D" w14:paraId="6D432D7C" w14:textId="77777777" w:rsidTr="00E81748">
              <w:tc>
                <w:tcPr>
                  <w:tcW w:w="3799" w:type="dxa"/>
                </w:tcPr>
                <w:p w14:paraId="0CE063D5" w14:textId="0A6208F8" w:rsidR="001A2539" w:rsidRPr="000960DC" w:rsidRDefault="0007676B" w:rsidP="001A2539">
                  <w:pPr>
                    <w:rPr>
                      <w:b/>
                      <w:bCs/>
                      <w:iCs/>
                      <w:lang w:val="fr-FR"/>
                    </w:rPr>
                  </w:pPr>
                  <w:r>
                    <w:rPr>
                      <w:b/>
                      <w:bCs/>
                      <w:iCs/>
                      <w:lang w:val="fr-FR"/>
                    </w:rPr>
                    <w:t>UNICEF</w:t>
                  </w:r>
                  <w:r w:rsidR="00324132">
                    <w:rPr>
                      <w:b/>
                      <w:bCs/>
                      <w:iCs/>
                      <w:lang w:val="fr-FR"/>
                    </w:rPr>
                    <w:t xml:space="preserve">                              </w:t>
                  </w:r>
                  <w:proofErr w:type="gramStart"/>
                  <w:r w:rsidR="00324132">
                    <w:rPr>
                      <w:b/>
                      <w:bCs/>
                      <w:iCs/>
                      <w:lang w:val="fr-FR"/>
                    </w:rPr>
                    <w:t xml:space="preserve">   (</w:t>
                  </w:r>
                  <w:proofErr w:type="gramEnd"/>
                  <w:r w:rsidR="00324132">
                    <w:rPr>
                      <w:b/>
                      <w:bCs/>
                      <w:iCs/>
                      <w:lang w:val="fr-FR"/>
                    </w:rPr>
                    <w:t>63%)</w:t>
                  </w:r>
                </w:p>
              </w:tc>
              <w:tc>
                <w:tcPr>
                  <w:tcW w:w="2018" w:type="dxa"/>
                </w:tcPr>
                <w:p w14:paraId="1762A657" w14:textId="2741B464" w:rsidR="001A2539" w:rsidRPr="000960DC" w:rsidRDefault="003479CF" w:rsidP="001A2539">
                  <w:pPr>
                    <w:jc w:val="center"/>
                    <w:rPr>
                      <w:b/>
                      <w:bCs/>
                      <w:iCs/>
                      <w:lang w:val="fr-FR"/>
                    </w:rPr>
                  </w:pPr>
                  <w:r>
                    <w:rPr>
                      <w:b/>
                      <w:bCs/>
                      <w:iCs/>
                      <w:lang w:val="fr-FR"/>
                    </w:rPr>
                    <w:t xml:space="preserve">  845,000.00</w:t>
                  </w:r>
                </w:p>
              </w:tc>
              <w:tc>
                <w:tcPr>
                  <w:tcW w:w="2018" w:type="dxa"/>
                </w:tcPr>
                <w:p w14:paraId="3E9427C7" w14:textId="7C989876" w:rsidR="001A2539" w:rsidRPr="000960DC" w:rsidRDefault="002177B6" w:rsidP="001A2539">
                  <w:pPr>
                    <w:jc w:val="center"/>
                    <w:rPr>
                      <w:b/>
                      <w:bCs/>
                      <w:iCs/>
                      <w:lang w:val="fr-FR"/>
                    </w:rPr>
                  </w:pPr>
                  <w:r w:rsidRPr="00CD3288">
                    <w:rPr>
                      <w:b/>
                      <w:bCs/>
                      <w:iCs/>
                      <w:color w:val="FF0000"/>
                      <w:lang w:val="fr-FR"/>
                    </w:rPr>
                    <w:t xml:space="preserve">   </w:t>
                  </w:r>
                  <w:r w:rsidR="002A17DE" w:rsidRPr="00CD3288">
                    <w:rPr>
                      <w:b/>
                      <w:bCs/>
                      <w:iCs/>
                      <w:color w:val="FF0000"/>
                      <w:lang w:val="fr-FR"/>
                    </w:rPr>
                    <w:t>845,000.00</w:t>
                  </w:r>
                </w:p>
              </w:tc>
              <w:tc>
                <w:tcPr>
                  <w:tcW w:w="2019" w:type="dxa"/>
                </w:tcPr>
                <w:p w14:paraId="54C6E4C5" w14:textId="2194BF9B" w:rsidR="001A2539" w:rsidRPr="000960DC" w:rsidRDefault="00D07B9F" w:rsidP="001A2539">
                  <w:pPr>
                    <w:jc w:val="center"/>
                    <w:rPr>
                      <w:b/>
                      <w:bCs/>
                      <w:iCs/>
                      <w:lang w:val="fr-FR"/>
                    </w:rPr>
                  </w:pPr>
                  <w:r>
                    <w:rPr>
                      <w:b/>
                      <w:bCs/>
                      <w:iCs/>
                      <w:lang w:val="fr-FR"/>
                    </w:rPr>
                    <w:t xml:space="preserve"> </w:t>
                  </w:r>
                  <w:r w:rsidR="00A76730" w:rsidRPr="00CD3288">
                    <w:rPr>
                      <w:b/>
                      <w:bCs/>
                      <w:iCs/>
                      <w:color w:val="FF0000"/>
                      <w:lang w:val="fr-FR"/>
                    </w:rPr>
                    <w:t>533,891.16</w:t>
                  </w:r>
                </w:p>
              </w:tc>
            </w:tr>
            <w:tr w:rsidR="001A2539" w:rsidRPr="0030235D" w14:paraId="62C096E1" w14:textId="77777777" w:rsidTr="00E81748">
              <w:tc>
                <w:tcPr>
                  <w:tcW w:w="3799" w:type="dxa"/>
                </w:tcPr>
                <w:p w14:paraId="4534D8AB" w14:textId="77777777" w:rsidR="001A2539" w:rsidRPr="000960DC" w:rsidRDefault="001A2539" w:rsidP="001A2539">
                  <w:pPr>
                    <w:rPr>
                      <w:b/>
                      <w:bCs/>
                      <w:iCs/>
                      <w:lang w:val="fr-FR"/>
                    </w:rPr>
                  </w:pPr>
                </w:p>
              </w:tc>
              <w:tc>
                <w:tcPr>
                  <w:tcW w:w="2018" w:type="dxa"/>
                </w:tcPr>
                <w:p w14:paraId="1769043F" w14:textId="77777777" w:rsidR="001A2539" w:rsidRPr="000960DC" w:rsidRDefault="001A2539" w:rsidP="001A2539">
                  <w:pPr>
                    <w:jc w:val="center"/>
                    <w:rPr>
                      <w:b/>
                      <w:bCs/>
                      <w:iCs/>
                      <w:lang w:val="fr-FR"/>
                    </w:rPr>
                  </w:pPr>
                </w:p>
              </w:tc>
              <w:tc>
                <w:tcPr>
                  <w:tcW w:w="2018" w:type="dxa"/>
                </w:tcPr>
                <w:p w14:paraId="32D49C7C" w14:textId="77777777" w:rsidR="001A2539" w:rsidRPr="000960DC" w:rsidRDefault="001A2539" w:rsidP="001A2539">
                  <w:pPr>
                    <w:jc w:val="center"/>
                    <w:rPr>
                      <w:b/>
                      <w:bCs/>
                      <w:iCs/>
                      <w:lang w:val="fr-FR"/>
                    </w:rPr>
                  </w:pPr>
                </w:p>
              </w:tc>
              <w:tc>
                <w:tcPr>
                  <w:tcW w:w="2019" w:type="dxa"/>
                </w:tcPr>
                <w:p w14:paraId="21841259" w14:textId="77777777" w:rsidR="001A2539" w:rsidRPr="000960DC" w:rsidRDefault="001A2539" w:rsidP="001A2539">
                  <w:pPr>
                    <w:jc w:val="center"/>
                    <w:rPr>
                      <w:b/>
                      <w:bCs/>
                      <w:iCs/>
                      <w:lang w:val="fr-FR"/>
                    </w:rPr>
                  </w:pPr>
                </w:p>
              </w:tc>
            </w:tr>
            <w:tr w:rsidR="001A2539" w:rsidRPr="0030235D" w14:paraId="544386CE" w14:textId="77777777" w:rsidTr="00E81748">
              <w:tc>
                <w:tcPr>
                  <w:tcW w:w="3799" w:type="dxa"/>
                </w:tcPr>
                <w:p w14:paraId="11691892" w14:textId="77777777" w:rsidR="001A2539" w:rsidRPr="000960DC" w:rsidRDefault="001A2539" w:rsidP="001A2539">
                  <w:pPr>
                    <w:rPr>
                      <w:b/>
                      <w:bCs/>
                      <w:iCs/>
                      <w:lang w:val="fr-FR"/>
                    </w:rPr>
                  </w:pPr>
                </w:p>
              </w:tc>
              <w:tc>
                <w:tcPr>
                  <w:tcW w:w="2018" w:type="dxa"/>
                </w:tcPr>
                <w:p w14:paraId="07E062EC" w14:textId="77777777" w:rsidR="001A2539" w:rsidRPr="000960DC" w:rsidRDefault="001A2539" w:rsidP="001A2539">
                  <w:pPr>
                    <w:jc w:val="center"/>
                    <w:rPr>
                      <w:b/>
                      <w:bCs/>
                      <w:iCs/>
                      <w:lang w:val="fr-FR"/>
                    </w:rPr>
                  </w:pPr>
                </w:p>
              </w:tc>
              <w:tc>
                <w:tcPr>
                  <w:tcW w:w="2018" w:type="dxa"/>
                </w:tcPr>
                <w:p w14:paraId="463FAEF5" w14:textId="6F858CB5" w:rsidR="001A2539" w:rsidRPr="000960DC" w:rsidRDefault="001A2539" w:rsidP="001A2539">
                  <w:pPr>
                    <w:jc w:val="center"/>
                    <w:rPr>
                      <w:b/>
                      <w:bCs/>
                      <w:iCs/>
                      <w:lang w:val="fr-FR"/>
                    </w:rPr>
                  </w:pPr>
                </w:p>
              </w:tc>
              <w:tc>
                <w:tcPr>
                  <w:tcW w:w="2019" w:type="dxa"/>
                </w:tcPr>
                <w:p w14:paraId="1427C1D3" w14:textId="77777777" w:rsidR="001A2539" w:rsidRPr="000960DC" w:rsidRDefault="001A2539" w:rsidP="001A2539">
                  <w:pPr>
                    <w:jc w:val="center"/>
                    <w:rPr>
                      <w:b/>
                      <w:bCs/>
                      <w:iCs/>
                      <w:lang w:val="fr-FR"/>
                    </w:rPr>
                  </w:pPr>
                </w:p>
              </w:tc>
            </w:tr>
            <w:tr w:rsidR="005029B5" w:rsidRPr="0030235D" w14:paraId="2D0EA8FE" w14:textId="77777777" w:rsidTr="00E81748">
              <w:tc>
                <w:tcPr>
                  <w:tcW w:w="3799" w:type="dxa"/>
                </w:tcPr>
                <w:p w14:paraId="3D976DCB" w14:textId="77777777" w:rsidR="005029B5" w:rsidRPr="000960DC" w:rsidRDefault="005029B5" w:rsidP="005029B5">
                  <w:pPr>
                    <w:rPr>
                      <w:b/>
                      <w:bCs/>
                      <w:iCs/>
                      <w:lang w:val="fr-FR"/>
                    </w:rPr>
                  </w:pPr>
                  <w:r w:rsidRPr="000960DC">
                    <w:rPr>
                      <w:b/>
                      <w:bCs/>
                      <w:iCs/>
                      <w:lang w:val="fr-FR"/>
                    </w:rPr>
                    <w:t>TOTAL</w:t>
                  </w:r>
                </w:p>
              </w:tc>
              <w:tc>
                <w:tcPr>
                  <w:tcW w:w="2018" w:type="dxa"/>
                </w:tcPr>
                <w:p w14:paraId="755BE03B" w14:textId="2D60A423" w:rsidR="005029B5" w:rsidRPr="000960DC" w:rsidRDefault="005029B5" w:rsidP="005029B5">
                  <w:pPr>
                    <w:jc w:val="center"/>
                    <w:rPr>
                      <w:b/>
                      <w:bCs/>
                      <w:iCs/>
                      <w:lang w:val="fr-FR"/>
                    </w:rPr>
                  </w:pPr>
                  <w:r>
                    <w:rPr>
                      <w:b/>
                      <w:bCs/>
                      <w:iCs/>
                      <w:lang w:val="fr-FR"/>
                    </w:rPr>
                    <w:t>USD 4,500.000.00</w:t>
                  </w:r>
                </w:p>
              </w:tc>
              <w:tc>
                <w:tcPr>
                  <w:tcW w:w="2018" w:type="dxa"/>
                </w:tcPr>
                <w:p w14:paraId="60B62F51" w14:textId="7CC2FC03" w:rsidR="005029B5" w:rsidRPr="000960DC" w:rsidRDefault="005029B5" w:rsidP="005029B5">
                  <w:pPr>
                    <w:jc w:val="center"/>
                    <w:rPr>
                      <w:b/>
                      <w:bCs/>
                      <w:iCs/>
                      <w:lang w:val="fr-FR"/>
                    </w:rPr>
                  </w:pPr>
                  <w:r>
                    <w:rPr>
                      <w:b/>
                      <w:bCs/>
                      <w:iCs/>
                      <w:lang w:val="fr-FR"/>
                    </w:rPr>
                    <w:t xml:space="preserve">USD </w:t>
                  </w:r>
                  <w:r w:rsidR="00D07B9F">
                    <w:rPr>
                      <w:b/>
                      <w:bCs/>
                      <w:iCs/>
                      <w:lang w:val="fr-FR"/>
                    </w:rPr>
                    <w:t>4,</w:t>
                  </w:r>
                  <w:r w:rsidR="002A17DE">
                    <w:rPr>
                      <w:b/>
                      <w:bCs/>
                      <w:iCs/>
                      <w:lang w:val="fr-FR"/>
                    </w:rPr>
                    <w:t>500</w:t>
                  </w:r>
                  <w:r w:rsidR="002177B6">
                    <w:rPr>
                      <w:b/>
                      <w:bCs/>
                      <w:iCs/>
                      <w:lang w:val="fr-FR"/>
                    </w:rPr>
                    <w:t>.000.00</w:t>
                  </w:r>
                </w:p>
              </w:tc>
              <w:tc>
                <w:tcPr>
                  <w:tcW w:w="2019" w:type="dxa"/>
                </w:tcPr>
                <w:p w14:paraId="4842283E" w14:textId="6C5D48EC" w:rsidR="005029B5" w:rsidRPr="000960DC" w:rsidRDefault="00324132" w:rsidP="00324132">
                  <w:pPr>
                    <w:rPr>
                      <w:b/>
                      <w:bCs/>
                      <w:iCs/>
                      <w:lang w:val="fr-FR"/>
                    </w:rPr>
                  </w:pPr>
                  <w:r>
                    <w:rPr>
                      <w:b/>
                      <w:bCs/>
                      <w:iCs/>
                      <w:lang w:val="fr-FR"/>
                    </w:rPr>
                    <w:t>3,364,024.19</w:t>
                  </w:r>
                </w:p>
              </w:tc>
            </w:tr>
          </w:tbl>
          <w:p w14:paraId="374E19D6" w14:textId="77777777" w:rsidR="001A2539" w:rsidRPr="001A2539" w:rsidRDefault="001A2539" w:rsidP="00F23D0F">
            <w:pPr>
              <w:rPr>
                <w:iCs/>
                <w:lang w:val="fr-FR"/>
              </w:rPr>
            </w:pPr>
          </w:p>
          <w:p w14:paraId="5324AF29" w14:textId="74D1AE20" w:rsidR="001C56B8"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r w:rsidR="00705227">
              <w:rPr>
                <w:rFonts w:ascii="Times New Roman" w:hAnsi="Times New Roman" w:cs="Times New Roman"/>
                <w:bCs/>
                <w:iCs/>
                <w:snapToGrid w:val="0"/>
                <w:sz w:val="24"/>
                <w:szCs w:val="24"/>
                <w:lang w:val="fr-FR"/>
              </w:rPr>
              <w:t>projet</w:t>
            </w:r>
            <w:r w:rsidR="00705227" w:rsidRPr="000F43A8">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324132">
              <w:rPr>
                <w:rFonts w:ascii="Times New Roman" w:hAnsi="Times New Roman" w:cs="Times New Roman"/>
                <w:bCs/>
                <w:iCs/>
                <w:snapToGrid w:val="0"/>
                <w:sz w:val="24"/>
                <w:szCs w:val="24"/>
                <w:lang w:val="fr-FR"/>
              </w:rPr>
              <w:t>75</w:t>
            </w:r>
            <w:r w:rsidR="008E31E8" w:rsidRPr="008E31E8">
              <w:rPr>
                <w:rFonts w:ascii="Times New Roman" w:hAnsi="Times New Roman" w:cs="Times New Roman"/>
                <w:bCs/>
                <w:iCs/>
                <w:snapToGrid w:val="0"/>
                <w:sz w:val="24"/>
                <w:szCs w:val="24"/>
                <w:lang w:val="fr-FR"/>
              </w:rPr>
              <w:t>%</w:t>
            </w:r>
          </w:p>
          <w:p w14:paraId="36E10D3B" w14:textId="38A79790" w:rsidR="008C150B" w:rsidRPr="008E31E8" w:rsidRDefault="008C150B"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Pr>
                <w:rFonts w:ascii="Times New Roman" w:hAnsi="Times New Roman" w:cs="Times New Roman"/>
                <w:bCs/>
                <w:iCs/>
                <w:snapToGrid w:val="0"/>
                <w:sz w:val="24"/>
                <w:szCs w:val="24"/>
                <w:lang w:val="fr-FR"/>
              </w:rPr>
              <w:t>(</w:t>
            </w:r>
            <w:r w:rsidR="00287460" w:rsidRPr="00392FA8">
              <w:rPr>
                <w:rFonts w:ascii="Times New Roman" w:hAnsi="Times New Roman" w:cs="Times New Roman"/>
                <w:bCs/>
                <w:iCs/>
                <w:snapToGrid w:val="0"/>
                <w:color w:val="FF0000"/>
                <w:sz w:val="24"/>
                <w:szCs w:val="24"/>
                <w:lang w:val="fr-FR"/>
              </w:rPr>
              <w:t>3</w:t>
            </w:r>
            <w:r w:rsidR="00287460" w:rsidRPr="00392FA8">
              <w:rPr>
                <w:rFonts w:ascii="Times New Roman" w:hAnsi="Times New Roman" w:cs="Times New Roman"/>
                <w:bCs/>
                <w:iCs/>
                <w:snapToGrid w:val="0"/>
                <w:color w:val="FF0000"/>
                <w:sz w:val="24"/>
                <w:szCs w:val="24"/>
                <w:vertAlign w:val="superscript"/>
                <w:lang w:val="fr-FR"/>
              </w:rPr>
              <w:t>e</w:t>
            </w:r>
            <w:r w:rsidR="00287460" w:rsidRPr="00392FA8">
              <w:rPr>
                <w:rFonts w:ascii="Times New Roman" w:hAnsi="Times New Roman" w:cs="Times New Roman"/>
                <w:bCs/>
                <w:iCs/>
                <w:snapToGrid w:val="0"/>
                <w:color w:val="FF0000"/>
                <w:sz w:val="24"/>
                <w:szCs w:val="24"/>
                <w:lang w:val="fr-FR"/>
              </w:rPr>
              <w:t xml:space="preserve"> tranche re</w:t>
            </w:r>
            <w:r w:rsidR="00392FA8" w:rsidRPr="00392FA8">
              <w:rPr>
                <w:rFonts w:ascii="Times New Roman" w:hAnsi="Times New Roman" w:cs="Times New Roman"/>
                <w:bCs/>
                <w:iCs/>
                <w:snapToGrid w:val="0"/>
                <w:color w:val="FF0000"/>
                <w:sz w:val="24"/>
                <w:szCs w:val="24"/>
                <w:lang w:val="fr-FR"/>
              </w:rPr>
              <w:t>çue plus de 6 mois en retard</w:t>
            </w:r>
            <w:r w:rsidR="00392FA8">
              <w:rPr>
                <w:rFonts w:ascii="Times New Roman" w:hAnsi="Times New Roman" w:cs="Times New Roman"/>
                <w:bCs/>
                <w:iCs/>
                <w:snapToGrid w:val="0"/>
                <w:color w:val="FF0000"/>
                <w:sz w:val="24"/>
                <w:szCs w:val="24"/>
                <w:lang w:val="fr-FR"/>
              </w:rPr>
              <w:t xml:space="preserve"> par UNICEF et ONU Femmes</w:t>
            </w:r>
            <w:r>
              <w:rPr>
                <w:rFonts w:ascii="Times New Roman" w:hAnsi="Times New Roman" w:cs="Times New Roman"/>
                <w:bCs/>
                <w:iCs/>
                <w:snapToGrid w:val="0"/>
                <w:sz w:val="24"/>
                <w:szCs w:val="24"/>
                <w:lang w:val="fr-FR"/>
              </w:rPr>
              <w:t>)</w:t>
            </w:r>
          </w:p>
          <w:p w14:paraId="0F96CB0C" w14:textId="77777777" w:rsidR="001A2539" w:rsidRPr="00BF4E1E" w:rsidRDefault="001A2539"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4160A5D1" w14:textId="148D614A" w:rsid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r w:rsidR="008E31E8">
              <w:rPr>
                <w:rFonts w:ascii="Times New Roman" w:hAnsi="Times New Roman" w:cs="Times New Roman"/>
                <w:bCs/>
                <w:iCs/>
                <w:snapToGrid w:val="0"/>
                <w:sz w:val="23"/>
                <w:szCs w:val="23"/>
                <w:lang w:val="fr-FR"/>
              </w:rPr>
              <w:t xml:space="preserve"> </w:t>
            </w:r>
          </w:p>
          <w:p w14:paraId="434B0DC7" w14:textId="77777777" w:rsidR="00117EE7" w:rsidRPr="000960DC" w:rsidRDefault="00117EE7"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156379B1" w14:textId="115B8C53" w:rsidR="001A2539" w:rsidRPr="000960DC" w:rsidRDefault="001A2539" w:rsidP="001A2539">
            <w:pPr>
              <w:pStyle w:val="BalloonText"/>
              <w:numPr>
                <w:ilvl w:val="12"/>
                <w:numId w:val="0"/>
              </w:numPr>
              <w:tabs>
                <w:tab w:val="left" w:pos="-720"/>
                <w:tab w:val="left" w:pos="4500"/>
              </w:tabs>
              <w:suppressAutoHyphens/>
              <w:rPr>
                <w:rFonts w:ascii="Times New Roman" w:hAnsi="Times New Roman" w:cs="Times New Roman"/>
                <w:i/>
                <w:iCs/>
                <w:sz w:val="24"/>
                <w:szCs w:val="24"/>
                <w:lang w:val="fr-FR"/>
              </w:rPr>
            </w:pPr>
            <w:r w:rsidRPr="000960DC">
              <w:rPr>
                <w:rFonts w:ascii="Times New Roman" w:hAnsi="Times New Roman" w:cs="Times New Roman"/>
                <w:i/>
                <w:iCs/>
                <w:sz w:val="24"/>
                <w:szCs w:val="24"/>
                <w:lang w:val="fr-FR"/>
              </w:rPr>
              <w:t xml:space="preserve">Les modèles de budget sont disponibles </w:t>
            </w:r>
            <w:hyperlink r:id="rId13" w:history="1">
              <w:r w:rsidRPr="000960DC">
                <w:rPr>
                  <w:rStyle w:val="Hyperlink"/>
                  <w:rFonts w:ascii="Times New Roman" w:hAnsi="Times New Roman" w:cs="Times New Roman"/>
                  <w:i/>
                  <w:iCs/>
                  <w:sz w:val="24"/>
                  <w:szCs w:val="24"/>
                  <w:lang w:val="fr-FR"/>
                </w:rPr>
                <w:t>ici</w:t>
              </w:r>
            </w:hyperlink>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7681B09C" w14:textId="056333A2" w:rsidR="001A2539" w:rsidRDefault="007B62A5"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w:t>
            </w:r>
            <w:r w:rsidR="0007676B" w:rsidRPr="000F43A8">
              <w:rPr>
                <w:rFonts w:ascii="Times New Roman" w:hAnsi="Times New Roman" w:cs="Times New Roman"/>
                <w:b/>
                <w:bCs/>
                <w:sz w:val="24"/>
                <w:szCs w:val="24"/>
                <w:lang w:val="fr-FR"/>
              </w:rPr>
              <w:t>genre :</w:t>
            </w:r>
          </w:p>
          <w:p w14:paraId="77C1BA9F" w14:textId="77777777" w:rsidR="001A2539" w:rsidRDefault="001A2539"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6E8E032C" w14:textId="5FCF0651" w:rsidR="001A2539" w:rsidRPr="001A2539" w:rsidRDefault="001A2539" w:rsidP="6595E2F0">
            <w:pPr>
              <w:pStyle w:val="BalloonText"/>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Indiquez quel pourcentage (</w:t>
            </w:r>
            <w:r w:rsidR="00252E54">
              <w:rPr>
                <w:rFonts w:asciiTheme="minorHAnsi" w:hAnsiTheme="minorHAnsi" w:cstheme="minorBidi"/>
                <w:sz w:val="24"/>
                <w:szCs w:val="24"/>
                <w:lang w:val="fr-FR"/>
              </w:rPr>
              <w:t>15</w:t>
            </w:r>
            <w:r w:rsidRPr="6595E2F0">
              <w:rPr>
                <w:rFonts w:asciiTheme="minorHAnsi" w:hAnsiTheme="minorHAnsi" w:cstheme="minorBidi"/>
                <w:sz w:val="24"/>
                <w:szCs w:val="24"/>
                <w:lang w:val="fr-FR"/>
              </w:rPr>
              <w:t xml:space="preserve">%) du budget contribuant </w:t>
            </w:r>
            <w:r w:rsidR="6595E2F0" w:rsidRPr="6595E2F0">
              <w:rPr>
                <w:rFonts w:asciiTheme="minorHAnsi" w:hAnsiTheme="minorHAnsi" w:cstheme="minorBidi"/>
                <w:sz w:val="24"/>
                <w:szCs w:val="24"/>
                <w:lang w:val="fr-FR"/>
              </w:rPr>
              <w:t>à</w:t>
            </w:r>
            <w:r w:rsidRPr="6595E2F0">
              <w:rPr>
                <w:rFonts w:asciiTheme="minorHAnsi" w:hAnsiTheme="minorHAnsi" w:cstheme="minorBidi"/>
                <w:sz w:val="24"/>
                <w:szCs w:val="24"/>
                <w:lang w:val="fr-FR"/>
              </w:rPr>
              <w:t xml:space="preserve"> l'égalité des sexes ou l'autonomisation des femmes (GEWE) ?</w:t>
            </w:r>
            <w:r w:rsidR="008E31E8">
              <w:rPr>
                <w:rFonts w:ascii="Times New Roman" w:hAnsi="Times New Roman" w:cs="Times New Roman"/>
                <w:bCs/>
                <w:iCs/>
                <w:snapToGrid w:val="0"/>
                <w:sz w:val="23"/>
                <w:szCs w:val="23"/>
                <w:lang w:val="fr-FR"/>
              </w:rPr>
              <w:t xml:space="preserve"> 14.6 %</w:t>
            </w:r>
          </w:p>
          <w:p w14:paraId="3B688265" w14:textId="77777777" w:rsidR="001A2539" w:rsidRPr="001A2539" w:rsidRDefault="001A2539" w:rsidP="001A2539">
            <w:pPr>
              <w:pStyle w:val="BalloonText"/>
              <w:numPr>
                <w:ilvl w:val="12"/>
                <w:numId w:val="0"/>
              </w:numPr>
              <w:tabs>
                <w:tab w:val="left" w:pos="-720"/>
                <w:tab w:val="left" w:pos="4500"/>
              </w:tabs>
              <w:suppressAutoHyphens/>
              <w:rPr>
                <w:rFonts w:asciiTheme="minorHAnsi" w:hAnsiTheme="minorHAnsi" w:cstheme="minorHAnsi"/>
                <w:sz w:val="24"/>
                <w:szCs w:val="24"/>
                <w:lang w:val="fr-FR"/>
              </w:rPr>
            </w:pPr>
          </w:p>
          <w:p w14:paraId="70C2EA9C" w14:textId="428AC6BA" w:rsidR="00970F4C" w:rsidRPr="00252E54" w:rsidRDefault="000F43A8" w:rsidP="6595E2F0">
            <w:pPr>
              <w:pStyle w:val="BalloonText"/>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le montant ($) du budget dans le document de projet </w:t>
            </w:r>
            <w:r w:rsidR="001A2539" w:rsidRPr="6595E2F0">
              <w:rPr>
                <w:rFonts w:asciiTheme="minorHAnsi" w:hAnsiTheme="minorHAnsi" w:cstheme="minorBidi"/>
                <w:sz w:val="24"/>
                <w:szCs w:val="24"/>
                <w:lang w:val="fr-FR"/>
              </w:rPr>
              <w:t xml:space="preserve">contribuant </w:t>
            </w:r>
            <w:r w:rsidRPr="6595E2F0">
              <w:rPr>
                <w:rFonts w:asciiTheme="minorHAnsi" w:hAnsiTheme="minorHAnsi" w:cstheme="minorBidi"/>
                <w:sz w:val="24"/>
                <w:szCs w:val="24"/>
                <w:lang w:val="fr-FR"/>
              </w:rPr>
              <w:t xml:space="preserve">à l’égalité des sexes ou à l’autonomisation des </w:t>
            </w:r>
            <w:r w:rsidR="0007676B" w:rsidRPr="6595E2F0">
              <w:rPr>
                <w:rFonts w:asciiTheme="minorHAnsi" w:hAnsiTheme="minorHAnsi" w:cstheme="minorBidi"/>
                <w:sz w:val="24"/>
                <w:szCs w:val="24"/>
                <w:lang w:val="fr-FR"/>
              </w:rPr>
              <w:t>femmes :</w:t>
            </w:r>
            <w:r w:rsidR="00970F4C" w:rsidRPr="6595E2F0">
              <w:rPr>
                <w:rFonts w:asciiTheme="minorHAnsi" w:hAnsiTheme="minorHAnsi" w:cstheme="minorBidi"/>
                <w:sz w:val="24"/>
                <w:szCs w:val="24"/>
                <w:lang w:val="fr-FR"/>
              </w:rPr>
              <w:t xml:space="preserve"> </w:t>
            </w:r>
            <w:r w:rsidR="00252E54" w:rsidRPr="00252E54">
              <w:rPr>
                <w:rFonts w:asciiTheme="minorHAnsi" w:hAnsiTheme="minorHAnsi" w:cstheme="minorBidi"/>
                <w:sz w:val="24"/>
                <w:szCs w:val="24"/>
                <w:lang w:val="fr-FR"/>
              </w:rPr>
              <w:t>6</w:t>
            </w:r>
            <w:r w:rsidR="00252E54">
              <w:rPr>
                <w:rFonts w:asciiTheme="minorHAnsi" w:hAnsiTheme="minorHAnsi" w:cstheme="minorBidi"/>
                <w:sz w:val="24"/>
                <w:szCs w:val="24"/>
                <w:lang w:val="fr-FR"/>
              </w:rPr>
              <w:t>75,000.00</w:t>
            </w:r>
          </w:p>
          <w:p w14:paraId="708C1084" w14:textId="77777777" w:rsidR="001A2539" w:rsidRPr="001A2539" w:rsidRDefault="001A2539" w:rsidP="001A2539">
            <w:pPr>
              <w:pStyle w:val="BalloonText"/>
              <w:numPr>
                <w:ilvl w:val="12"/>
                <w:numId w:val="0"/>
              </w:numPr>
              <w:tabs>
                <w:tab w:val="left" w:pos="-720"/>
                <w:tab w:val="left" w:pos="4500"/>
              </w:tabs>
              <w:suppressAutoHyphens/>
              <w:rPr>
                <w:rFonts w:asciiTheme="minorHAnsi" w:hAnsiTheme="minorHAnsi" w:cstheme="minorHAnsi"/>
                <w:sz w:val="24"/>
                <w:szCs w:val="24"/>
                <w:lang w:val="fr-FR"/>
              </w:rPr>
            </w:pPr>
          </w:p>
          <w:p w14:paraId="639EFB0D" w14:textId="69F90492" w:rsidR="00952DE4" w:rsidRPr="00252E54" w:rsidRDefault="000F43A8" w:rsidP="6595E2F0">
            <w:pPr>
              <w:rPr>
                <w:rFonts w:asciiTheme="minorHAnsi" w:hAnsiTheme="minorHAnsi" w:cstheme="minorBidi"/>
                <w:lang w:val="fr-FR"/>
              </w:rPr>
            </w:pPr>
            <w:r w:rsidRPr="6595E2F0">
              <w:rPr>
                <w:rFonts w:asciiTheme="minorHAnsi" w:hAnsiTheme="minorHAnsi" w:cstheme="minorBidi"/>
                <w:lang w:val="fr-FR"/>
              </w:rPr>
              <w:t xml:space="preserve">Indiquez le montant ($) du budget dépensé jusqu’à maintenant contribuant à l’égalité des sexes ou à l’autonomisation des </w:t>
            </w:r>
            <w:r w:rsidR="0007676B" w:rsidRPr="6595E2F0">
              <w:rPr>
                <w:rFonts w:asciiTheme="minorHAnsi" w:hAnsiTheme="minorHAnsi" w:cstheme="minorBidi"/>
                <w:lang w:val="fr-FR"/>
              </w:rPr>
              <w:t>femmes :</w:t>
            </w:r>
            <w:r w:rsidR="00006EC0" w:rsidRPr="6595E2F0">
              <w:rPr>
                <w:rFonts w:asciiTheme="minorHAnsi" w:hAnsiTheme="minorHAnsi" w:cstheme="minorBidi"/>
                <w:lang w:val="fr-FR"/>
              </w:rPr>
              <w:t xml:space="preserve"> </w:t>
            </w:r>
            <w:r w:rsidR="008E31E8" w:rsidRPr="008E31E8">
              <w:rPr>
                <w:rFonts w:asciiTheme="minorHAnsi" w:hAnsiTheme="minorHAnsi" w:cstheme="minorBidi"/>
                <w:lang w:val="fr-FR"/>
              </w:rPr>
              <w:t>661,351</w:t>
            </w:r>
          </w:p>
        </w:tc>
      </w:tr>
      <w:tr w:rsidR="009B18EB" w:rsidRPr="0030235D" w14:paraId="0DF7F010" w14:textId="77777777" w:rsidTr="6595E2F0">
        <w:trPr>
          <w:trHeight w:val="1124"/>
        </w:trPr>
        <w:tc>
          <w:tcPr>
            <w:tcW w:w="10080" w:type="dxa"/>
          </w:tcPr>
          <w:p w14:paraId="0084A294" w14:textId="75A81C68" w:rsidR="009B18EB" w:rsidRPr="000F43A8" w:rsidRDefault="000F43A8" w:rsidP="00F23D0F">
            <w:pPr>
              <w:rPr>
                <w:b/>
                <w:bCs/>
                <w:iCs/>
                <w:lang w:val="fr-FR"/>
              </w:rPr>
            </w:pPr>
            <w:r w:rsidRPr="000F43A8">
              <w:rPr>
                <w:b/>
                <w:bCs/>
                <w:iCs/>
                <w:lang w:val="fr-FR"/>
              </w:rPr>
              <w:t xml:space="preserve">Marquer de genre du </w:t>
            </w:r>
            <w:r w:rsidR="0007676B" w:rsidRPr="000F43A8">
              <w:rPr>
                <w:b/>
                <w:bCs/>
                <w:iCs/>
                <w:lang w:val="fr-FR"/>
              </w:rPr>
              <w:t>projet :</w:t>
            </w:r>
            <w:r w:rsidR="009B18EB" w:rsidRPr="000F43A8">
              <w:rPr>
                <w:b/>
                <w:bCs/>
                <w:iCs/>
                <w:lang w:val="fr-FR"/>
              </w:rPr>
              <w:t xml:space="preserve"> </w:t>
            </w:r>
            <w:r w:rsidR="0007676B">
              <w:rPr>
                <w:b/>
                <w:bCs/>
                <w:iCs/>
                <w:lang w:val="fr-FR"/>
              </w:rPr>
              <w:t>GM2</w:t>
            </w:r>
          </w:p>
          <w:p w14:paraId="7B5DB9E4" w14:textId="5D1E9928" w:rsidR="009B18EB" w:rsidRPr="000F43A8" w:rsidRDefault="000F43A8" w:rsidP="00F23D0F">
            <w:pPr>
              <w:rPr>
                <w:b/>
                <w:bCs/>
                <w:iCs/>
                <w:lang w:val="fr-FR"/>
              </w:rPr>
            </w:pPr>
            <w:r w:rsidRPr="000F43A8">
              <w:rPr>
                <w:b/>
                <w:bCs/>
                <w:iCs/>
                <w:lang w:val="fr-FR"/>
              </w:rPr>
              <w:t xml:space="preserve">Marquer de risque du </w:t>
            </w:r>
            <w:r w:rsidR="005F1C50" w:rsidRPr="000F43A8">
              <w:rPr>
                <w:b/>
                <w:bCs/>
                <w:iCs/>
                <w:lang w:val="fr-FR"/>
              </w:rPr>
              <w:t>projet :</w:t>
            </w:r>
            <w:r w:rsidR="009B18EB" w:rsidRPr="000F43A8">
              <w:rPr>
                <w:b/>
                <w:bCs/>
                <w:iCs/>
                <w:lang w:val="fr-FR"/>
              </w:rPr>
              <w:t xml:space="preserve"> </w:t>
            </w:r>
            <w:r w:rsidR="0007676B">
              <w:rPr>
                <w:b/>
                <w:bCs/>
                <w:iCs/>
                <w:lang w:val="fr-FR"/>
              </w:rPr>
              <w:t>Moyen</w:t>
            </w:r>
          </w:p>
          <w:p w14:paraId="55B14D86" w14:textId="7E00B167"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5F1C50">
              <w:rPr>
                <w:b/>
                <w:bCs/>
                <w:iCs/>
                <w:lang w:val="fr-FR"/>
              </w:rPr>
              <w:t>)</w:t>
            </w:r>
            <w:r w:rsidR="005F1C50" w:rsidRPr="000F43A8">
              <w:rPr>
                <w:b/>
                <w:bCs/>
                <w:iCs/>
                <w:lang w:val="fr-FR"/>
              </w:rPr>
              <w:t xml:space="preserve"> :</w:t>
            </w:r>
            <w:r w:rsidR="009B18EB" w:rsidRPr="000F43A8">
              <w:rPr>
                <w:b/>
                <w:bCs/>
                <w:iCs/>
                <w:lang w:val="fr-FR"/>
              </w:rPr>
              <w:t xml:space="preserve"> </w:t>
            </w:r>
            <w:r w:rsidR="005F1C50">
              <w:rPr>
                <w:b/>
                <w:bCs/>
                <w:iCs/>
                <w:lang w:val="fr-FR"/>
              </w:rPr>
              <w:t xml:space="preserve">Renforcement des capacités </w:t>
            </w:r>
          </w:p>
        </w:tc>
      </w:tr>
      <w:tr w:rsidR="00793DE6" w:rsidRPr="002D472C" w14:paraId="27192C5C" w14:textId="77777777" w:rsidTr="6595E2F0">
        <w:trPr>
          <w:trHeight w:val="1124"/>
        </w:trPr>
        <w:tc>
          <w:tcPr>
            <w:tcW w:w="10080" w:type="dxa"/>
          </w:tcPr>
          <w:p w14:paraId="7BC15C3E" w14:textId="1219C49F" w:rsidR="000F43A8" w:rsidRPr="00136BFF" w:rsidRDefault="000F43A8" w:rsidP="000F43A8">
            <w:pPr>
              <w:rPr>
                <w:b/>
                <w:bCs/>
                <w:sz w:val="22"/>
                <w:lang w:val="fr-FR"/>
              </w:rPr>
            </w:pPr>
            <w:r w:rsidRPr="00136BFF">
              <w:rPr>
                <w:b/>
                <w:bCs/>
                <w:sz w:val="22"/>
                <w:lang w:val="fr-FR"/>
              </w:rPr>
              <w:t xml:space="preserve">Préparation du </w:t>
            </w:r>
            <w:r w:rsidR="00252E54" w:rsidRPr="00136BFF">
              <w:rPr>
                <w:b/>
                <w:bCs/>
                <w:sz w:val="22"/>
                <w:lang w:val="fr-FR"/>
              </w:rPr>
              <w:t>rapport :</w:t>
            </w:r>
          </w:p>
          <w:p w14:paraId="43FCACD6" w14:textId="7946EB5A" w:rsidR="000F43A8" w:rsidRPr="00826923" w:rsidRDefault="000F43A8" w:rsidP="000F43A8">
            <w:pPr>
              <w:rPr>
                <w:lang w:val="fr-FR"/>
              </w:rPr>
            </w:pPr>
            <w:r w:rsidRPr="00826923">
              <w:rPr>
                <w:lang w:val="fr-FR"/>
              </w:rPr>
              <w:t xml:space="preserve">Rapport préparé </w:t>
            </w:r>
            <w:r w:rsidR="00252E54" w:rsidRPr="00826923">
              <w:rPr>
                <w:lang w:val="fr-FR"/>
              </w:rPr>
              <w:t>par :</w:t>
            </w:r>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Pr="00826923">
              <w:rPr>
                <w:lang w:val="fr-FR"/>
              </w:rPr>
              <w:t> </w:t>
            </w:r>
            <w:r w:rsidRPr="00826923">
              <w:rPr>
                <w:lang w:val="fr-FR"/>
              </w:rPr>
              <w:t> </w:t>
            </w:r>
            <w:r w:rsidRPr="00826923">
              <w:rPr>
                <w:lang w:val="fr-FR"/>
              </w:rPr>
              <w:t> </w:t>
            </w:r>
            <w:r w:rsidRPr="00826923">
              <w:rPr>
                <w:lang w:val="fr-FR"/>
              </w:rPr>
              <w:t> </w:t>
            </w:r>
            <w:r w:rsidRPr="00826923">
              <w:rPr>
                <w:lang w:val="fr-FR"/>
              </w:rPr>
              <w:fldChar w:fldCharType="end"/>
            </w:r>
          </w:p>
          <w:p w14:paraId="4F7F6063" w14:textId="0A25FB4D" w:rsidR="000F43A8" w:rsidRPr="00826923" w:rsidRDefault="000F43A8" w:rsidP="000F43A8">
            <w:pPr>
              <w:rPr>
                <w:lang w:val="fr-FR"/>
              </w:rPr>
            </w:pPr>
            <w:r w:rsidRPr="00826923">
              <w:rPr>
                <w:lang w:val="fr-FR"/>
              </w:rPr>
              <w:t xml:space="preserve">Rapport approuvé </w:t>
            </w:r>
            <w:r w:rsidR="00252E54" w:rsidRPr="00826923">
              <w:rPr>
                <w:lang w:val="fr-FR"/>
              </w:rPr>
              <w:t>par :</w:t>
            </w:r>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Pr="00826923">
              <w:rPr>
                <w:lang w:val="fr-FR"/>
              </w:rPr>
              <w:t> </w:t>
            </w:r>
            <w:r w:rsidRPr="00826923">
              <w:rPr>
                <w:lang w:val="fr-FR"/>
              </w:rPr>
              <w:t> </w:t>
            </w:r>
            <w:r w:rsidRPr="00826923">
              <w:rPr>
                <w:lang w:val="fr-FR"/>
              </w:rPr>
              <w:t> </w:t>
            </w:r>
            <w:r w:rsidRPr="00826923">
              <w:rPr>
                <w:lang w:val="fr-FR"/>
              </w:rPr>
              <w:t> </w:t>
            </w:r>
            <w:r w:rsidRPr="00826923">
              <w:rPr>
                <w:lang w:val="fr-FR"/>
              </w:rPr>
              <w:fldChar w:fldCharType="end"/>
            </w:r>
          </w:p>
          <w:p w14:paraId="64A19D37" w14:textId="137FF5F1" w:rsidR="000F43A8" w:rsidRPr="000F43A8" w:rsidRDefault="000F43A8" w:rsidP="000F43A8">
            <w:pPr>
              <w:rPr>
                <w:lang w:val="fr-FR"/>
              </w:rPr>
            </w:pPr>
            <w:r w:rsidRPr="00826923">
              <w:rPr>
                <w:lang w:val="fr-FR"/>
              </w:rPr>
              <w:t xml:space="preserve">Le Secrétariat PBF a-t-il revu le </w:t>
            </w:r>
            <w:r w:rsidR="00252E54" w:rsidRPr="00826923">
              <w:rPr>
                <w:lang w:val="fr-FR"/>
              </w:rPr>
              <w:t>rapport</w:t>
            </w:r>
            <w:r w:rsidR="00252E54" w:rsidRPr="00136BFF">
              <w:rPr>
                <w:sz w:val="22"/>
                <w:lang w:val="fr-FR"/>
              </w:rPr>
              <w:t xml:space="preserve"> :</w:t>
            </w:r>
            <w:r w:rsidRPr="00136BFF">
              <w:rPr>
                <w:sz w:val="22"/>
                <w:lang w:val="fr-FR"/>
              </w:rPr>
              <w:t xml:space="preserve"> </w:t>
            </w:r>
            <w:r w:rsidR="00280FEA">
              <w:fldChar w:fldCharType="begin">
                <w:ffData>
                  <w:name w:val="secretariatreview"/>
                  <w:enabled/>
                  <w:calcOnExit w:val="0"/>
                  <w:ddList>
                    <w:listEntry w:val="Veuillez sélectionner"/>
                    <w:listEntry w:val="Oui"/>
                    <w:listEntry w:val="Non"/>
                  </w:ddList>
                </w:ffData>
              </w:fldChar>
            </w:r>
            <w:bookmarkStart w:id="0" w:name="secretariatreview"/>
            <w:r w:rsidR="00280FEA" w:rsidRPr="00280FEA">
              <w:rPr>
                <w:lang w:val="fr-FR"/>
              </w:rPr>
              <w:instrText xml:space="preserve"> FORMDROPDOWN </w:instrText>
            </w:r>
            <w:r w:rsidR="00043939">
              <w:fldChar w:fldCharType="separate"/>
            </w:r>
            <w:r w:rsidR="00280FEA">
              <w:fldChar w:fldCharType="end"/>
            </w:r>
            <w:bookmarkEnd w:id="0"/>
          </w:p>
        </w:tc>
      </w:tr>
    </w:tbl>
    <w:p w14:paraId="0BC7960C" w14:textId="77777777" w:rsidR="00272A58" w:rsidRPr="000F43A8" w:rsidRDefault="00272A58" w:rsidP="00E76CA1">
      <w:pPr>
        <w:rPr>
          <w:b/>
          <w:lang w:val="fr-FR"/>
        </w:rPr>
        <w:sectPr w:rsidR="00272A58" w:rsidRPr="000F43A8" w:rsidSect="003758E5">
          <w:footerReference w:type="default" r:id="rId14"/>
          <w:pgSz w:w="11906" w:h="16838"/>
          <w:pgMar w:top="1440" w:right="1440" w:bottom="1440" w:left="1440" w:header="720" w:footer="720" w:gutter="0"/>
          <w:cols w:space="720"/>
          <w:docGrid w:linePitch="360"/>
        </w:sectPr>
      </w:pPr>
    </w:p>
    <w:p w14:paraId="02D40EEC" w14:textId="6FD46559" w:rsidR="00F778A1" w:rsidRPr="00F778A1" w:rsidRDefault="00F778A1" w:rsidP="00F778A1">
      <w:pPr>
        <w:ind w:hanging="810"/>
        <w:jc w:val="both"/>
        <w:rPr>
          <w:b/>
          <w:i/>
          <w:iCs/>
          <w:lang w:val="fr-FR"/>
        </w:rPr>
      </w:pPr>
      <w:r w:rsidRPr="00F778A1">
        <w:rPr>
          <w:b/>
          <w:i/>
          <w:iCs/>
          <w:lang w:val="fr-FR"/>
        </w:rPr>
        <w:lastRenderedPageBreak/>
        <w:t xml:space="preserve">NOTES POUR REMPLIR LE </w:t>
      </w:r>
      <w:r w:rsidR="00705227" w:rsidRPr="00F778A1">
        <w:rPr>
          <w:b/>
          <w:i/>
          <w:iCs/>
          <w:lang w:val="fr-FR"/>
        </w:rPr>
        <w:t>RAPPORT :</w:t>
      </w:r>
    </w:p>
    <w:p w14:paraId="7949AC07" w14:textId="77777777" w:rsidR="00116E27" w:rsidRDefault="00F778A1" w:rsidP="00116E27">
      <w:pPr>
        <w:ind w:left="-900"/>
        <w:jc w:val="both"/>
        <w:rPr>
          <w:i/>
          <w:iCs/>
          <w:lang w:val="fr-FR"/>
        </w:rPr>
      </w:pPr>
      <w:r w:rsidRPr="00117EE7">
        <w:rPr>
          <w:b/>
          <w:u w:val="single"/>
          <w:lang w:val="fr-FR"/>
        </w:rPr>
        <w:t xml:space="preserve">Partie 1 : </w:t>
      </w:r>
      <w:r w:rsidRPr="00117EE7">
        <w:rPr>
          <w:rFonts w:ascii="inherit" w:hAnsi="inherit"/>
          <w:b/>
          <w:bCs/>
          <w:color w:val="212121"/>
          <w:u w:val="single"/>
          <w:lang w:val="fr-FR"/>
        </w:rPr>
        <w:t xml:space="preserve">Progrès global du projet </w:t>
      </w:r>
    </w:p>
    <w:p w14:paraId="2138B2D6" w14:textId="647AE528" w:rsidR="007A50D1" w:rsidRDefault="00F778A1" w:rsidP="007A50D1">
      <w:pPr>
        <w:ind w:left="-900"/>
        <w:jc w:val="both"/>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7B62A5">
        <w:rPr>
          <w:lang w:val="fr-FR"/>
        </w:rPr>
        <w:t>(limite de 1500 caractères</w:t>
      </w:r>
      <w:r w:rsidR="00705227" w:rsidRPr="007B62A5">
        <w:rPr>
          <w:lang w:val="fr-FR"/>
        </w:rPr>
        <w:t>) :</w:t>
      </w:r>
    </w:p>
    <w:p w14:paraId="59B619B4" w14:textId="3A04F6FE" w:rsidR="007A50D1" w:rsidRDefault="007A50D1" w:rsidP="007A50D1">
      <w:pPr>
        <w:ind w:left="-900"/>
        <w:jc w:val="both"/>
        <w:rPr>
          <w:lang w:val="fr-FR"/>
        </w:rPr>
      </w:pPr>
    </w:p>
    <w:p w14:paraId="7DE246E1" w14:textId="7891E71D" w:rsidR="00B71D29" w:rsidRDefault="007A50D1" w:rsidP="007A50D1">
      <w:pPr>
        <w:ind w:left="-900"/>
        <w:jc w:val="both"/>
        <w:rPr>
          <w:lang w:val="fr-FR"/>
        </w:rPr>
      </w:pPr>
      <w:r>
        <w:rPr>
          <w:lang w:val="fr-FR"/>
        </w:rPr>
        <w:t xml:space="preserve">Durant la période couverte par ce </w:t>
      </w:r>
      <w:r w:rsidR="007B62B8">
        <w:rPr>
          <w:lang w:val="fr-FR"/>
        </w:rPr>
        <w:t>rapport, la</w:t>
      </w:r>
      <w:r>
        <w:rPr>
          <w:lang w:val="fr-FR"/>
        </w:rPr>
        <w:t xml:space="preserve"> </w:t>
      </w:r>
      <w:r w:rsidR="00493CC9">
        <w:rPr>
          <w:lang w:val="fr-FR"/>
        </w:rPr>
        <w:t>quasi-totalité</w:t>
      </w:r>
      <w:r>
        <w:rPr>
          <w:lang w:val="fr-FR"/>
        </w:rPr>
        <w:t xml:space="preserve"> des activités </w:t>
      </w:r>
      <w:r w:rsidR="00493CC9">
        <w:rPr>
          <w:lang w:val="fr-FR"/>
        </w:rPr>
        <w:t>préparatoires</w:t>
      </w:r>
      <w:r>
        <w:rPr>
          <w:lang w:val="fr-FR"/>
        </w:rPr>
        <w:t xml:space="preserve"> </w:t>
      </w:r>
      <w:r w:rsidR="00493CC9">
        <w:rPr>
          <w:lang w:val="fr-FR"/>
        </w:rPr>
        <w:t>à</w:t>
      </w:r>
      <w:r>
        <w:rPr>
          <w:lang w:val="fr-FR"/>
        </w:rPr>
        <w:t xml:space="preserve"> la mise en œuvre du projet</w:t>
      </w:r>
      <w:r w:rsidR="00493CC9">
        <w:rPr>
          <w:lang w:val="fr-FR"/>
        </w:rPr>
        <w:t xml:space="preserve"> ont été achevées. L’ensemble du personnel devant travailler à la réalisation des activités ont été recrutés ainsi que la majorité des partenaires de mise en œuvre. Le Conseil National d’Assistance </w:t>
      </w:r>
      <w:r w:rsidR="0094520B">
        <w:rPr>
          <w:lang w:val="fr-FR"/>
        </w:rPr>
        <w:t>Légale</w:t>
      </w:r>
      <w:r w:rsidR="00493CC9">
        <w:rPr>
          <w:lang w:val="fr-FR"/>
        </w:rPr>
        <w:t xml:space="preserve">, </w:t>
      </w:r>
      <w:r w:rsidR="007B62B8">
        <w:rPr>
          <w:lang w:val="fr-FR"/>
        </w:rPr>
        <w:t>in</w:t>
      </w:r>
      <w:r w:rsidR="007B62B8" w:rsidRPr="007B62B8">
        <w:rPr>
          <w:lang w:val="fr-FR"/>
        </w:rPr>
        <w:t>st</w:t>
      </w:r>
      <w:r w:rsidR="007B62B8">
        <w:rPr>
          <w:lang w:val="fr-FR"/>
        </w:rPr>
        <w:t xml:space="preserve">itution nouvellement créée </w:t>
      </w:r>
      <w:r w:rsidR="00493CC9">
        <w:rPr>
          <w:lang w:val="fr-FR"/>
        </w:rPr>
        <w:t xml:space="preserve">par la loi de 2018 sur l’assistance </w:t>
      </w:r>
      <w:r w:rsidR="0094520B">
        <w:rPr>
          <w:lang w:val="fr-FR"/>
        </w:rPr>
        <w:t>légale</w:t>
      </w:r>
      <w:r w:rsidR="00493CC9">
        <w:rPr>
          <w:lang w:val="fr-FR"/>
        </w:rPr>
        <w:t xml:space="preserve"> </w:t>
      </w:r>
      <w:r w:rsidR="0094520B">
        <w:rPr>
          <w:lang w:val="fr-FR"/>
        </w:rPr>
        <w:t>a été</w:t>
      </w:r>
      <w:r w:rsidR="00493CC9">
        <w:rPr>
          <w:lang w:val="fr-FR"/>
        </w:rPr>
        <w:t xml:space="preserve"> mis</w:t>
      </w:r>
      <w:r w:rsidR="007B62B8">
        <w:rPr>
          <w:lang w:val="fr-FR"/>
        </w:rPr>
        <w:t>e</w:t>
      </w:r>
      <w:r w:rsidR="00493CC9">
        <w:rPr>
          <w:lang w:val="fr-FR"/>
        </w:rPr>
        <w:t xml:space="preserve"> en place et </w:t>
      </w:r>
      <w:r w:rsidR="0094520B">
        <w:rPr>
          <w:lang w:val="fr-FR"/>
        </w:rPr>
        <w:t xml:space="preserve">fonctionne. </w:t>
      </w:r>
      <w:r w:rsidR="004669D6">
        <w:rPr>
          <w:lang w:val="fr-FR"/>
        </w:rPr>
        <w:t xml:space="preserve">Il est </w:t>
      </w:r>
      <w:r w:rsidR="0094520B">
        <w:rPr>
          <w:lang w:val="fr-FR"/>
        </w:rPr>
        <w:t xml:space="preserve">constitué d’un Conseil d’Administration de 5 membres et d’une direction générale. La Direction générale du CNAL est </w:t>
      </w:r>
      <w:r w:rsidR="007B62B8">
        <w:rPr>
          <w:lang w:val="fr-FR"/>
        </w:rPr>
        <w:t xml:space="preserve">aussi constituée de plusieurs directions techniques et administratives qui sont </w:t>
      </w:r>
      <w:r w:rsidR="005C4DD0">
        <w:rPr>
          <w:lang w:val="fr-FR"/>
        </w:rPr>
        <w:t>à</w:t>
      </w:r>
      <w:r w:rsidR="007B62B8">
        <w:rPr>
          <w:lang w:val="fr-FR"/>
        </w:rPr>
        <w:t xml:space="preserve"> ce jour fonctionnelles. </w:t>
      </w:r>
      <w:r w:rsidR="006335C8">
        <w:rPr>
          <w:lang w:val="fr-FR"/>
        </w:rPr>
        <w:t xml:space="preserve">Le projet Accès </w:t>
      </w:r>
      <w:r w:rsidR="00F44A6F">
        <w:rPr>
          <w:lang w:val="fr-FR"/>
        </w:rPr>
        <w:t>à</w:t>
      </w:r>
      <w:r w:rsidR="006335C8">
        <w:rPr>
          <w:lang w:val="fr-FR"/>
        </w:rPr>
        <w:t xml:space="preserve"> la justice a doté le CNA</w:t>
      </w:r>
      <w:r w:rsidR="00F44A6F">
        <w:rPr>
          <w:lang w:val="fr-FR"/>
        </w:rPr>
        <w:t>L</w:t>
      </w:r>
      <w:r w:rsidR="006335C8">
        <w:rPr>
          <w:lang w:val="fr-FR"/>
        </w:rPr>
        <w:t xml:space="preserve"> d’un ensemble d’outils </w:t>
      </w:r>
      <w:r w:rsidR="00E7196F">
        <w:rPr>
          <w:lang w:val="fr-FR"/>
        </w:rPr>
        <w:t xml:space="preserve">techniques et </w:t>
      </w:r>
      <w:r w:rsidR="006335C8">
        <w:rPr>
          <w:lang w:val="fr-FR"/>
        </w:rPr>
        <w:t>de gestion à savoir : un plan d’opérationnalis</w:t>
      </w:r>
      <w:r w:rsidR="00165042">
        <w:rPr>
          <w:lang w:val="fr-FR"/>
        </w:rPr>
        <w:t>at</w:t>
      </w:r>
      <w:r w:rsidR="006335C8">
        <w:rPr>
          <w:lang w:val="fr-FR"/>
        </w:rPr>
        <w:t>ion,</w:t>
      </w:r>
      <w:r w:rsidR="00F44A6F">
        <w:rPr>
          <w:lang w:val="fr-FR"/>
        </w:rPr>
        <w:t xml:space="preserve"> un ensemble des règles d’application de la loi de 2018, un plan stratégique couvrant la période 2020-2025, une analyse sur les formations passées en assistance légale et les besoins de formation.</w:t>
      </w:r>
      <w:r w:rsidR="0043550F">
        <w:rPr>
          <w:lang w:val="fr-FR"/>
        </w:rPr>
        <w:t xml:space="preserve"> </w:t>
      </w:r>
      <w:r w:rsidR="00F44A6F">
        <w:rPr>
          <w:lang w:val="fr-FR"/>
        </w:rPr>
        <w:t xml:space="preserve">Une étude sur la stratégie d’intégration de la médiation dans le droit positif haïtien a aussi été réalisé pour le CNAL permettant de soutenir la </w:t>
      </w:r>
      <w:r w:rsidR="00E36E88">
        <w:rPr>
          <w:lang w:val="fr-FR"/>
        </w:rPr>
        <w:t>nécessité</w:t>
      </w:r>
      <w:r w:rsidR="00F44A6F">
        <w:rPr>
          <w:lang w:val="fr-FR"/>
        </w:rPr>
        <w:t xml:space="preserve"> </w:t>
      </w:r>
      <w:r w:rsidR="00E36E88">
        <w:rPr>
          <w:lang w:val="fr-FR"/>
        </w:rPr>
        <w:t xml:space="preserve">de rendre obligatoire par le biais d’un cadre légal à venir la pratique de la médiation judiciaire en Haïti. </w:t>
      </w:r>
      <w:r w:rsidR="00F44A6F">
        <w:rPr>
          <w:lang w:val="fr-FR"/>
        </w:rPr>
        <w:t xml:space="preserve"> </w:t>
      </w:r>
      <w:r w:rsidR="007B62B8">
        <w:rPr>
          <w:lang w:val="fr-FR"/>
        </w:rPr>
        <w:t xml:space="preserve">Le CNAL dispose d’un budget </w:t>
      </w:r>
      <w:r w:rsidR="00812B71">
        <w:rPr>
          <w:lang w:val="fr-FR"/>
        </w:rPr>
        <w:t xml:space="preserve">initial de 50 </w:t>
      </w:r>
      <w:r w:rsidR="00F44A6F">
        <w:rPr>
          <w:lang w:val="fr-FR"/>
        </w:rPr>
        <w:t>millions</w:t>
      </w:r>
      <w:r w:rsidR="00812B71">
        <w:rPr>
          <w:lang w:val="fr-FR"/>
        </w:rPr>
        <w:t xml:space="preserve"> de gourdes </w:t>
      </w:r>
      <w:r w:rsidR="007B62B8">
        <w:rPr>
          <w:lang w:val="fr-FR"/>
        </w:rPr>
        <w:t xml:space="preserve">lui permettant de fonctionner et de faire fonctionner les </w:t>
      </w:r>
      <w:r w:rsidR="00B81ABE">
        <w:rPr>
          <w:lang w:val="fr-FR"/>
        </w:rPr>
        <w:t>9</w:t>
      </w:r>
      <w:r w:rsidR="007B62B8">
        <w:rPr>
          <w:lang w:val="fr-FR"/>
        </w:rPr>
        <w:t xml:space="preserve"> bureaux d’assistance </w:t>
      </w:r>
      <w:r w:rsidR="00A74450">
        <w:rPr>
          <w:lang w:val="fr-FR"/>
        </w:rPr>
        <w:t>légale</w:t>
      </w:r>
      <w:r w:rsidR="007B62B8">
        <w:rPr>
          <w:lang w:val="fr-FR"/>
        </w:rPr>
        <w:t xml:space="preserve"> mis en place au cours de l’</w:t>
      </w:r>
      <w:r w:rsidR="00A74450">
        <w:rPr>
          <w:lang w:val="fr-FR"/>
        </w:rPr>
        <w:t>année</w:t>
      </w:r>
      <w:r w:rsidR="007B62B8">
        <w:rPr>
          <w:lang w:val="fr-FR"/>
        </w:rPr>
        <w:t xml:space="preserve"> 2021</w:t>
      </w:r>
      <w:r w:rsidR="00A74450">
        <w:rPr>
          <w:lang w:val="fr-FR"/>
        </w:rPr>
        <w:t xml:space="preserve"> et dont 5 ont été équipés et soutenus techniquement par le projet Accès </w:t>
      </w:r>
      <w:r w:rsidR="0067328A">
        <w:rPr>
          <w:lang w:val="fr-FR"/>
        </w:rPr>
        <w:t>à</w:t>
      </w:r>
      <w:r w:rsidR="00A74450">
        <w:rPr>
          <w:lang w:val="fr-FR"/>
        </w:rPr>
        <w:t xml:space="preserve"> la justice. </w:t>
      </w:r>
      <w:r w:rsidR="00812B71">
        <w:rPr>
          <w:lang w:val="fr-FR"/>
        </w:rPr>
        <w:t xml:space="preserve">Ce </w:t>
      </w:r>
      <w:r w:rsidR="0067328A">
        <w:rPr>
          <w:lang w:val="fr-FR"/>
        </w:rPr>
        <w:t xml:space="preserve">budget </w:t>
      </w:r>
      <w:r w:rsidR="00812B71">
        <w:rPr>
          <w:lang w:val="fr-FR"/>
        </w:rPr>
        <w:t>établi par le</w:t>
      </w:r>
      <w:r w:rsidR="0067328A">
        <w:rPr>
          <w:lang w:val="fr-FR"/>
        </w:rPr>
        <w:t xml:space="preserve"> gouvernement au cours de l’exercice 2020-2021</w:t>
      </w:r>
      <w:r w:rsidR="00732A20">
        <w:rPr>
          <w:lang w:val="fr-FR"/>
        </w:rPr>
        <w:t xml:space="preserve"> provient </w:t>
      </w:r>
      <w:r w:rsidR="0067328A">
        <w:rPr>
          <w:lang w:val="fr-FR"/>
        </w:rPr>
        <w:t>des fonds du Trésor de la République</w:t>
      </w:r>
      <w:r w:rsidR="00732A20">
        <w:rPr>
          <w:lang w:val="fr-FR"/>
        </w:rPr>
        <w:t xml:space="preserve"> et est </w:t>
      </w:r>
      <w:r w:rsidR="0067328A">
        <w:rPr>
          <w:lang w:val="fr-FR"/>
        </w:rPr>
        <w:t xml:space="preserve">nettement en deca des prévisions dont le montant estimatif initial était de </w:t>
      </w:r>
      <w:r w:rsidR="00897FC0">
        <w:rPr>
          <w:lang w:val="fr-FR"/>
        </w:rPr>
        <w:t>Trois cent un million, quatre cent quatre-vingt mille et neuf cent dix-huit gourdes (</w:t>
      </w:r>
      <w:r w:rsidR="00897FC0" w:rsidRPr="00897FC0">
        <w:rPr>
          <w:color w:val="000000"/>
          <w:sz w:val="27"/>
          <w:szCs w:val="27"/>
          <w:lang w:val="fr-FR"/>
        </w:rPr>
        <w:t>301,480,918</w:t>
      </w:r>
      <w:r w:rsidR="00897FC0">
        <w:rPr>
          <w:color w:val="000000"/>
          <w:sz w:val="27"/>
          <w:szCs w:val="27"/>
          <w:lang w:val="fr-FR"/>
        </w:rPr>
        <w:t xml:space="preserve">) </w:t>
      </w:r>
      <w:r w:rsidR="00897FC0" w:rsidRPr="00732A20">
        <w:rPr>
          <w:color w:val="000000"/>
          <w:lang w:val="fr-FR"/>
        </w:rPr>
        <w:t>devant permettre au CNAL de mettre en place les dix-huit (18) bureaux d’assistance légale à travers les 18 juridictions judiciaires de la République</w:t>
      </w:r>
      <w:r w:rsidR="00897FC0">
        <w:rPr>
          <w:color w:val="000000"/>
          <w:sz w:val="27"/>
          <w:szCs w:val="27"/>
          <w:lang w:val="fr-FR"/>
        </w:rPr>
        <w:t xml:space="preserve">. </w:t>
      </w:r>
      <w:r w:rsidR="0067328A">
        <w:rPr>
          <w:lang w:val="fr-FR"/>
        </w:rPr>
        <w:t>T</w:t>
      </w:r>
      <w:r w:rsidR="00A74450">
        <w:rPr>
          <w:lang w:val="fr-FR"/>
        </w:rPr>
        <w:t xml:space="preserve">el qu’initialement prévu par le projet Accès à la justice, les 3 Bureaux d’Assistance Légale sont fonctionnels </w:t>
      </w:r>
      <w:r w:rsidR="00732A20">
        <w:rPr>
          <w:lang w:val="fr-FR"/>
        </w:rPr>
        <w:t xml:space="preserve">à </w:t>
      </w:r>
      <w:r w:rsidR="00A74450">
        <w:rPr>
          <w:lang w:val="fr-FR"/>
        </w:rPr>
        <w:t>date</w:t>
      </w:r>
      <w:r w:rsidR="00897FC0">
        <w:rPr>
          <w:lang w:val="fr-FR"/>
        </w:rPr>
        <w:t xml:space="preserve"> et desservent la population vulnérable des zones ciblées au départ</w:t>
      </w:r>
      <w:r w:rsidR="00A74450">
        <w:rPr>
          <w:lang w:val="fr-FR"/>
        </w:rPr>
        <w:t xml:space="preserve">. Ces 3 bureaux sont repartis </w:t>
      </w:r>
      <w:r w:rsidR="000B4FD6">
        <w:rPr>
          <w:lang w:val="fr-FR"/>
        </w:rPr>
        <w:t xml:space="preserve">comme suit : </w:t>
      </w:r>
      <w:r w:rsidR="00A74450">
        <w:rPr>
          <w:lang w:val="fr-FR"/>
        </w:rPr>
        <w:t xml:space="preserve">un bureau aux Cayes, </w:t>
      </w:r>
      <w:r w:rsidR="00DC6542">
        <w:rPr>
          <w:lang w:val="fr-FR"/>
        </w:rPr>
        <w:t xml:space="preserve">un </w:t>
      </w:r>
      <w:r w:rsidR="00B2585D">
        <w:rPr>
          <w:lang w:val="fr-FR"/>
        </w:rPr>
        <w:t>à</w:t>
      </w:r>
      <w:r w:rsidR="00DC6542">
        <w:rPr>
          <w:lang w:val="fr-FR"/>
        </w:rPr>
        <w:t xml:space="preserve"> </w:t>
      </w:r>
      <w:r w:rsidR="00A74450">
        <w:rPr>
          <w:lang w:val="fr-FR"/>
        </w:rPr>
        <w:t>Petit-</w:t>
      </w:r>
      <w:r w:rsidR="00B2585D">
        <w:rPr>
          <w:lang w:val="fr-FR"/>
        </w:rPr>
        <w:t>Goâve</w:t>
      </w:r>
      <w:r w:rsidR="00A74450">
        <w:rPr>
          <w:lang w:val="fr-FR"/>
        </w:rPr>
        <w:t xml:space="preserve"> et</w:t>
      </w:r>
      <w:r w:rsidR="00DC6542">
        <w:rPr>
          <w:lang w:val="fr-FR"/>
        </w:rPr>
        <w:t xml:space="preserve"> un autre </w:t>
      </w:r>
      <w:r w:rsidR="00B2585D">
        <w:rPr>
          <w:lang w:val="fr-FR"/>
        </w:rPr>
        <w:t>à</w:t>
      </w:r>
      <w:r w:rsidR="00A74450">
        <w:rPr>
          <w:lang w:val="fr-FR"/>
        </w:rPr>
        <w:t xml:space="preserve"> Port-au-Prince</w:t>
      </w:r>
      <w:r w:rsidR="00DC6542">
        <w:rPr>
          <w:lang w:val="fr-FR"/>
        </w:rPr>
        <w:t xml:space="preserve">. Deux (2) autres bureaux ont été soutenus par le projet </w:t>
      </w:r>
      <w:r w:rsidR="00B2585D">
        <w:rPr>
          <w:lang w:val="fr-FR"/>
        </w:rPr>
        <w:t xml:space="preserve">durant la période d’extension du projet dont un bureau aux Gonaïves et un autre à Port-de Paix. Au total, 5 bureaux sur </w:t>
      </w:r>
      <w:r w:rsidR="00B81ABE">
        <w:rPr>
          <w:lang w:val="fr-FR"/>
        </w:rPr>
        <w:t>9</w:t>
      </w:r>
      <w:r w:rsidR="00B2585D">
        <w:rPr>
          <w:lang w:val="fr-FR"/>
        </w:rPr>
        <w:t xml:space="preserve"> ont reçu l’appui logistique du projet y compris le bureau central </w:t>
      </w:r>
      <w:r w:rsidR="000B4FD6">
        <w:rPr>
          <w:lang w:val="fr-FR"/>
        </w:rPr>
        <w:t>à</w:t>
      </w:r>
      <w:r w:rsidR="00B2585D">
        <w:rPr>
          <w:lang w:val="fr-FR"/>
        </w:rPr>
        <w:t xml:space="preserve"> savoir le CNAL</w:t>
      </w:r>
      <w:r w:rsidR="00B81ABE">
        <w:rPr>
          <w:lang w:val="fr-FR"/>
        </w:rPr>
        <w:t>.</w:t>
      </w:r>
      <w:r w:rsidR="00B2585D">
        <w:rPr>
          <w:lang w:val="fr-FR"/>
        </w:rPr>
        <w:t xml:space="preserve"> </w:t>
      </w:r>
      <w:r w:rsidR="00B71D29">
        <w:rPr>
          <w:lang w:val="fr-FR"/>
        </w:rPr>
        <w:t xml:space="preserve"> Le CNAL dispose grâce a l’appui fourni parce projet d’une base de données et de l’équipement technologique requis pour la soutenir</w:t>
      </w:r>
    </w:p>
    <w:p w14:paraId="0AC3E831" w14:textId="77777777" w:rsidR="00B71D29" w:rsidRDefault="00B71D29" w:rsidP="007A50D1">
      <w:pPr>
        <w:ind w:left="-900"/>
        <w:jc w:val="both"/>
        <w:rPr>
          <w:lang w:val="fr-FR"/>
        </w:rPr>
      </w:pPr>
    </w:p>
    <w:p w14:paraId="40AB0D58" w14:textId="474DD7BE" w:rsidR="005D01E4" w:rsidRDefault="00B2585D" w:rsidP="007A50D1">
      <w:pPr>
        <w:ind w:left="-900"/>
        <w:jc w:val="both"/>
        <w:rPr>
          <w:lang w:val="fr-FR"/>
        </w:rPr>
      </w:pPr>
      <w:r>
        <w:rPr>
          <w:lang w:val="fr-FR"/>
        </w:rPr>
        <w:t xml:space="preserve">L’ensemble des bureaux soutenus par le projet sont </w:t>
      </w:r>
      <w:r w:rsidR="007C14F9">
        <w:rPr>
          <w:lang w:val="fr-FR"/>
        </w:rPr>
        <w:t>équipés</w:t>
      </w:r>
      <w:r>
        <w:rPr>
          <w:lang w:val="fr-FR"/>
        </w:rPr>
        <w:t xml:space="preserve"> en ressources matérielles </w:t>
      </w:r>
      <w:r w:rsidR="007C14F9">
        <w:rPr>
          <w:lang w:val="fr-FR"/>
        </w:rPr>
        <w:t>et énergétiques</w:t>
      </w:r>
      <w:r>
        <w:rPr>
          <w:lang w:val="fr-FR"/>
        </w:rPr>
        <w:t xml:space="preserve"> permettant un fonctionnement complet de ces bureau</w:t>
      </w:r>
      <w:r w:rsidR="007C14F9">
        <w:rPr>
          <w:lang w:val="fr-FR"/>
        </w:rPr>
        <w:t>x.</w:t>
      </w:r>
      <w:r w:rsidR="00181838">
        <w:rPr>
          <w:lang w:val="fr-FR"/>
        </w:rPr>
        <w:t xml:space="preserve"> </w:t>
      </w:r>
      <w:r w:rsidR="00B81ABE">
        <w:rPr>
          <w:lang w:val="fr-FR"/>
        </w:rPr>
        <w:t>Trois</w:t>
      </w:r>
      <w:r w:rsidR="00181838">
        <w:rPr>
          <w:lang w:val="fr-FR"/>
        </w:rPr>
        <w:t xml:space="preserve"> cliniques juridiques sur un total prévu de 3 fonctionnent et fournis des services d’assistance légale </w:t>
      </w:r>
      <w:r w:rsidR="00E7196F">
        <w:rPr>
          <w:lang w:val="fr-FR"/>
        </w:rPr>
        <w:t>à</w:t>
      </w:r>
      <w:r w:rsidR="00181838">
        <w:rPr>
          <w:lang w:val="fr-FR"/>
        </w:rPr>
        <w:t xml:space="preserve"> la population vulnérable. Il s’agit de</w:t>
      </w:r>
      <w:r w:rsidR="00825D34">
        <w:rPr>
          <w:lang w:val="fr-FR"/>
        </w:rPr>
        <w:t xml:space="preserve"> </w:t>
      </w:r>
      <w:r w:rsidR="00316980">
        <w:rPr>
          <w:lang w:val="fr-FR"/>
        </w:rPr>
        <w:t>deux cliniques</w:t>
      </w:r>
      <w:r w:rsidR="00181838">
        <w:rPr>
          <w:lang w:val="fr-FR"/>
        </w:rPr>
        <w:t xml:space="preserve"> juridique</w:t>
      </w:r>
      <w:r w:rsidR="00825D34">
        <w:rPr>
          <w:lang w:val="fr-FR"/>
        </w:rPr>
        <w:t>s</w:t>
      </w:r>
      <w:r w:rsidR="00181838">
        <w:rPr>
          <w:lang w:val="fr-FR"/>
        </w:rPr>
        <w:t xml:space="preserve"> pilotée</w:t>
      </w:r>
      <w:r w:rsidR="00825D34">
        <w:rPr>
          <w:lang w:val="fr-FR"/>
        </w:rPr>
        <w:t>s</w:t>
      </w:r>
      <w:r w:rsidR="00181838">
        <w:rPr>
          <w:lang w:val="fr-FR"/>
        </w:rPr>
        <w:t xml:space="preserve"> par le Barreau de Port-au-Prince et la clinique juridique pilotée par l’Ecole de Droit des Cayes. </w:t>
      </w:r>
    </w:p>
    <w:p w14:paraId="11DD7C62" w14:textId="77777777" w:rsidR="005D01E4" w:rsidRDefault="005D01E4" w:rsidP="007A50D1">
      <w:pPr>
        <w:ind w:left="-900"/>
        <w:jc w:val="both"/>
        <w:rPr>
          <w:lang w:val="fr-FR"/>
        </w:rPr>
      </w:pPr>
    </w:p>
    <w:p w14:paraId="6B8437A0" w14:textId="68DB9AA0" w:rsidR="007A50D1" w:rsidRDefault="00181838" w:rsidP="007A50D1">
      <w:pPr>
        <w:ind w:left="-900"/>
        <w:jc w:val="both"/>
        <w:rPr>
          <w:lang w:val="fr-FR"/>
        </w:rPr>
      </w:pPr>
      <w:r>
        <w:rPr>
          <w:lang w:val="fr-FR"/>
        </w:rPr>
        <w:t xml:space="preserve">Le projet a aussi appuyé financièrement et tel que </w:t>
      </w:r>
      <w:r w:rsidR="00E0640F">
        <w:rPr>
          <w:lang w:val="fr-FR"/>
        </w:rPr>
        <w:t>prévu</w:t>
      </w:r>
      <w:r>
        <w:rPr>
          <w:lang w:val="fr-FR"/>
        </w:rPr>
        <w:t xml:space="preserve"> un </w:t>
      </w:r>
      <w:r w:rsidR="00E0640F">
        <w:rPr>
          <w:lang w:val="fr-FR"/>
        </w:rPr>
        <w:t>certain</w:t>
      </w:r>
      <w:r>
        <w:rPr>
          <w:lang w:val="fr-FR"/>
        </w:rPr>
        <w:t xml:space="preserve"> nombre d’organisation de la </w:t>
      </w:r>
      <w:r w:rsidR="00E0640F">
        <w:rPr>
          <w:lang w:val="fr-FR"/>
        </w:rPr>
        <w:t>société</w:t>
      </w:r>
      <w:r>
        <w:rPr>
          <w:lang w:val="fr-FR"/>
        </w:rPr>
        <w:t xml:space="preserve"> civile fournissant des services d’assistance </w:t>
      </w:r>
      <w:r w:rsidR="00E0640F">
        <w:rPr>
          <w:lang w:val="fr-FR"/>
        </w:rPr>
        <w:t>légale</w:t>
      </w:r>
      <w:r>
        <w:rPr>
          <w:lang w:val="fr-FR"/>
        </w:rPr>
        <w:t xml:space="preserve"> </w:t>
      </w:r>
      <w:r w:rsidR="00E7196F">
        <w:rPr>
          <w:lang w:val="fr-FR"/>
        </w:rPr>
        <w:t>à</w:t>
      </w:r>
      <w:r>
        <w:rPr>
          <w:lang w:val="fr-FR"/>
        </w:rPr>
        <w:t xml:space="preserve"> la population </w:t>
      </w:r>
      <w:r w:rsidR="00E0640F">
        <w:rPr>
          <w:lang w:val="fr-FR"/>
        </w:rPr>
        <w:t>vulnérable</w:t>
      </w:r>
      <w:r>
        <w:rPr>
          <w:lang w:val="fr-FR"/>
        </w:rPr>
        <w:t xml:space="preserve">.  Ces organismes sont les suivants : OCNH, FJKL, </w:t>
      </w:r>
      <w:r w:rsidR="00E0640F">
        <w:rPr>
          <w:lang w:val="fr-FR"/>
        </w:rPr>
        <w:t xml:space="preserve">VHDH, </w:t>
      </w:r>
      <w:r w:rsidR="00AB2C19">
        <w:rPr>
          <w:lang w:val="fr-FR"/>
        </w:rPr>
        <w:t xml:space="preserve">BDHH, </w:t>
      </w:r>
      <w:r w:rsidR="00E0640F">
        <w:rPr>
          <w:lang w:val="fr-FR"/>
        </w:rPr>
        <w:t xml:space="preserve">Fondation Terre Bleue et IMED. Ces organisations ont pu desservir a date un total de </w:t>
      </w:r>
      <w:r w:rsidR="005537C9" w:rsidRPr="005537C9">
        <w:rPr>
          <w:lang w:val="fr-FR"/>
        </w:rPr>
        <w:t xml:space="preserve">1694 </w:t>
      </w:r>
      <w:r w:rsidR="00E0640F" w:rsidRPr="005537C9">
        <w:rPr>
          <w:lang w:val="fr-FR"/>
        </w:rPr>
        <w:t>personnes</w:t>
      </w:r>
      <w:r w:rsidR="00E0640F">
        <w:rPr>
          <w:lang w:val="fr-FR"/>
        </w:rPr>
        <w:t xml:space="preserve"> en assistance légale dont </w:t>
      </w:r>
      <w:r w:rsidR="005537C9">
        <w:rPr>
          <w:lang w:val="fr-FR"/>
        </w:rPr>
        <w:t>211</w:t>
      </w:r>
      <w:r w:rsidR="00E0640F">
        <w:rPr>
          <w:lang w:val="fr-FR"/>
        </w:rPr>
        <w:t xml:space="preserve"> femmes. Les bureaux d’assistance légale ont de leur </w:t>
      </w:r>
      <w:r w:rsidR="004669D6">
        <w:rPr>
          <w:lang w:val="fr-FR"/>
        </w:rPr>
        <w:t>côté</w:t>
      </w:r>
      <w:r w:rsidR="00E0640F">
        <w:rPr>
          <w:lang w:val="fr-FR"/>
        </w:rPr>
        <w:t xml:space="preserve"> pu soutenir les besoins d’assistance légale de</w:t>
      </w:r>
      <w:r w:rsidR="007C6BE6">
        <w:rPr>
          <w:lang w:val="fr-FR"/>
        </w:rPr>
        <w:t xml:space="preserve"> </w:t>
      </w:r>
      <w:r w:rsidR="007C6BE6" w:rsidRPr="005537C9">
        <w:rPr>
          <w:lang w:val="fr-FR"/>
        </w:rPr>
        <w:t xml:space="preserve">1103 personnes dont </w:t>
      </w:r>
      <w:r w:rsidR="00072A27" w:rsidRPr="005537C9">
        <w:rPr>
          <w:lang w:val="fr-FR"/>
        </w:rPr>
        <w:t>98 femmes et 38 enfants</w:t>
      </w:r>
      <w:r w:rsidR="00E0640F" w:rsidRPr="005537C9">
        <w:rPr>
          <w:lang w:val="fr-FR"/>
        </w:rPr>
        <w:t>.</w:t>
      </w:r>
      <w:r w:rsidR="00B81ABE">
        <w:rPr>
          <w:lang w:val="fr-FR"/>
        </w:rPr>
        <w:t xml:space="preserve"> </w:t>
      </w:r>
    </w:p>
    <w:p w14:paraId="7AE4A4B7" w14:textId="77777777" w:rsidR="0016529A" w:rsidRDefault="0016529A" w:rsidP="007A50D1">
      <w:pPr>
        <w:ind w:left="-900"/>
        <w:jc w:val="both"/>
        <w:rPr>
          <w:lang w:val="fr-FR"/>
        </w:rPr>
      </w:pPr>
    </w:p>
    <w:p w14:paraId="6B5C0812" w14:textId="42E88818" w:rsidR="0016529A" w:rsidRPr="006D7126" w:rsidRDefault="0007638E" w:rsidP="0016529A">
      <w:pPr>
        <w:ind w:left="-900"/>
        <w:jc w:val="both"/>
        <w:rPr>
          <w:b/>
          <w:bCs/>
          <w:sz w:val="18"/>
          <w:szCs w:val="18"/>
          <w:lang w:val="fr-FR"/>
        </w:rPr>
      </w:pPr>
      <w:r w:rsidRPr="006D7126">
        <w:rPr>
          <w:lang w:val="fr-FR"/>
        </w:rPr>
        <w:t xml:space="preserve">Toujours en matière d’assistance légale, le projet a renforcé sa collaboration avec l’organisation locale IMED pour un appui juridique aux femmes détenues dans les prisons des Cayes et de Cabaret. </w:t>
      </w:r>
      <w:r w:rsidR="00642921" w:rsidRPr="006D7126">
        <w:rPr>
          <w:lang w:val="fr-FR"/>
        </w:rPr>
        <w:t xml:space="preserve">Des visites ont été effectuées au niveau des deux prisons (Cayes et Croix des Bouquets) au terme desquelles </w:t>
      </w:r>
      <w:r w:rsidRPr="006D7126">
        <w:rPr>
          <w:lang w:val="fr-FR"/>
        </w:rPr>
        <w:lastRenderedPageBreak/>
        <w:t>254</w:t>
      </w:r>
      <w:r w:rsidR="00642921" w:rsidRPr="006D7126">
        <w:rPr>
          <w:lang w:val="fr-FR"/>
        </w:rPr>
        <w:t xml:space="preserve"> femmes </w:t>
      </w:r>
      <w:r w:rsidRPr="006D7126">
        <w:rPr>
          <w:lang w:val="fr-FR"/>
        </w:rPr>
        <w:t>en détention préventive prolongée</w:t>
      </w:r>
      <w:r w:rsidR="006427B6" w:rsidRPr="006D7126">
        <w:rPr>
          <w:lang w:val="fr-FR"/>
        </w:rPr>
        <w:t xml:space="preserve"> (DPP)</w:t>
      </w:r>
      <w:r w:rsidRPr="006D7126">
        <w:rPr>
          <w:lang w:val="fr-FR"/>
        </w:rPr>
        <w:t xml:space="preserve"> </w:t>
      </w:r>
      <w:r w:rsidR="00642921" w:rsidRPr="006D7126">
        <w:rPr>
          <w:lang w:val="fr-FR"/>
        </w:rPr>
        <w:t xml:space="preserve">ont été maintenues et </w:t>
      </w:r>
      <w:r w:rsidR="00406273" w:rsidRPr="006D7126">
        <w:rPr>
          <w:lang w:val="fr-FR"/>
        </w:rPr>
        <w:t>38 d’entre elles</w:t>
      </w:r>
      <w:r w:rsidR="00642921" w:rsidRPr="006D7126">
        <w:rPr>
          <w:lang w:val="fr-FR"/>
        </w:rPr>
        <w:t xml:space="preserve"> libérées.</w:t>
      </w:r>
      <w:r w:rsidR="00D42727" w:rsidRPr="006D7126">
        <w:rPr>
          <w:lang w:val="fr-FR"/>
        </w:rPr>
        <w:t xml:space="preserve"> En collaboration avec l’organisation locale PESADEV, </w:t>
      </w:r>
      <w:r w:rsidR="00AA1E11" w:rsidRPr="006D7126">
        <w:rPr>
          <w:lang w:val="fr-FR"/>
        </w:rPr>
        <w:t xml:space="preserve">un appui psychosocial a été fourni à ces 38 </w:t>
      </w:r>
      <w:r w:rsidR="00301C7E" w:rsidRPr="006D7126">
        <w:rPr>
          <w:lang w:val="fr-FR"/>
        </w:rPr>
        <w:t>femmes</w:t>
      </w:r>
      <w:r w:rsidR="00AA1E11" w:rsidRPr="006D7126">
        <w:rPr>
          <w:lang w:val="fr-FR"/>
        </w:rPr>
        <w:t xml:space="preserve"> libérées</w:t>
      </w:r>
      <w:r w:rsidR="00301C7E" w:rsidRPr="006D7126">
        <w:rPr>
          <w:lang w:val="fr-FR"/>
        </w:rPr>
        <w:t xml:space="preserve"> </w:t>
      </w:r>
      <w:r w:rsidR="00AD13A4" w:rsidRPr="006D7126">
        <w:rPr>
          <w:lang w:val="fr-FR"/>
        </w:rPr>
        <w:t>et 15 d’entre elles ont déjà reçu</w:t>
      </w:r>
      <w:r w:rsidR="00AA1E11" w:rsidRPr="006D7126">
        <w:rPr>
          <w:lang w:val="fr-FR"/>
        </w:rPr>
        <w:t xml:space="preserve"> </w:t>
      </w:r>
      <w:r w:rsidR="00AD13A4" w:rsidRPr="006D7126">
        <w:rPr>
          <w:lang w:val="fr-FR"/>
        </w:rPr>
        <w:t>un support financier pour le développement d’activité</w:t>
      </w:r>
      <w:r w:rsidR="00AC2BC8" w:rsidRPr="006D7126">
        <w:rPr>
          <w:lang w:val="fr-FR"/>
        </w:rPr>
        <w:t>s</w:t>
      </w:r>
      <w:r w:rsidR="00AD13A4" w:rsidRPr="006D7126">
        <w:rPr>
          <w:lang w:val="fr-FR"/>
        </w:rPr>
        <w:t xml:space="preserve"> génératrice de revenue. </w:t>
      </w:r>
      <w:r w:rsidR="00AC2BC8" w:rsidRPr="006D7126">
        <w:rPr>
          <w:lang w:val="fr-FR"/>
        </w:rPr>
        <w:t xml:space="preserve">L’activité est encore en cours et </w:t>
      </w:r>
      <w:r w:rsidR="00316980">
        <w:rPr>
          <w:lang w:val="fr-FR"/>
        </w:rPr>
        <w:t>d’ici</w:t>
      </w:r>
      <w:r w:rsidR="00894038">
        <w:rPr>
          <w:lang w:val="fr-FR"/>
        </w:rPr>
        <w:t xml:space="preserve"> </w:t>
      </w:r>
      <w:r w:rsidR="00894038" w:rsidRPr="00277DFD">
        <w:rPr>
          <w:lang w:val="fr-FR"/>
        </w:rPr>
        <w:t xml:space="preserve">à </w:t>
      </w:r>
      <w:r w:rsidR="00894038">
        <w:rPr>
          <w:lang w:val="fr-FR"/>
        </w:rPr>
        <w:t>la fin du projet</w:t>
      </w:r>
      <w:r w:rsidR="00AC2BC8" w:rsidRPr="006D7126">
        <w:rPr>
          <w:lang w:val="fr-FR"/>
        </w:rPr>
        <w:t xml:space="preserve"> toutes les femmes auront </w:t>
      </w:r>
      <w:r w:rsidR="00DA7326" w:rsidRPr="006D7126">
        <w:rPr>
          <w:lang w:val="fr-FR"/>
        </w:rPr>
        <w:t>reçu</w:t>
      </w:r>
      <w:r w:rsidR="00AC2BC8" w:rsidRPr="006D7126">
        <w:rPr>
          <w:lang w:val="fr-FR"/>
        </w:rPr>
        <w:t xml:space="preserve"> l</w:t>
      </w:r>
      <w:r w:rsidR="00DA7326" w:rsidRPr="006D7126">
        <w:rPr>
          <w:lang w:val="fr-FR"/>
        </w:rPr>
        <w:t xml:space="preserve">’appui financier. </w:t>
      </w:r>
      <w:r w:rsidR="00BE2A14" w:rsidRPr="006D7126">
        <w:rPr>
          <w:lang w:val="fr-FR"/>
        </w:rPr>
        <w:t>Pour</w:t>
      </w:r>
      <w:r w:rsidR="00DA7326" w:rsidRPr="006D7126">
        <w:rPr>
          <w:lang w:val="fr-FR"/>
        </w:rPr>
        <w:t xml:space="preserve"> </w:t>
      </w:r>
      <w:r w:rsidR="00BE2A14" w:rsidRPr="006D7126">
        <w:rPr>
          <w:lang w:val="fr-FR"/>
        </w:rPr>
        <w:t xml:space="preserve">faciliter leur </w:t>
      </w:r>
      <w:r w:rsidR="00DA7326" w:rsidRPr="006D7126">
        <w:rPr>
          <w:lang w:val="fr-FR"/>
        </w:rPr>
        <w:t>réintégration</w:t>
      </w:r>
      <w:r w:rsidR="00BE2A14" w:rsidRPr="006D7126">
        <w:rPr>
          <w:lang w:val="fr-FR"/>
        </w:rPr>
        <w:t xml:space="preserve"> social</w:t>
      </w:r>
      <w:r w:rsidR="00DA7326" w:rsidRPr="006D7126">
        <w:rPr>
          <w:lang w:val="fr-FR"/>
        </w:rPr>
        <w:t>e</w:t>
      </w:r>
      <w:r w:rsidR="00BE2A14" w:rsidRPr="006D7126">
        <w:rPr>
          <w:lang w:val="fr-FR"/>
        </w:rPr>
        <w:t xml:space="preserve">, un accord est </w:t>
      </w:r>
      <w:r w:rsidR="00750855" w:rsidRPr="006D7126">
        <w:rPr>
          <w:lang w:val="fr-FR"/>
        </w:rPr>
        <w:t>entamé</w:t>
      </w:r>
      <w:r w:rsidR="00DA7326" w:rsidRPr="006D7126">
        <w:rPr>
          <w:lang w:val="fr-FR"/>
        </w:rPr>
        <w:t xml:space="preserve"> </w:t>
      </w:r>
      <w:r w:rsidR="00BE2A14" w:rsidRPr="006D7126">
        <w:rPr>
          <w:lang w:val="fr-FR"/>
        </w:rPr>
        <w:t xml:space="preserve">avec l’association 4 </w:t>
      </w:r>
      <w:r w:rsidR="00573C55" w:rsidRPr="006D7126">
        <w:rPr>
          <w:lang w:val="fr-FR"/>
        </w:rPr>
        <w:t>C</w:t>
      </w:r>
      <w:r w:rsidR="00BE2A14" w:rsidRPr="006D7126">
        <w:rPr>
          <w:lang w:val="fr-FR"/>
        </w:rPr>
        <w:t xml:space="preserve">hemins </w:t>
      </w:r>
      <w:r w:rsidR="00316980" w:rsidRPr="006D7126">
        <w:rPr>
          <w:lang w:val="fr-FR"/>
        </w:rPr>
        <w:t>qui accompagne</w:t>
      </w:r>
      <w:r w:rsidR="00770C59">
        <w:rPr>
          <w:lang w:val="fr-FR"/>
        </w:rPr>
        <w:t xml:space="preserve"> </w:t>
      </w:r>
      <w:r w:rsidR="00BE2A14" w:rsidRPr="006D7126">
        <w:rPr>
          <w:lang w:val="fr-FR"/>
        </w:rPr>
        <w:t>es femmes</w:t>
      </w:r>
      <w:r w:rsidR="00770C59">
        <w:rPr>
          <w:lang w:val="fr-FR"/>
        </w:rPr>
        <w:t xml:space="preserve"> sur une durée de deux mois à partir du mois de juin</w:t>
      </w:r>
      <w:r w:rsidR="00846F76">
        <w:rPr>
          <w:lang w:val="fr-FR"/>
        </w:rPr>
        <w:t xml:space="preserve"> afin de</w:t>
      </w:r>
      <w:r w:rsidR="00C83486" w:rsidRPr="006D7126">
        <w:rPr>
          <w:lang w:val="fr-FR"/>
        </w:rPr>
        <w:t xml:space="preserve"> renforcer leur estime à travers des </w:t>
      </w:r>
      <w:r w:rsidR="004F5975" w:rsidRPr="006D7126">
        <w:rPr>
          <w:lang w:val="fr-FR"/>
        </w:rPr>
        <w:t>performances</w:t>
      </w:r>
      <w:r w:rsidR="00C83486" w:rsidRPr="006D7126">
        <w:rPr>
          <w:lang w:val="fr-FR"/>
        </w:rPr>
        <w:t xml:space="preserve"> artistiques telles la danse</w:t>
      </w:r>
      <w:r w:rsidR="004F5975" w:rsidRPr="006D7126">
        <w:rPr>
          <w:lang w:val="fr-FR"/>
        </w:rPr>
        <w:t xml:space="preserve"> et</w:t>
      </w:r>
      <w:r w:rsidR="00C83486" w:rsidRPr="006D7126">
        <w:rPr>
          <w:lang w:val="fr-FR"/>
        </w:rPr>
        <w:t xml:space="preserve"> le </w:t>
      </w:r>
      <w:r w:rsidR="00573C55" w:rsidRPr="006D7126">
        <w:rPr>
          <w:lang w:val="fr-FR"/>
        </w:rPr>
        <w:t>théâtre</w:t>
      </w:r>
      <w:r w:rsidR="00D42727" w:rsidRPr="006D7126">
        <w:rPr>
          <w:sz w:val="18"/>
          <w:szCs w:val="18"/>
          <w:lang w:val="fr-FR"/>
        </w:rPr>
        <w:t>.</w:t>
      </w:r>
      <w:r w:rsidR="00D42727" w:rsidRPr="006D7126">
        <w:rPr>
          <w:b/>
          <w:bCs/>
          <w:sz w:val="18"/>
          <w:szCs w:val="18"/>
          <w:lang w:val="fr-FR"/>
        </w:rPr>
        <w:t xml:space="preserve"> </w:t>
      </w:r>
    </w:p>
    <w:p w14:paraId="3A665E6B" w14:textId="77777777" w:rsidR="0016529A" w:rsidRDefault="0016529A" w:rsidP="0016529A">
      <w:pPr>
        <w:ind w:left="-900"/>
        <w:jc w:val="both"/>
        <w:rPr>
          <w:b/>
          <w:bCs/>
          <w:color w:val="0070C0"/>
          <w:sz w:val="18"/>
          <w:szCs w:val="18"/>
          <w:lang w:val="fr-FR"/>
        </w:rPr>
      </w:pPr>
    </w:p>
    <w:p w14:paraId="0F31AFD0" w14:textId="3A4FF9D6" w:rsidR="0016529A" w:rsidRDefault="0016529A" w:rsidP="0016529A">
      <w:pPr>
        <w:ind w:left="-900"/>
        <w:jc w:val="both"/>
        <w:rPr>
          <w:color w:val="000000"/>
          <w:lang w:val="fr-FR"/>
        </w:rPr>
      </w:pPr>
      <w:r w:rsidRPr="0016529A">
        <w:rPr>
          <w:color w:val="000000"/>
          <w:lang w:val="fr-FR"/>
        </w:rPr>
        <w:t>Des activités d’envergure et de qualité ont été effectuées dans la section des droits de l’enfant</w:t>
      </w:r>
      <w:r>
        <w:rPr>
          <w:color w:val="000000"/>
          <w:lang w:val="fr-FR"/>
        </w:rPr>
        <w:t xml:space="preserve">. </w:t>
      </w:r>
      <w:r w:rsidRPr="0016529A">
        <w:rPr>
          <w:color w:val="000000"/>
          <w:lang w:val="fr-FR"/>
        </w:rPr>
        <w:t xml:space="preserve">En effet, les acteurs de la chaine pénale ont reçu une formation sur les alternatives à la poursuite et l’emprisonnement des mineurs en conflit avec la loi. Il s’agit </w:t>
      </w:r>
      <w:r>
        <w:rPr>
          <w:color w:val="000000"/>
          <w:lang w:val="fr-FR"/>
        </w:rPr>
        <w:t xml:space="preserve">de </w:t>
      </w:r>
      <w:r w:rsidRPr="0016529A">
        <w:rPr>
          <w:color w:val="000000"/>
          <w:lang w:val="fr-FR"/>
        </w:rPr>
        <w:t>150 intervenants (85 hommes et 65 femmes) du secteur (</w:t>
      </w:r>
      <w:r w:rsidRPr="0016529A">
        <w:rPr>
          <w:lang w:val="fr-FR"/>
        </w:rPr>
        <w:t>Magistrats, policiers, travailleurs sociaux et avocats) ont pu bénéficier de cette formation. Deux modules de formation standardisé ont été conçus et disponibles pour tous les acteurs de la protection de l’enfant en Haïti. Un appui technique et financier a été donné aux organisations non gouvernementales Terres des Hommes Italie et l’Institut Mobile d’Education Démocratique (IMED) pour fournir une assistance</w:t>
      </w:r>
      <w:r w:rsidRPr="0016529A">
        <w:rPr>
          <w:color w:val="000000"/>
          <w:lang w:val="fr-FR"/>
        </w:rPr>
        <w:t xml:space="preserve"> légale aux mineurs en prison et soutien à la réinsertion post carcérale.  Ce projet a pu libérer 130 mineurs </w:t>
      </w:r>
      <w:r w:rsidR="00BF3754">
        <w:rPr>
          <w:color w:val="000000"/>
          <w:lang w:val="fr-FR"/>
        </w:rPr>
        <w:t xml:space="preserve">dont 13 filles </w:t>
      </w:r>
      <w:r w:rsidRPr="0016529A">
        <w:rPr>
          <w:color w:val="000000"/>
          <w:lang w:val="fr-FR"/>
        </w:rPr>
        <w:t xml:space="preserve">dans les juridictions cibles et 120 familles ont été accompagnées en vue d’assurer le retour à l’école et l’apprentissage de métier en fonction des habilités des mineurs. </w:t>
      </w:r>
    </w:p>
    <w:p w14:paraId="2A64BA46" w14:textId="77777777" w:rsidR="0016529A" w:rsidRDefault="0016529A" w:rsidP="0016529A">
      <w:pPr>
        <w:ind w:left="-900"/>
        <w:jc w:val="both"/>
        <w:rPr>
          <w:color w:val="000000"/>
          <w:lang w:val="fr-FR"/>
        </w:rPr>
      </w:pPr>
    </w:p>
    <w:p w14:paraId="0F437174" w14:textId="0D718D44" w:rsidR="0016529A" w:rsidRDefault="0016529A" w:rsidP="0016529A">
      <w:pPr>
        <w:ind w:left="-900"/>
        <w:jc w:val="both"/>
        <w:rPr>
          <w:color w:val="000000"/>
          <w:lang w:val="fr-FR"/>
        </w:rPr>
      </w:pPr>
      <w:r>
        <w:rPr>
          <w:color w:val="000000"/>
          <w:lang w:val="fr-FR"/>
        </w:rPr>
        <w:t xml:space="preserve">Malgré les problèmes survenus dans les quartiers proches du Tribunal pour enfants de Port-au-Prince, des </w:t>
      </w:r>
      <w:r w:rsidRPr="00D372F8">
        <w:rPr>
          <w:color w:val="000000"/>
          <w:lang w:val="fr-FR"/>
        </w:rPr>
        <w:t>bases de données dans deux tribunaux pour enfants ont été installées et les utilisateurs formés pour la collecte et la gestion des informations.</w:t>
      </w:r>
      <w:r>
        <w:rPr>
          <w:color w:val="000000"/>
          <w:lang w:val="fr-FR"/>
        </w:rPr>
        <w:t xml:space="preserve"> Actuellement, les bases de données sont opérationnelles afin d’assurer un traitement plus célère des dossiers des mineurs dans les prisons. Le processus d’accréditation d’une cinquantaine de familles a été lancé auprès de l’IBESR afin de valider lesdites familles.</w:t>
      </w:r>
    </w:p>
    <w:p w14:paraId="048A96CE" w14:textId="77777777" w:rsidR="0016529A" w:rsidRDefault="0016529A" w:rsidP="0016529A">
      <w:pPr>
        <w:ind w:left="-900"/>
        <w:jc w:val="both"/>
        <w:rPr>
          <w:color w:val="000000"/>
          <w:lang w:val="fr-FR"/>
        </w:rPr>
      </w:pPr>
    </w:p>
    <w:p w14:paraId="30292B04" w14:textId="29643679" w:rsidR="0016529A" w:rsidRPr="0016529A" w:rsidRDefault="0016529A" w:rsidP="0016529A">
      <w:pPr>
        <w:ind w:left="-900"/>
        <w:jc w:val="both"/>
        <w:rPr>
          <w:color w:val="000000"/>
          <w:lang w:val="fr-FR"/>
        </w:rPr>
      </w:pPr>
      <w:r w:rsidRPr="0016529A">
        <w:rPr>
          <w:color w:val="000000"/>
          <w:lang w:val="fr-FR"/>
        </w:rPr>
        <w:t xml:space="preserve">L’Office de la Protection du Citoyen (OPC) a développé un partenariat avec l’UNICEF dans le but d’accompagner les acteurs de prise en charge et d’assurer le suivi des enfants dans les différents carcéraux du pays. Dans ce cadre, 100% des commissariats et prison dans les communes cibles du projet font l’objet d’un contrôle et la supervision régulières afin de produire des recommandations aux acteurs publics pour une amélioration des conditions de vie des mineurs.  </w:t>
      </w:r>
    </w:p>
    <w:p w14:paraId="54D07A86" w14:textId="5CF93700" w:rsidR="0016529A" w:rsidRPr="0016529A" w:rsidRDefault="0016529A" w:rsidP="007A50D1">
      <w:pPr>
        <w:ind w:left="-900"/>
        <w:jc w:val="both"/>
        <w:rPr>
          <w:color w:val="0070C0"/>
          <w:sz w:val="18"/>
          <w:szCs w:val="18"/>
          <w:lang w:val="fr-HT"/>
        </w:rPr>
      </w:pPr>
    </w:p>
    <w:p w14:paraId="5FBFF069" w14:textId="77777777" w:rsidR="0016529A" w:rsidRPr="00A76730" w:rsidRDefault="0016529A" w:rsidP="007A50D1">
      <w:pPr>
        <w:ind w:left="-900"/>
        <w:jc w:val="both"/>
        <w:rPr>
          <w:color w:val="0070C0"/>
          <w:sz w:val="18"/>
          <w:szCs w:val="18"/>
          <w:lang w:val="fr-FR"/>
        </w:rPr>
      </w:pPr>
    </w:p>
    <w:p w14:paraId="2160999F" w14:textId="77777777" w:rsidR="00B32493" w:rsidRPr="00A76730" w:rsidRDefault="00B32493" w:rsidP="007A50D1">
      <w:pPr>
        <w:ind w:left="-900"/>
        <w:jc w:val="both"/>
        <w:rPr>
          <w:lang w:val="fr-FR"/>
        </w:rPr>
      </w:pPr>
    </w:p>
    <w:p w14:paraId="6A2B531B" w14:textId="77777777" w:rsidR="007648DA" w:rsidRDefault="00B81ABE" w:rsidP="007648DA">
      <w:pPr>
        <w:ind w:left="-900"/>
        <w:jc w:val="both"/>
        <w:rPr>
          <w:lang w:val="fr-FR"/>
        </w:rPr>
      </w:pPr>
      <w:r>
        <w:rPr>
          <w:lang w:val="fr-FR"/>
        </w:rPr>
        <w:t xml:space="preserve">Sur la </w:t>
      </w:r>
      <w:r w:rsidR="000013D1">
        <w:rPr>
          <w:lang w:val="fr-FR"/>
        </w:rPr>
        <w:t>réduction</w:t>
      </w:r>
      <w:r>
        <w:rPr>
          <w:lang w:val="fr-FR"/>
        </w:rPr>
        <w:t xml:space="preserve"> du flux entrant, le </w:t>
      </w:r>
      <w:r w:rsidR="000013D1">
        <w:rPr>
          <w:lang w:val="fr-FR"/>
        </w:rPr>
        <w:t>Projet Accès à la justice a soutenu en collaboration avec l’Ecole de la Magistrature le renforcement des compétences sociales des acteurs clés de la chaine pénale en particulier, les magistrats, les parquetiers, les policiers et les juges de Paix. Une série d</w:t>
      </w:r>
      <w:r w:rsidR="00AD6036">
        <w:rPr>
          <w:lang w:val="fr-FR"/>
        </w:rPr>
        <w:t xml:space="preserve">’activités portant sur l’information, la sensibilisation et l’éducation au droit ont été réalisée par les cliniques juridiques au bénéfice des populations vulnérables ayant pour conséquence une réduction du flux entrant. </w:t>
      </w:r>
      <w:r w:rsidR="007D4AFE">
        <w:rPr>
          <w:lang w:val="fr-FR"/>
        </w:rPr>
        <w:t xml:space="preserve">Le Projet a soutenu la relance des Comités de suivi de la chaine pénale à Port-au-Prince, Croix-des-Bouquets. Des démarches similaires ont été initiées dans la région des Cayes et de Petit-Goâve. Du au problème d’insécurité crée par </w:t>
      </w:r>
      <w:r w:rsidR="009E62FE">
        <w:rPr>
          <w:lang w:val="fr-FR"/>
        </w:rPr>
        <w:t>les groupes armés, la relance des audiences au niveau de ces juridictions n'a pu se concrétiser.</w:t>
      </w:r>
      <w:r w:rsidR="009248BA">
        <w:rPr>
          <w:lang w:val="fr-FR"/>
        </w:rPr>
        <w:t xml:space="preserve"> Le Projet a également soutenu le ministère de la justice dans l’élaboration de son plan stratégique prioritaire et la mise en place de son Comité de pilotage.  Le Comité de pilotage a pour mission d’institutionaliser les Comités de suivi de la chaine pénale et la coordination Comites de mise en état des affaires pénales dans les 18 juridictions de première instance du pays.</w:t>
      </w:r>
    </w:p>
    <w:p w14:paraId="3D99A887" w14:textId="77777777" w:rsidR="007648DA" w:rsidRDefault="007648DA" w:rsidP="007648DA">
      <w:pPr>
        <w:ind w:left="-900"/>
        <w:jc w:val="both"/>
        <w:rPr>
          <w:lang w:val="fr-FR"/>
        </w:rPr>
      </w:pPr>
    </w:p>
    <w:p w14:paraId="629BD943" w14:textId="4E64D23F" w:rsidR="00FA5ED6" w:rsidRPr="006D7126" w:rsidRDefault="00A60B23" w:rsidP="004C7F21">
      <w:pPr>
        <w:ind w:left="-900"/>
        <w:jc w:val="both"/>
        <w:rPr>
          <w:lang w:val="fr-FR"/>
        </w:rPr>
      </w:pPr>
      <w:bookmarkStart w:id="1" w:name="_Hlk104752488"/>
      <w:r w:rsidRPr="006D7126">
        <w:rPr>
          <w:lang w:val="fr-FR"/>
        </w:rPr>
        <w:t xml:space="preserve">Le projet a grandement contribué au renforcement des capacités des institutions de la chaine pénale pour un meilleur traitement des cas de VBG et une </w:t>
      </w:r>
      <w:r w:rsidR="00017A38" w:rsidRPr="006D7126">
        <w:rPr>
          <w:lang w:val="fr-FR"/>
        </w:rPr>
        <w:t xml:space="preserve">meilleure réponse et accompagnement aux femmes victimes de violences. </w:t>
      </w:r>
      <w:r w:rsidR="008F18EE" w:rsidRPr="006D7126">
        <w:rPr>
          <w:lang w:val="fr-FR"/>
        </w:rPr>
        <w:t xml:space="preserve">A ce titre, le projet a fourni </w:t>
      </w:r>
      <w:r w:rsidR="00DC097A" w:rsidRPr="006D7126">
        <w:rPr>
          <w:lang w:val="fr-FR"/>
        </w:rPr>
        <w:t xml:space="preserve">un accompagnement technique au cellules genre du </w:t>
      </w:r>
      <w:r w:rsidR="00DC097A" w:rsidRPr="006D7126">
        <w:rPr>
          <w:lang w:val="fr-FR"/>
        </w:rPr>
        <w:lastRenderedPageBreak/>
        <w:t xml:space="preserve">parquet et de la PNH pour le développement de leurs documents stratégiques respectifs à travers différents ateliers de travail. </w:t>
      </w:r>
      <w:r w:rsidR="00FD08A5" w:rsidRPr="006D7126">
        <w:rPr>
          <w:lang w:val="fr-FR"/>
        </w:rPr>
        <w:t>Aussi, e</w:t>
      </w:r>
      <w:r w:rsidR="002417B4" w:rsidRPr="006D7126">
        <w:rPr>
          <w:lang w:val="fr-FR"/>
        </w:rPr>
        <w:t xml:space="preserve">n partenariat avec l'Institution nationale des droits de l'homme, soit l’Office de la Protection du Citoyen (OPC), le projet </w:t>
      </w:r>
      <w:r w:rsidR="00917098" w:rsidRPr="006D7126">
        <w:rPr>
          <w:lang w:val="fr-FR"/>
        </w:rPr>
        <w:t xml:space="preserve">a </w:t>
      </w:r>
      <w:r w:rsidR="002417B4" w:rsidRPr="006D7126">
        <w:rPr>
          <w:lang w:val="fr-FR"/>
        </w:rPr>
        <w:t>contribu</w:t>
      </w:r>
      <w:r w:rsidR="00917098" w:rsidRPr="006D7126">
        <w:rPr>
          <w:lang w:val="fr-FR"/>
        </w:rPr>
        <w:t>é</w:t>
      </w:r>
      <w:r w:rsidR="002417B4" w:rsidRPr="006D7126">
        <w:rPr>
          <w:lang w:val="fr-FR"/>
        </w:rPr>
        <w:t xml:space="preserve"> </w:t>
      </w:r>
      <w:r w:rsidR="007D60F0" w:rsidRPr="006D7126">
        <w:rPr>
          <w:lang w:val="fr-FR"/>
        </w:rPr>
        <w:t>au</w:t>
      </w:r>
      <w:r w:rsidR="002417B4" w:rsidRPr="006D7126">
        <w:rPr>
          <w:lang w:val="fr-FR"/>
        </w:rPr>
        <w:t xml:space="preserve"> développe</w:t>
      </w:r>
      <w:r w:rsidR="007D60F0" w:rsidRPr="006D7126">
        <w:rPr>
          <w:lang w:val="fr-FR"/>
        </w:rPr>
        <w:t>ment</w:t>
      </w:r>
      <w:r w:rsidR="002417B4" w:rsidRPr="006D7126">
        <w:rPr>
          <w:lang w:val="fr-FR"/>
        </w:rPr>
        <w:t xml:space="preserve"> d</w:t>
      </w:r>
      <w:r w:rsidR="00631DEF" w:rsidRPr="006D7126">
        <w:rPr>
          <w:lang w:val="fr-FR"/>
        </w:rPr>
        <w:t>’</w:t>
      </w:r>
      <w:r w:rsidR="002417B4" w:rsidRPr="006D7126">
        <w:rPr>
          <w:lang w:val="fr-FR"/>
        </w:rPr>
        <w:t>outils qui seront servis à outiller les acteurs de la chaîne pénale et organisations de droits humains. A cet effet, un guide de gestion de plainte en matière de VGB, un module de stratégie de traitement de plaintes</w:t>
      </w:r>
      <w:r w:rsidR="008D6B00" w:rsidRPr="006D7126">
        <w:rPr>
          <w:lang w:val="fr-FR"/>
        </w:rPr>
        <w:t xml:space="preserve">, un module harmonisé sur les besoins </w:t>
      </w:r>
      <w:r w:rsidR="00C321DE" w:rsidRPr="006D7126">
        <w:rPr>
          <w:lang w:val="fr-FR"/>
        </w:rPr>
        <w:t xml:space="preserve">spécifiques </w:t>
      </w:r>
      <w:r w:rsidR="008D6B00" w:rsidRPr="006D7126">
        <w:rPr>
          <w:lang w:val="fr-FR"/>
        </w:rPr>
        <w:t>des femmes</w:t>
      </w:r>
      <w:r w:rsidR="00C321DE" w:rsidRPr="006D7126">
        <w:rPr>
          <w:lang w:val="fr-FR"/>
        </w:rPr>
        <w:t xml:space="preserve"> en matière de justice</w:t>
      </w:r>
      <w:r w:rsidR="009F4F84" w:rsidRPr="006D7126">
        <w:rPr>
          <w:lang w:val="fr-FR"/>
        </w:rPr>
        <w:t>, un guide référentiel</w:t>
      </w:r>
      <w:r w:rsidR="00D14EB1" w:rsidRPr="006D7126">
        <w:rPr>
          <w:lang w:val="fr-FR"/>
        </w:rPr>
        <w:t xml:space="preserve"> </w:t>
      </w:r>
      <w:r w:rsidR="00D048B6" w:rsidRPr="006D7126">
        <w:rPr>
          <w:lang w:val="fr-FR"/>
        </w:rPr>
        <w:t xml:space="preserve">incluant un annuaire </w:t>
      </w:r>
      <w:r w:rsidR="001B3A6C" w:rsidRPr="006D7126">
        <w:rPr>
          <w:lang w:val="fr-FR"/>
        </w:rPr>
        <w:t>des organisations de la société civile offrant les se</w:t>
      </w:r>
      <w:r w:rsidR="00153E65" w:rsidRPr="006D7126">
        <w:rPr>
          <w:lang w:val="fr-FR"/>
        </w:rPr>
        <w:t>r</w:t>
      </w:r>
      <w:r w:rsidR="001B3A6C" w:rsidRPr="006D7126">
        <w:rPr>
          <w:lang w:val="fr-FR"/>
        </w:rPr>
        <w:t xml:space="preserve">vices </w:t>
      </w:r>
      <w:r w:rsidR="00153E65" w:rsidRPr="006D7126">
        <w:rPr>
          <w:lang w:val="fr-FR"/>
        </w:rPr>
        <w:t>aux survivantes de</w:t>
      </w:r>
      <w:r w:rsidR="001B3A6C" w:rsidRPr="006D7126">
        <w:rPr>
          <w:lang w:val="fr-FR"/>
        </w:rPr>
        <w:t xml:space="preserve"> SGBV</w:t>
      </w:r>
      <w:r w:rsidR="00A93758" w:rsidRPr="006D7126">
        <w:rPr>
          <w:lang w:val="fr-FR"/>
        </w:rPr>
        <w:t xml:space="preserve"> </w:t>
      </w:r>
      <w:r w:rsidR="002417B4" w:rsidRPr="006D7126">
        <w:rPr>
          <w:lang w:val="fr-FR"/>
        </w:rPr>
        <w:t xml:space="preserve">et </w:t>
      </w:r>
      <w:r w:rsidR="00627000" w:rsidRPr="006D7126">
        <w:rPr>
          <w:lang w:val="fr-FR"/>
        </w:rPr>
        <w:t>des</w:t>
      </w:r>
      <w:r w:rsidR="002417B4" w:rsidRPr="006D7126">
        <w:rPr>
          <w:lang w:val="fr-FR"/>
        </w:rPr>
        <w:t xml:space="preserve"> fiche</w:t>
      </w:r>
      <w:r w:rsidR="00627000" w:rsidRPr="006D7126">
        <w:rPr>
          <w:lang w:val="fr-FR"/>
        </w:rPr>
        <w:t>s</w:t>
      </w:r>
      <w:r w:rsidR="002417B4" w:rsidRPr="006D7126">
        <w:rPr>
          <w:lang w:val="fr-FR"/>
        </w:rPr>
        <w:t xml:space="preserve"> d’information sur les VBG </w:t>
      </w:r>
      <w:r w:rsidR="00627000" w:rsidRPr="006D7126">
        <w:rPr>
          <w:lang w:val="fr-FR"/>
        </w:rPr>
        <w:t xml:space="preserve">- </w:t>
      </w:r>
      <w:r w:rsidR="007C730A" w:rsidRPr="006D7126">
        <w:rPr>
          <w:lang w:val="fr-FR"/>
        </w:rPr>
        <w:t>les</w:t>
      </w:r>
      <w:r w:rsidR="00B245D2" w:rsidRPr="006D7126">
        <w:rPr>
          <w:lang w:val="fr-FR"/>
        </w:rPr>
        <w:t xml:space="preserve"> informations de base sur l’assistance légale</w:t>
      </w:r>
      <w:r w:rsidR="00627000" w:rsidRPr="006D7126">
        <w:rPr>
          <w:lang w:val="fr-FR"/>
        </w:rPr>
        <w:t xml:space="preserve"> et les rôles des BALs</w:t>
      </w:r>
      <w:r w:rsidR="007C730A" w:rsidRPr="006D7126">
        <w:rPr>
          <w:lang w:val="fr-FR"/>
        </w:rPr>
        <w:t xml:space="preserve"> </w:t>
      </w:r>
      <w:r w:rsidR="00B245D2" w:rsidRPr="006D7126">
        <w:rPr>
          <w:lang w:val="fr-FR"/>
        </w:rPr>
        <w:t>ont été élaborés</w:t>
      </w:r>
      <w:r w:rsidR="00FD08A5" w:rsidRPr="006D7126">
        <w:rPr>
          <w:lang w:val="fr-FR"/>
        </w:rPr>
        <w:t xml:space="preserve">. </w:t>
      </w:r>
      <w:r w:rsidR="00913A53" w:rsidRPr="006D7126">
        <w:rPr>
          <w:lang w:val="fr-FR"/>
        </w:rPr>
        <w:t xml:space="preserve">Des ateliers de formations, de brainstorming et de coaching ont aussi été </w:t>
      </w:r>
      <w:r w:rsidR="004C7F21" w:rsidRPr="006D7126">
        <w:rPr>
          <w:lang w:val="fr-FR"/>
        </w:rPr>
        <w:t>réalisés dans</w:t>
      </w:r>
      <w:r w:rsidR="00394596" w:rsidRPr="006D7126">
        <w:rPr>
          <w:lang w:val="fr-FR"/>
        </w:rPr>
        <w:t xml:space="preserve"> les zones </w:t>
      </w:r>
      <w:r w:rsidR="00913A53" w:rsidRPr="006D7126">
        <w:rPr>
          <w:lang w:val="fr-FR"/>
        </w:rPr>
        <w:t>couvertes</w:t>
      </w:r>
      <w:r w:rsidR="00394596" w:rsidRPr="006D7126">
        <w:rPr>
          <w:lang w:val="fr-FR"/>
        </w:rPr>
        <w:t xml:space="preserve"> par le projet</w:t>
      </w:r>
      <w:r w:rsidR="006023E1" w:rsidRPr="006D7126">
        <w:rPr>
          <w:lang w:val="fr-FR"/>
        </w:rPr>
        <w:t> :</w:t>
      </w:r>
      <w:r w:rsidR="00394596" w:rsidRPr="006D7126">
        <w:rPr>
          <w:lang w:val="fr-FR"/>
        </w:rPr>
        <w:t xml:space="preserve"> Port-au-Prince, Petit-</w:t>
      </w:r>
      <w:proofErr w:type="spellStart"/>
      <w:r w:rsidR="00394596" w:rsidRPr="006D7126">
        <w:rPr>
          <w:lang w:val="fr-FR"/>
        </w:rPr>
        <w:t>Goâve</w:t>
      </w:r>
      <w:proofErr w:type="spellEnd"/>
      <w:r w:rsidR="00394596" w:rsidRPr="006D7126">
        <w:rPr>
          <w:lang w:val="fr-FR"/>
        </w:rPr>
        <w:t xml:space="preserve"> et Cayes</w:t>
      </w:r>
      <w:r w:rsidR="00913A53" w:rsidRPr="006D7126">
        <w:rPr>
          <w:lang w:val="fr-FR"/>
        </w:rPr>
        <w:t xml:space="preserve"> </w:t>
      </w:r>
      <w:r w:rsidR="00731589" w:rsidRPr="006D7126">
        <w:rPr>
          <w:lang w:val="fr-FR"/>
        </w:rPr>
        <w:t>renforçant les capacités techniques d’</w:t>
      </w:r>
      <w:r w:rsidR="00C17B5E" w:rsidRPr="006D7126">
        <w:rPr>
          <w:lang w:val="fr-FR"/>
        </w:rPr>
        <w:t>un nombre total de</w:t>
      </w:r>
      <w:r w:rsidR="00A712E7" w:rsidRPr="006D7126">
        <w:rPr>
          <w:lang w:val="fr-FR"/>
        </w:rPr>
        <w:t xml:space="preserve"> 367 personnes</w:t>
      </w:r>
      <w:r w:rsidR="000B3EB8" w:rsidRPr="006D7126">
        <w:rPr>
          <w:lang w:val="fr-FR"/>
        </w:rPr>
        <w:t xml:space="preserve"> </w:t>
      </w:r>
      <w:r w:rsidR="002D51A0" w:rsidRPr="006D7126">
        <w:rPr>
          <w:lang w:val="fr-FR"/>
        </w:rPr>
        <w:t>(</w:t>
      </w:r>
      <w:r w:rsidR="001D34C6" w:rsidRPr="006D7126">
        <w:rPr>
          <w:lang w:val="fr-FR"/>
        </w:rPr>
        <w:t>dont 161 femmes</w:t>
      </w:r>
      <w:r w:rsidR="002D51A0" w:rsidRPr="006D7126">
        <w:rPr>
          <w:lang w:val="fr-FR"/>
        </w:rPr>
        <w:t>)</w:t>
      </w:r>
      <w:r w:rsidR="001D34C6" w:rsidRPr="006D7126">
        <w:rPr>
          <w:lang w:val="fr-FR"/>
        </w:rPr>
        <w:t xml:space="preserve"> </w:t>
      </w:r>
      <w:r w:rsidR="000B3EB8" w:rsidRPr="006D7126">
        <w:rPr>
          <w:lang w:val="fr-FR"/>
        </w:rPr>
        <w:t xml:space="preserve">représentantes </w:t>
      </w:r>
      <w:r w:rsidR="00D17B47" w:rsidRPr="006D7126">
        <w:rPr>
          <w:lang w:val="fr-FR"/>
        </w:rPr>
        <w:t xml:space="preserve">de la communauté LGBTI, Acteurs du système Judicaire, de la PNH, des OCS, </w:t>
      </w:r>
      <w:r w:rsidR="001D34C6" w:rsidRPr="006D7126">
        <w:rPr>
          <w:lang w:val="fr-FR"/>
        </w:rPr>
        <w:t>de la communauté v</w:t>
      </w:r>
      <w:r w:rsidR="00D17B47" w:rsidRPr="006D7126">
        <w:rPr>
          <w:lang w:val="fr-FR"/>
        </w:rPr>
        <w:t>odouis</w:t>
      </w:r>
      <w:r w:rsidR="001D34C6" w:rsidRPr="006D7126">
        <w:rPr>
          <w:lang w:val="fr-FR"/>
        </w:rPr>
        <w:t>ante</w:t>
      </w:r>
      <w:r w:rsidR="007648DA" w:rsidRPr="006D7126">
        <w:rPr>
          <w:lang w:val="fr-FR"/>
        </w:rPr>
        <w:t xml:space="preserve"> etc</w:t>
      </w:r>
      <w:r w:rsidR="003A7448" w:rsidRPr="006D7126">
        <w:rPr>
          <w:lang w:val="fr-FR"/>
        </w:rPr>
        <w:t>.</w:t>
      </w:r>
      <w:r w:rsidR="000F67F5" w:rsidRPr="006D7126">
        <w:rPr>
          <w:lang w:val="fr-FR"/>
        </w:rPr>
        <w:t xml:space="preserve"> sur l’utilisation des outils développés</w:t>
      </w:r>
      <w:r w:rsidR="007E1521" w:rsidRPr="006D7126">
        <w:rPr>
          <w:lang w:val="fr-FR"/>
        </w:rPr>
        <w:t>, les démarches vers l</w:t>
      </w:r>
      <w:r w:rsidR="00F77163" w:rsidRPr="006D7126">
        <w:rPr>
          <w:lang w:val="fr-FR"/>
        </w:rPr>
        <w:t>’o</w:t>
      </w:r>
      <w:r w:rsidR="007E1521" w:rsidRPr="006D7126">
        <w:rPr>
          <w:lang w:val="fr-FR"/>
        </w:rPr>
        <w:t>btention d’une assistance légale</w:t>
      </w:r>
      <w:r w:rsidR="00F77163" w:rsidRPr="006D7126">
        <w:rPr>
          <w:lang w:val="fr-FR"/>
        </w:rPr>
        <w:t>, les VBG etc</w:t>
      </w:r>
      <w:r w:rsidR="00F75245" w:rsidRPr="006D7126">
        <w:rPr>
          <w:lang w:val="fr-FR"/>
        </w:rPr>
        <w:t xml:space="preserve">. </w:t>
      </w:r>
      <w:r w:rsidR="001374EE" w:rsidRPr="006D7126">
        <w:rPr>
          <w:lang w:val="fr-FR"/>
        </w:rPr>
        <w:t>A l’issu des ateliers, 681 exemplaires des outils suivants ont été distribués</w:t>
      </w:r>
      <w:r w:rsidR="00C6591C" w:rsidRPr="006D7126">
        <w:rPr>
          <w:lang w:val="fr-FR"/>
        </w:rPr>
        <w:t> :</w:t>
      </w:r>
      <w:r w:rsidR="001374EE" w:rsidRPr="006D7126">
        <w:rPr>
          <w:lang w:val="fr-FR"/>
        </w:rPr>
        <w:t xml:space="preserve"> </w:t>
      </w:r>
    </w:p>
    <w:p w14:paraId="21D9406F" w14:textId="77777777" w:rsidR="002E36B6" w:rsidRPr="006D7126" w:rsidRDefault="002E36B6" w:rsidP="002E36B6">
      <w:pPr>
        <w:pStyle w:val="ListParagraph"/>
        <w:numPr>
          <w:ilvl w:val="0"/>
          <w:numId w:val="11"/>
        </w:numPr>
        <w:jc w:val="both"/>
        <w:rPr>
          <w:lang w:val="fr-FR"/>
        </w:rPr>
      </w:pPr>
      <w:r w:rsidRPr="006D7126">
        <w:rPr>
          <w:lang w:val="fr-FR"/>
        </w:rPr>
        <w:t xml:space="preserve">227 </w:t>
      </w:r>
      <w:r w:rsidRPr="006D7126">
        <w:rPr>
          <w:i/>
          <w:lang w:val="fr-FR"/>
        </w:rPr>
        <w:t>fiches d’informations sur la réception et le traitement des plaintes de VBG</w:t>
      </w:r>
    </w:p>
    <w:p w14:paraId="26899B46" w14:textId="77777777" w:rsidR="002E36B6" w:rsidRPr="006D7126" w:rsidRDefault="002E36B6" w:rsidP="002E36B6">
      <w:pPr>
        <w:pStyle w:val="ListParagraph"/>
        <w:numPr>
          <w:ilvl w:val="0"/>
          <w:numId w:val="11"/>
        </w:numPr>
        <w:jc w:val="both"/>
        <w:rPr>
          <w:lang w:val="fr-FR"/>
        </w:rPr>
      </w:pPr>
      <w:r w:rsidRPr="006D7126">
        <w:rPr>
          <w:lang w:val="fr-FR"/>
        </w:rPr>
        <w:t xml:space="preserve">227 </w:t>
      </w:r>
      <w:r w:rsidRPr="006D7126">
        <w:rPr>
          <w:i/>
          <w:lang w:val="fr-FR"/>
        </w:rPr>
        <w:t>fiches d’informations sur l’Assistance légale</w:t>
      </w:r>
    </w:p>
    <w:p w14:paraId="081681B5" w14:textId="77777777" w:rsidR="002E36B6" w:rsidRPr="006D7126" w:rsidRDefault="002E36B6" w:rsidP="002E36B6">
      <w:pPr>
        <w:pStyle w:val="ListParagraph"/>
        <w:numPr>
          <w:ilvl w:val="0"/>
          <w:numId w:val="11"/>
        </w:numPr>
        <w:jc w:val="both"/>
        <w:rPr>
          <w:lang w:val="fr-FR"/>
        </w:rPr>
      </w:pPr>
      <w:r w:rsidRPr="006D7126">
        <w:rPr>
          <w:lang w:val="fr-FR"/>
        </w:rPr>
        <w:t xml:space="preserve">227 Dépliants en créole et français sur </w:t>
      </w:r>
      <w:r w:rsidRPr="006D7126">
        <w:rPr>
          <w:i/>
          <w:lang w:val="fr-FR"/>
        </w:rPr>
        <w:t>les bureaux d’assistance légale</w:t>
      </w:r>
      <w:r w:rsidRPr="006D7126">
        <w:rPr>
          <w:lang w:val="fr-FR"/>
        </w:rPr>
        <w:t xml:space="preserve"> </w:t>
      </w:r>
    </w:p>
    <w:p w14:paraId="7A13508A" w14:textId="3169E3DF" w:rsidR="002E36B6" w:rsidRPr="006D7126" w:rsidRDefault="008A0A8B" w:rsidP="002E36B6">
      <w:pPr>
        <w:pStyle w:val="ListParagraph"/>
        <w:numPr>
          <w:ilvl w:val="0"/>
          <w:numId w:val="11"/>
        </w:numPr>
        <w:jc w:val="both"/>
        <w:rPr>
          <w:lang w:val="fr-FR"/>
        </w:rPr>
      </w:pPr>
      <w:r w:rsidRPr="006D7126">
        <w:rPr>
          <w:lang w:val="fr-FR"/>
        </w:rPr>
        <w:t>Partage de la loi</w:t>
      </w:r>
      <w:r w:rsidRPr="006D7126">
        <w:rPr>
          <w:i/>
          <w:lang w:val="fr-FR"/>
        </w:rPr>
        <w:t xml:space="preserve"> sur l’assistance </w:t>
      </w:r>
      <w:r w:rsidR="00443012" w:rsidRPr="006D7126">
        <w:rPr>
          <w:i/>
          <w:lang w:val="fr-FR"/>
        </w:rPr>
        <w:t>légale (</w:t>
      </w:r>
      <w:r w:rsidRPr="006D7126">
        <w:rPr>
          <w:lang w:val="fr-FR"/>
        </w:rPr>
        <w:t>version électronique).</w:t>
      </w:r>
    </w:p>
    <w:p w14:paraId="678BD3F5" w14:textId="77777777" w:rsidR="002E36B6" w:rsidRPr="006D7126" w:rsidRDefault="002E36B6" w:rsidP="00C976B3">
      <w:pPr>
        <w:ind w:left="-900"/>
        <w:jc w:val="both"/>
        <w:rPr>
          <w:lang w:val="fr-FR"/>
        </w:rPr>
      </w:pPr>
    </w:p>
    <w:p w14:paraId="07AEE5FA" w14:textId="0A2BE255" w:rsidR="002417B4" w:rsidRPr="006D7126" w:rsidRDefault="00FA5ED6" w:rsidP="00C976B3">
      <w:pPr>
        <w:ind w:left="-900"/>
        <w:jc w:val="both"/>
        <w:rPr>
          <w:lang w:val="fr-FR"/>
        </w:rPr>
      </w:pPr>
      <w:r w:rsidRPr="006D7126">
        <w:rPr>
          <w:lang w:val="fr-FR"/>
        </w:rPr>
        <w:t>Ces actions contribuent à renforcer</w:t>
      </w:r>
      <w:r w:rsidR="002E1884" w:rsidRPr="006D7126">
        <w:rPr>
          <w:lang w:val="fr-FR"/>
        </w:rPr>
        <w:t xml:space="preserve"> les acteurs pour un meilleur</w:t>
      </w:r>
      <w:r w:rsidRPr="006D7126">
        <w:rPr>
          <w:lang w:val="fr-FR"/>
        </w:rPr>
        <w:t xml:space="preserve"> traitement des cas de V</w:t>
      </w:r>
      <w:r w:rsidR="007D574D" w:rsidRPr="006D7126">
        <w:rPr>
          <w:lang w:val="fr-FR"/>
        </w:rPr>
        <w:t>FF</w:t>
      </w:r>
      <w:r w:rsidRPr="006D7126">
        <w:rPr>
          <w:lang w:val="fr-FR"/>
        </w:rPr>
        <w:t xml:space="preserve"> </w:t>
      </w:r>
      <w:r w:rsidR="00293709" w:rsidRPr="006D7126">
        <w:rPr>
          <w:lang w:val="fr-FR"/>
        </w:rPr>
        <w:t>et</w:t>
      </w:r>
      <w:r w:rsidRPr="006D7126">
        <w:rPr>
          <w:lang w:val="fr-FR"/>
        </w:rPr>
        <w:t xml:space="preserve"> des réponses et accompagnements plus efficaces et coordonnés à travers les régions ciblées</w:t>
      </w:r>
      <w:r w:rsidR="0096731A" w:rsidRPr="006D7126">
        <w:rPr>
          <w:lang w:val="fr-FR"/>
        </w:rPr>
        <w:t xml:space="preserve">. </w:t>
      </w:r>
      <w:r w:rsidR="00293709" w:rsidRPr="006D7126">
        <w:rPr>
          <w:lang w:val="fr-FR"/>
        </w:rPr>
        <w:t>Il</w:t>
      </w:r>
      <w:r w:rsidR="00394596" w:rsidRPr="006D7126">
        <w:rPr>
          <w:lang w:val="fr-FR"/>
        </w:rPr>
        <w:t xml:space="preserve"> y a lieu de souligner que les réalisations de ce projet </w:t>
      </w:r>
      <w:r w:rsidR="007A4083" w:rsidRPr="006D7126">
        <w:rPr>
          <w:lang w:val="fr-FR"/>
        </w:rPr>
        <w:t>en matière de renforcement des capacités</w:t>
      </w:r>
      <w:r w:rsidR="00384C69" w:rsidRPr="006D7126">
        <w:rPr>
          <w:lang w:val="fr-FR"/>
        </w:rPr>
        <w:t xml:space="preserve"> des institutions</w:t>
      </w:r>
      <w:r w:rsidR="007A4083" w:rsidRPr="006D7126">
        <w:rPr>
          <w:lang w:val="fr-FR"/>
        </w:rPr>
        <w:t xml:space="preserve"> </w:t>
      </w:r>
      <w:r w:rsidR="00394596" w:rsidRPr="006D7126">
        <w:rPr>
          <w:lang w:val="fr-FR"/>
        </w:rPr>
        <w:t>ont une portée nationale car, les matériels et les outils de vulgarisation ont été distribués dans les départements à travers la Coordination des Présences Territoriales de l’Office de la Protection du Citoyen. Ces outils de vulgarisation ont été publiés aussi sur le site de l’OPC, sur les réseaux sociaux et relayés sur les sites d’Association des Ombudsmans et Médiateurs de la Francophonie (AOMF), Association Francophone des Commissions Nationales des Droits de l’Homme (AFCNDH).</w:t>
      </w:r>
    </w:p>
    <w:p w14:paraId="7D47BF1D" w14:textId="77777777" w:rsidR="008A0A8B" w:rsidRPr="006D7126" w:rsidRDefault="008A0A8B" w:rsidP="004E2FF8">
      <w:pPr>
        <w:ind w:left="-900"/>
        <w:jc w:val="both"/>
        <w:rPr>
          <w:lang w:val="fr-FR"/>
        </w:rPr>
      </w:pPr>
    </w:p>
    <w:p w14:paraId="711E4236" w14:textId="45237B8E" w:rsidR="002417B4" w:rsidRPr="006D7126" w:rsidRDefault="00B305C2" w:rsidP="004E2FF8">
      <w:pPr>
        <w:ind w:left="-900"/>
        <w:jc w:val="both"/>
        <w:rPr>
          <w:lang w:val="fr-FR"/>
        </w:rPr>
      </w:pPr>
      <w:r w:rsidRPr="006D7126">
        <w:rPr>
          <w:lang w:val="fr-FR"/>
        </w:rPr>
        <w:t xml:space="preserve">Par ailleurs, les modules de formation et les différents guides élaborés, une fois présentés officiellement, feront l’objet d’outils de bonnes pratiques au niveau des Associations d’Ombudsman et d’INDH sur le plan international.  </w:t>
      </w:r>
    </w:p>
    <w:p w14:paraId="7A4029E1" w14:textId="77777777" w:rsidR="00443012" w:rsidRDefault="00443012" w:rsidP="000E3E96">
      <w:pPr>
        <w:jc w:val="both"/>
        <w:rPr>
          <w:lang w:val="fr-FR"/>
        </w:rPr>
      </w:pPr>
    </w:p>
    <w:bookmarkEnd w:id="1"/>
    <w:p w14:paraId="531FF00F" w14:textId="6B7A1D55" w:rsidR="007D4AFE" w:rsidRDefault="009E62FE" w:rsidP="004E2FF8">
      <w:pPr>
        <w:ind w:left="-900"/>
        <w:jc w:val="both"/>
        <w:rPr>
          <w:lang w:val="fr-FR"/>
        </w:rPr>
      </w:pPr>
      <w:r>
        <w:rPr>
          <w:lang w:val="fr-FR"/>
        </w:rPr>
        <w:t>Sur le renforcement du secteur carcéral et judiciaire dans la réponse au COVID 19, le Projet Accès à la justice a apport</w:t>
      </w:r>
      <w:r w:rsidR="004E2FF8">
        <w:rPr>
          <w:lang w:val="fr-FR"/>
        </w:rPr>
        <w:t>é</w:t>
      </w:r>
      <w:r>
        <w:rPr>
          <w:lang w:val="fr-FR"/>
        </w:rPr>
        <w:t xml:space="preserve"> une contribution importante </w:t>
      </w:r>
      <w:r w:rsidR="00A76730">
        <w:rPr>
          <w:lang w:val="fr-FR"/>
        </w:rPr>
        <w:t>à la</w:t>
      </w:r>
      <w:r>
        <w:rPr>
          <w:lang w:val="fr-FR"/>
        </w:rPr>
        <w:t xml:space="preserve"> Direction de l’Administration Pénitentiaire en lui dotant de matériels et d’équipements sanitaires et hygiéniques pouvant couvrir l’ensemble des centres carcéraux de la République. Des actions particulières ont été réalisées dans les zones cibles du projet</w:t>
      </w:r>
      <w:r w:rsidR="00C63AA2">
        <w:rPr>
          <w:lang w:val="fr-FR"/>
        </w:rPr>
        <w:t xml:space="preserve"> telles que la réalisation de cliniques mobiles médicales dans les centres </w:t>
      </w:r>
      <w:r w:rsidR="004E2FF8">
        <w:rPr>
          <w:lang w:val="fr-FR"/>
        </w:rPr>
        <w:t xml:space="preserve">carcéraux, installation de système de traitement d’eau pour les détenus, sensibilisation des détenus sur leurs droit, formation des acteurs judiciaires et de la société civile sur les droits </w:t>
      </w:r>
      <w:r w:rsidR="004B2FEF">
        <w:rPr>
          <w:lang w:val="fr-FR"/>
        </w:rPr>
        <w:t xml:space="preserve">des </w:t>
      </w:r>
      <w:r w:rsidR="004E2FF8">
        <w:rPr>
          <w:lang w:val="fr-FR"/>
        </w:rPr>
        <w:t>détenus etc.</w:t>
      </w:r>
      <w:r w:rsidR="0049151C">
        <w:rPr>
          <w:lang w:val="fr-FR"/>
        </w:rPr>
        <w:t xml:space="preserve"> Des matériels de communication et </w:t>
      </w:r>
      <w:r w:rsidR="007D7BA9">
        <w:rPr>
          <w:lang w:val="fr-FR"/>
        </w:rPr>
        <w:t>des sensibilisations</w:t>
      </w:r>
      <w:r w:rsidR="0049151C">
        <w:rPr>
          <w:lang w:val="fr-FR"/>
        </w:rPr>
        <w:t xml:space="preserve"> ont été développés par le Projet sur le respect des droits des détenus avec le support des organismes de la société civile.</w:t>
      </w:r>
      <w:r w:rsidR="004E2FF8">
        <w:rPr>
          <w:lang w:val="fr-FR"/>
        </w:rPr>
        <w:t xml:space="preserve"> </w:t>
      </w:r>
    </w:p>
    <w:p w14:paraId="4621B10C" w14:textId="1591F047" w:rsidR="004E2FF8" w:rsidRDefault="004E2FF8" w:rsidP="004E2FF8">
      <w:pPr>
        <w:ind w:left="-900"/>
        <w:jc w:val="both"/>
        <w:rPr>
          <w:lang w:val="fr-FR"/>
        </w:rPr>
      </w:pPr>
    </w:p>
    <w:p w14:paraId="1ABBA23F" w14:textId="05B371B8" w:rsidR="004E2FF8" w:rsidRDefault="004E2FF8" w:rsidP="004E2FF8">
      <w:pPr>
        <w:ind w:left="-900"/>
        <w:jc w:val="both"/>
        <w:rPr>
          <w:lang w:val="fr-FR"/>
        </w:rPr>
      </w:pPr>
      <w:r>
        <w:rPr>
          <w:lang w:val="fr-FR"/>
        </w:rPr>
        <w:t xml:space="preserve">Le Projet a aussi </w:t>
      </w:r>
      <w:r w:rsidR="00C11FFC">
        <w:rPr>
          <w:lang w:val="fr-FR"/>
        </w:rPr>
        <w:t>apporté</w:t>
      </w:r>
      <w:r>
        <w:rPr>
          <w:lang w:val="fr-FR"/>
        </w:rPr>
        <w:t xml:space="preserve"> une contribution importante dans l’amélioration</w:t>
      </w:r>
      <w:r w:rsidR="00C11FFC">
        <w:rPr>
          <w:lang w:val="fr-FR"/>
        </w:rPr>
        <w:t xml:space="preserve"> au niveau des conditions de détentions dans les centres carcéraux tels que </w:t>
      </w:r>
      <w:r w:rsidR="00EF772D">
        <w:rPr>
          <w:lang w:val="fr-FR"/>
        </w:rPr>
        <w:t>; l’amélioration des infrastructures sanitaires des centres carcéraux tels que l’ajout de 6 toilettes au bloc sanitaire, installation de 2 citernes de 600 gallons d’eau pour alimenter le système sanitaire, travaux de plomberie, réaménagement de cuisine, l’amélioration des infrastructures entreposant les aliments des détenus etc.</w:t>
      </w:r>
    </w:p>
    <w:p w14:paraId="7F0381C4" w14:textId="449633A4" w:rsidR="007D7BA9" w:rsidRDefault="007D7BA9" w:rsidP="004E2FF8">
      <w:pPr>
        <w:ind w:left="-900"/>
        <w:jc w:val="both"/>
        <w:rPr>
          <w:lang w:val="fr-FR"/>
        </w:rPr>
      </w:pPr>
    </w:p>
    <w:p w14:paraId="2B8D40AE" w14:textId="77777777" w:rsidR="00277DFD" w:rsidRDefault="007D7BA9" w:rsidP="00277DFD">
      <w:pPr>
        <w:ind w:left="-900"/>
        <w:jc w:val="both"/>
        <w:rPr>
          <w:lang w:val="fr-FR"/>
        </w:rPr>
      </w:pPr>
      <w:r>
        <w:rPr>
          <w:lang w:val="fr-FR"/>
        </w:rPr>
        <w:lastRenderedPageBreak/>
        <w:t xml:space="preserve">Sur le renforcement de l’administration pénitentiaire, le Projet a permis </w:t>
      </w:r>
      <w:r w:rsidR="0043550F">
        <w:rPr>
          <w:lang w:val="fr-FR"/>
        </w:rPr>
        <w:t>à</w:t>
      </w:r>
      <w:r>
        <w:rPr>
          <w:lang w:val="fr-FR"/>
        </w:rPr>
        <w:t xml:space="preserve"> la DAP de disposer d’un bâtiment logeant le centre de données informatiques, des matériels informatiques adéquats ont été fournis à la DAP pour le fonctionnement efficace de son système de gestion des détenus (SYGED). </w:t>
      </w:r>
    </w:p>
    <w:p w14:paraId="41FA9FEF" w14:textId="77777777" w:rsidR="00277DFD" w:rsidRDefault="00277DFD" w:rsidP="00277DFD">
      <w:pPr>
        <w:ind w:left="-900"/>
        <w:jc w:val="both"/>
        <w:rPr>
          <w:lang w:val="fr-FR"/>
        </w:rPr>
      </w:pPr>
      <w:r>
        <w:rPr>
          <w:lang w:val="fr-FR"/>
        </w:rPr>
        <w:t>L’ajout de cette nouvelle salle d’audience devait permettre la tenue d’un plus grand nombre d’audience. A noter qu’avant l’ajout de cette salle, le palais de justice des Cayes a été fortement endommagé par le tremblement de terre et la salle d’audience antérieure ne pouvait pas être utilisée. Un appui technique a aussi été offert par le Projet a la DAP devant lui permettre une meilleure coordination avec les partenaires techniques et financiers venant en support à la DAP dans les différents centres de détention de la République.</w:t>
      </w:r>
    </w:p>
    <w:p w14:paraId="5147E2BC" w14:textId="2C22A41F" w:rsidR="007D7BA9" w:rsidRDefault="007D7BA9" w:rsidP="004E2FF8">
      <w:pPr>
        <w:ind w:left="-900"/>
        <w:jc w:val="both"/>
        <w:rPr>
          <w:lang w:val="fr-FR"/>
        </w:rPr>
      </w:pPr>
      <w:r>
        <w:rPr>
          <w:lang w:val="fr-FR"/>
        </w:rPr>
        <w:t>.</w:t>
      </w:r>
    </w:p>
    <w:p w14:paraId="4DD4EA99" w14:textId="77777777" w:rsidR="004E2FF8" w:rsidRDefault="004E2FF8" w:rsidP="004E2FF8">
      <w:pPr>
        <w:ind w:left="-900"/>
        <w:jc w:val="both"/>
        <w:rPr>
          <w:lang w:val="fr-FR"/>
        </w:rPr>
      </w:pPr>
    </w:p>
    <w:p w14:paraId="74232537" w14:textId="77777777" w:rsidR="007A50D1" w:rsidRDefault="007A50D1" w:rsidP="007B62A5">
      <w:pPr>
        <w:spacing w:after="240"/>
        <w:ind w:left="-810"/>
        <w:rPr>
          <w:b/>
          <w:bCs/>
          <w:lang w:val="fr-FR"/>
        </w:rPr>
      </w:pPr>
    </w:p>
    <w:p w14:paraId="7550E43E" w14:textId="77777777" w:rsidR="007B62A5" w:rsidRDefault="007B62A5" w:rsidP="007B62A5">
      <w:pPr>
        <w:spacing w:after="240"/>
        <w:ind w:left="-810"/>
        <w:rPr>
          <w:b/>
          <w:bCs/>
          <w:lang w:val="fr-FR"/>
        </w:rPr>
      </w:pPr>
    </w:p>
    <w:p w14:paraId="00F32012" w14:textId="798CD6E3" w:rsidR="007B62A5" w:rsidRPr="002C15BF" w:rsidRDefault="005537C9" w:rsidP="007B62A5">
      <w:pPr>
        <w:rPr>
          <w:lang w:val="fr-FR"/>
        </w:rPr>
      </w:pPr>
      <w:r>
        <w:rPr>
          <w:noProof/>
        </w:rPr>
        <w:drawing>
          <wp:inline distT="0" distB="0" distL="0" distR="0" wp14:anchorId="2B1CC49E" wp14:editId="6F25C1DD">
            <wp:extent cx="5671185" cy="2428875"/>
            <wp:effectExtent l="0" t="0" r="5715" b="9525"/>
            <wp:docPr id="1" name="Chart 1">
              <a:extLst xmlns:a="http://schemas.openxmlformats.org/drawingml/2006/main">
                <a:ext uri="{FF2B5EF4-FFF2-40B4-BE49-F238E27FC236}">
                  <a16:creationId xmlns:a16="http://schemas.microsoft.com/office/drawing/2014/main" id="{520B21B8-CABC-4A12-B5A9-D4FF2B9ED7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A220977" w14:textId="1B241D29" w:rsidR="007B62A5" w:rsidRPr="00D26EE8" w:rsidRDefault="007B62A5" w:rsidP="007B62A5">
      <w:pPr>
        <w:spacing w:before="240" w:after="240"/>
        <w:rPr>
          <w:b/>
          <w:bCs/>
          <w:lang w:val="fr-FR"/>
        </w:rPr>
      </w:pPr>
      <w:r w:rsidRPr="00D26EE8">
        <w:rPr>
          <w:b/>
          <w:bCs/>
          <w:lang w:val="fr-FR"/>
        </w:rPr>
        <w:t xml:space="preserve">Importance du travail des BALs dans la </w:t>
      </w:r>
      <w:r w:rsidR="00E61F7F" w:rsidRPr="00D26EE8">
        <w:rPr>
          <w:b/>
          <w:bCs/>
          <w:lang w:val="fr-FR"/>
        </w:rPr>
        <w:t>r</w:t>
      </w:r>
      <w:r w:rsidR="00E61F7F">
        <w:rPr>
          <w:b/>
          <w:bCs/>
          <w:lang w:val="fr-FR"/>
        </w:rPr>
        <w:t>éduction de la détention provisoire prolongée.</w:t>
      </w:r>
    </w:p>
    <w:p w14:paraId="56D1D32D" w14:textId="5E97ED8A" w:rsidR="007B62A5" w:rsidRDefault="007B62A5" w:rsidP="007B62A5">
      <w:pPr>
        <w:rPr>
          <w:lang w:val="fr-FR"/>
        </w:rPr>
      </w:pPr>
      <w:r w:rsidRPr="002C15BF">
        <w:rPr>
          <w:lang w:val="fr-FR"/>
        </w:rPr>
        <w:t>Depuis le lancement des deux BALs en juin 2021, on peut constater presque la moitié des personnes prises en charge ont recouvré leur liberté. Cela montre qu’ils effectuent un travail important et qu’il existe une nécessité de leur appuyer pour continuer ce travail.</w:t>
      </w:r>
      <w:r>
        <w:rPr>
          <w:lang w:val="fr-FR"/>
        </w:rPr>
        <w:t xml:space="preserve"> Quand on analyse les informations présentées au graphe suivant on constate qu’environ 40% des personnes assistées ont pu recouvrir leur liberté. Donc, sans le travail des BALs ces gens seraient encore </w:t>
      </w:r>
      <w:r w:rsidR="00C80A2C">
        <w:rPr>
          <w:lang w:val="fr-FR"/>
        </w:rPr>
        <w:t xml:space="preserve">en détention provisoire </w:t>
      </w:r>
      <w:r w:rsidR="00E61F7F">
        <w:rPr>
          <w:lang w:val="fr-FR"/>
        </w:rPr>
        <w:t>prolongée</w:t>
      </w:r>
      <w:r w:rsidR="008D1D42">
        <w:rPr>
          <w:lang w:val="fr-FR"/>
        </w:rPr>
        <w:t>.</w:t>
      </w:r>
    </w:p>
    <w:p w14:paraId="4A9F4C7C" w14:textId="77777777" w:rsidR="007B62A5" w:rsidRPr="002C15BF" w:rsidRDefault="007B62A5" w:rsidP="007B62A5">
      <w:pPr>
        <w:rPr>
          <w:lang w:val="fr-FR"/>
        </w:rPr>
      </w:pPr>
    </w:p>
    <w:p w14:paraId="5C461F31" w14:textId="0BEEE9DF" w:rsidR="007B62A5" w:rsidRPr="002C15BF" w:rsidRDefault="0050518B" w:rsidP="007B62A5">
      <w:pPr>
        <w:rPr>
          <w:lang w:val="fr-FR"/>
        </w:rPr>
      </w:pPr>
      <w:r>
        <w:rPr>
          <w:noProof/>
        </w:rPr>
        <w:lastRenderedPageBreak/>
        <w:drawing>
          <wp:inline distT="0" distB="0" distL="0" distR="0" wp14:anchorId="678EBA58" wp14:editId="51ABEB79">
            <wp:extent cx="5092700" cy="2724150"/>
            <wp:effectExtent l="0" t="0" r="12700" b="0"/>
            <wp:docPr id="5" name="Chart 5">
              <a:extLst xmlns:a="http://schemas.openxmlformats.org/drawingml/2006/main">
                <a:ext uri="{FF2B5EF4-FFF2-40B4-BE49-F238E27FC236}">
                  <a16:creationId xmlns:a16="http://schemas.microsoft.com/office/drawing/2014/main" id="{D65C1E0F-10A6-4FDF-8A5D-13436A1B4D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9277518" w14:textId="77777777" w:rsidR="007B62A5" w:rsidRPr="002C15BF" w:rsidRDefault="007B62A5" w:rsidP="007B62A5">
      <w:pPr>
        <w:rPr>
          <w:lang w:val="fr-FR"/>
        </w:rPr>
      </w:pPr>
    </w:p>
    <w:p w14:paraId="49C3C879" w14:textId="77777777" w:rsidR="007B62A5" w:rsidRPr="00627A1C" w:rsidRDefault="007B62A5" w:rsidP="007B62A5">
      <w:pPr>
        <w:ind w:left="-810"/>
      </w:pPr>
    </w:p>
    <w:p w14:paraId="76EEB0FB" w14:textId="77777777" w:rsidR="007B62A5" w:rsidRPr="00627A1C" w:rsidRDefault="007B62A5" w:rsidP="007B62A5">
      <w:pPr>
        <w:rPr>
          <w:b/>
        </w:rPr>
      </w:pPr>
    </w:p>
    <w:p w14:paraId="3E088405" w14:textId="77777777" w:rsidR="007B62A5" w:rsidRPr="00476758" w:rsidRDefault="007B62A5" w:rsidP="007B62A5">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0FA9EBD" w14:textId="77777777" w:rsidR="00161D02" w:rsidRPr="007B62A5" w:rsidRDefault="00161D02" w:rsidP="008C150B">
      <w:pPr>
        <w:ind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3A31DC1F" w:rsidR="008C782A"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EC598A">
        <w:rPr>
          <w:lang w:val="fr-FR"/>
        </w:rPr>
        <w:t>(</w:t>
      </w:r>
      <w:r w:rsidR="009A03B2" w:rsidRPr="00EC598A">
        <w:rPr>
          <w:lang w:val="fr-FR"/>
        </w:rPr>
        <w:t>Limite</w:t>
      </w:r>
      <w:r w:rsidRPr="00EC598A">
        <w:rPr>
          <w:lang w:val="fr-FR"/>
        </w:rPr>
        <w:t xml:space="preserve"> de 1500 </w:t>
      </w:r>
      <w:r w:rsidRPr="00F778A1">
        <w:rPr>
          <w:lang w:val="fr-FR"/>
        </w:rPr>
        <w:t>caractères</w:t>
      </w:r>
      <w:r w:rsidR="00343A71" w:rsidRPr="00EC598A">
        <w:rPr>
          <w:lang w:val="fr-FR"/>
        </w:rPr>
        <w:t>) :</w:t>
      </w:r>
      <w:r w:rsidR="008C782A" w:rsidRPr="00EC598A">
        <w:rPr>
          <w:lang w:val="fr-FR"/>
        </w:rPr>
        <w:t xml:space="preserve"> </w:t>
      </w:r>
    </w:p>
    <w:p w14:paraId="0CC5DF74" w14:textId="77777777" w:rsidR="00EC598A" w:rsidRPr="00EC598A" w:rsidRDefault="00EC598A" w:rsidP="001A1E86">
      <w:pPr>
        <w:ind w:left="-810" w:right="-154"/>
        <w:rPr>
          <w:lang w:val="fr-FR"/>
        </w:rPr>
      </w:pPr>
    </w:p>
    <w:p w14:paraId="14FED538" w14:textId="2841C7B4" w:rsidR="00BA452C" w:rsidRDefault="00EC598A" w:rsidP="00343A71">
      <w:pPr>
        <w:ind w:left="-810"/>
        <w:jc w:val="both"/>
        <w:rPr>
          <w:lang w:val="fr-FR"/>
        </w:rPr>
      </w:pPr>
      <w:r w:rsidRPr="00EC598A">
        <w:rPr>
          <w:lang w:val="fr-FR"/>
        </w:rPr>
        <w:t xml:space="preserve">Durant </w:t>
      </w:r>
      <w:r>
        <w:rPr>
          <w:lang w:val="fr-FR"/>
        </w:rPr>
        <w:t>la p</w:t>
      </w:r>
      <w:r w:rsidRPr="00EC598A">
        <w:rPr>
          <w:lang w:val="fr-FR"/>
        </w:rPr>
        <w:t>ériode couverte par ce r</w:t>
      </w:r>
      <w:r>
        <w:rPr>
          <w:lang w:val="fr-FR"/>
        </w:rPr>
        <w:t xml:space="preserve">apport, le Projet accès à la justice a permis concrètement la </w:t>
      </w:r>
      <w:r w:rsidR="009E220E">
        <w:rPr>
          <w:lang w:val="fr-FR"/>
        </w:rPr>
        <w:t>matérialisation</w:t>
      </w:r>
      <w:r>
        <w:rPr>
          <w:lang w:val="fr-FR"/>
        </w:rPr>
        <w:t xml:space="preserve"> de la loi de 2018 sur l’assistance </w:t>
      </w:r>
      <w:r w:rsidR="009E220E">
        <w:rPr>
          <w:lang w:val="fr-FR"/>
        </w:rPr>
        <w:t>légale</w:t>
      </w:r>
      <w:r>
        <w:rPr>
          <w:lang w:val="fr-FR"/>
        </w:rPr>
        <w:t xml:space="preserve"> par la mise en place du Conseil National d’Assistance </w:t>
      </w:r>
      <w:r w:rsidR="009E220E">
        <w:rPr>
          <w:lang w:val="fr-FR"/>
        </w:rPr>
        <w:t>Légale</w:t>
      </w:r>
      <w:r>
        <w:rPr>
          <w:lang w:val="fr-FR"/>
        </w:rPr>
        <w:t xml:space="preserve"> et son </w:t>
      </w:r>
      <w:r w:rsidR="009E220E">
        <w:rPr>
          <w:lang w:val="fr-FR"/>
        </w:rPr>
        <w:t>opérationnalisation dans un délai record. Grace au soutien du projet, le CNAL fonctionne et dispose d’un budget initial</w:t>
      </w:r>
      <w:r w:rsidR="005F1C50">
        <w:rPr>
          <w:lang w:val="fr-FR"/>
        </w:rPr>
        <w:t xml:space="preserve"> tire des fonds du Trésor de la République</w:t>
      </w:r>
      <w:r w:rsidR="009E220E">
        <w:rPr>
          <w:lang w:val="fr-FR"/>
        </w:rPr>
        <w:t xml:space="preserve">. Le CNAL a pu rendre opérationnel un total de 9 bureaux </w:t>
      </w:r>
      <w:r w:rsidR="00C81589">
        <w:rPr>
          <w:lang w:val="fr-FR"/>
        </w:rPr>
        <w:t>d</w:t>
      </w:r>
      <w:r w:rsidR="009E220E">
        <w:rPr>
          <w:lang w:val="fr-FR"/>
        </w:rPr>
        <w:t xml:space="preserve">’assistance légale sur 18 dès la première année de son existence et travaille </w:t>
      </w:r>
      <w:r w:rsidR="00627798">
        <w:rPr>
          <w:lang w:val="fr-FR"/>
        </w:rPr>
        <w:t>à</w:t>
      </w:r>
      <w:r w:rsidR="009E220E">
        <w:rPr>
          <w:lang w:val="fr-FR"/>
        </w:rPr>
        <w:t xml:space="preserve"> la mise en place des 9 autres. Les neuf (9) bureaux d’assistance légale fonctionnels se situent dans les régions suivantes : Cayes, Petit-</w:t>
      </w:r>
      <w:proofErr w:type="spellStart"/>
      <w:r w:rsidR="002B7C79">
        <w:rPr>
          <w:lang w:val="fr-FR"/>
        </w:rPr>
        <w:t>Goâve</w:t>
      </w:r>
      <w:proofErr w:type="spellEnd"/>
      <w:r w:rsidR="009E220E">
        <w:rPr>
          <w:lang w:val="fr-FR"/>
        </w:rPr>
        <w:t xml:space="preserve">, </w:t>
      </w:r>
      <w:proofErr w:type="spellStart"/>
      <w:r w:rsidR="009E220E">
        <w:rPr>
          <w:lang w:val="fr-FR"/>
        </w:rPr>
        <w:t>Mirago</w:t>
      </w:r>
      <w:r w:rsidR="00A76730">
        <w:rPr>
          <w:lang w:val="fr-FR"/>
        </w:rPr>
        <w:t>â</w:t>
      </w:r>
      <w:r w:rsidR="009E220E">
        <w:rPr>
          <w:lang w:val="fr-FR"/>
        </w:rPr>
        <w:t>ne</w:t>
      </w:r>
      <w:proofErr w:type="spellEnd"/>
      <w:r w:rsidR="009E220E">
        <w:rPr>
          <w:lang w:val="fr-FR"/>
        </w:rPr>
        <w:t>, Jacmel, Fort-Liberté, Cap-Haitien, Gonaïve</w:t>
      </w:r>
      <w:r w:rsidR="00627798">
        <w:rPr>
          <w:lang w:val="fr-FR"/>
        </w:rPr>
        <w:t>s,</w:t>
      </w:r>
      <w:r w:rsidR="009E220E">
        <w:rPr>
          <w:lang w:val="fr-FR"/>
        </w:rPr>
        <w:t xml:space="preserve"> Port-de Paix</w:t>
      </w:r>
      <w:r w:rsidR="00627798">
        <w:rPr>
          <w:lang w:val="fr-FR"/>
        </w:rPr>
        <w:t xml:space="preserve"> et Port-au-Prince. Ces bureaux d’assistance légale ont pu assister un nombre de mille cent trois (1103) personnes dont </w:t>
      </w:r>
      <w:r w:rsidR="002B023B">
        <w:rPr>
          <w:lang w:val="fr-FR"/>
        </w:rPr>
        <w:t>967 hommes</w:t>
      </w:r>
      <w:r w:rsidR="00634090">
        <w:rPr>
          <w:lang w:val="fr-FR"/>
        </w:rPr>
        <w:t xml:space="preserve">, </w:t>
      </w:r>
      <w:r w:rsidR="00627798">
        <w:rPr>
          <w:lang w:val="fr-FR"/>
        </w:rPr>
        <w:t>98 femmes et 38 enfants</w:t>
      </w:r>
      <w:r w:rsidR="00C81589">
        <w:rPr>
          <w:lang w:val="fr-FR"/>
        </w:rPr>
        <w:t xml:space="preserve"> </w:t>
      </w:r>
      <w:r w:rsidR="00627798">
        <w:rPr>
          <w:lang w:val="fr-FR"/>
        </w:rPr>
        <w:t xml:space="preserve">Ces bureaux ont pu obtenir des décisions de justice en faveur </w:t>
      </w:r>
      <w:r w:rsidR="00AB78B0">
        <w:rPr>
          <w:lang w:val="fr-FR"/>
        </w:rPr>
        <w:t xml:space="preserve">de </w:t>
      </w:r>
      <w:r w:rsidR="00627798">
        <w:rPr>
          <w:lang w:val="fr-FR"/>
        </w:rPr>
        <w:t xml:space="preserve">six cent </w:t>
      </w:r>
      <w:r w:rsidR="009A03B2">
        <w:rPr>
          <w:lang w:val="fr-FR"/>
        </w:rPr>
        <w:t>vingt-deux</w:t>
      </w:r>
      <w:r w:rsidR="00627798">
        <w:rPr>
          <w:lang w:val="fr-FR"/>
        </w:rPr>
        <w:t xml:space="preserve"> (622) personnes, dont</w:t>
      </w:r>
      <w:r w:rsidR="009A03B2">
        <w:rPr>
          <w:lang w:val="fr-FR"/>
        </w:rPr>
        <w:t> :</w:t>
      </w:r>
      <w:r w:rsidR="00627798">
        <w:rPr>
          <w:lang w:val="fr-FR"/>
        </w:rPr>
        <w:t xml:space="preserve"> cinq cent quatre (504) libérations et</w:t>
      </w:r>
      <w:r w:rsidR="002B7C79">
        <w:rPr>
          <w:lang w:val="fr-FR"/>
        </w:rPr>
        <w:t xml:space="preserve"> cent dix-huit (118) condamnations. </w:t>
      </w:r>
    </w:p>
    <w:p w14:paraId="20F15B4B" w14:textId="77777777" w:rsidR="00BA452C" w:rsidRDefault="00BA452C" w:rsidP="00343A71">
      <w:pPr>
        <w:ind w:left="-810"/>
        <w:jc w:val="both"/>
        <w:rPr>
          <w:lang w:val="fr-FR"/>
        </w:rPr>
      </w:pPr>
    </w:p>
    <w:p w14:paraId="3FA0C31A" w14:textId="2464A7AB" w:rsidR="00F858A2" w:rsidRDefault="009A03B2" w:rsidP="00343A71">
      <w:pPr>
        <w:ind w:left="-810"/>
        <w:jc w:val="both"/>
        <w:rPr>
          <w:lang w:val="fr-FR"/>
        </w:rPr>
      </w:pPr>
      <w:r>
        <w:rPr>
          <w:lang w:val="fr-FR"/>
        </w:rPr>
        <w:t xml:space="preserve">Le projet a pu dynamiser les services d’assistance légale offerts par certaines organisations de la </w:t>
      </w:r>
      <w:r w:rsidR="00B56A95">
        <w:rPr>
          <w:lang w:val="fr-FR"/>
        </w:rPr>
        <w:t>société</w:t>
      </w:r>
      <w:r>
        <w:rPr>
          <w:lang w:val="fr-FR"/>
        </w:rPr>
        <w:t xml:space="preserve"> civile</w:t>
      </w:r>
      <w:r w:rsidR="002B023B">
        <w:rPr>
          <w:lang w:val="fr-FR"/>
        </w:rPr>
        <w:t xml:space="preserve"> par le biais d’un appui financier. Ces organismes sont</w:t>
      </w:r>
      <w:r w:rsidR="00B56A95">
        <w:rPr>
          <w:lang w:val="fr-FR"/>
        </w:rPr>
        <w:t> : FJKL, OCNH, BDHH, VHDH, IMED et Fondation Terre Bleue. Ces organisations ont pu desservir un nombre de</w:t>
      </w:r>
      <w:r w:rsidR="00DB34A5">
        <w:rPr>
          <w:lang w:val="fr-FR"/>
        </w:rPr>
        <w:t xml:space="preserve"> mille </w:t>
      </w:r>
      <w:r w:rsidR="00B97FF3">
        <w:rPr>
          <w:lang w:val="fr-FR"/>
        </w:rPr>
        <w:t>six</w:t>
      </w:r>
      <w:r w:rsidR="00DB34A5">
        <w:rPr>
          <w:lang w:val="fr-FR"/>
        </w:rPr>
        <w:t xml:space="preserve"> cent </w:t>
      </w:r>
      <w:r w:rsidR="00B97FF3">
        <w:rPr>
          <w:lang w:val="fr-FR"/>
        </w:rPr>
        <w:t>quatre-vingt</w:t>
      </w:r>
      <w:r w:rsidR="00DB34A5">
        <w:rPr>
          <w:lang w:val="fr-FR"/>
        </w:rPr>
        <w:t>-</w:t>
      </w:r>
      <w:r w:rsidR="00B97FF3">
        <w:rPr>
          <w:lang w:val="fr-FR"/>
        </w:rPr>
        <w:t>quatorze</w:t>
      </w:r>
      <w:r w:rsidR="00B56A95">
        <w:rPr>
          <w:lang w:val="fr-FR"/>
        </w:rPr>
        <w:t xml:space="preserve"> </w:t>
      </w:r>
      <w:r w:rsidR="00DB34A5">
        <w:rPr>
          <w:lang w:val="fr-FR"/>
        </w:rPr>
        <w:t>(</w:t>
      </w:r>
      <w:r w:rsidR="00B97FF3">
        <w:rPr>
          <w:lang w:val="fr-FR"/>
        </w:rPr>
        <w:t>1694</w:t>
      </w:r>
      <w:r w:rsidR="00DB34A5">
        <w:rPr>
          <w:lang w:val="fr-FR"/>
        </w:rPr>
        <w:t>)</w:t>
      </w:r>
      <w:r w:rsidR="00B56A95">
        <w:rPr>
          <w:lang w:val="fr-FR"/>
        </w:rPr>
        <w:t xml:space="preserve"> personnes dont </w:t>
      </w:r>
      <w:r w:rsidR="00DB34A5">
        <w:rPr>
          <w:lang w:val="fr-FR"/>
        </w:rPr>
        <w:t xml:space="preserve">cent cinquante et </w:t>
      </w:r>
      <w:r w:rsidR="00B97FF3">
        <w:rPr>
          <w:lang w:val="fr-FR"/>
        </w:rPr>
        <w:t>211</w:t>
      </w:r>
      <w:r w:rsidR="00DB34A5">
        <w:rPr>
          <w:lang w:val="fr-FR"/>
        </w:rPr>
        <w:t>)</w:t>
      </w:r>
      <w:r w:rsidR="00B56A95">
        <w:rPr>
          <w:lang w:val="fr-FR"/>
        </w:rPr>
        <w:t xml:space="preserve"> femmes grâce au soutien financier du projet. </w:t>
      </w:r>
    </w:p>
    <w:p w14:paraId="0F3E5A1E" w14:textId="77777777" w:rsidR="00F858A2" w:rsidRDefault="00F858A2" w:rsidP="00343A71">
      <w:pPr>
        <w:ind w:left="-810"/>
        <w:jc w:val="both"/>
        <w:rPr>
          <w:lang w:val="fr-FR"/>
        </w:rPr>
      </w:pPr>
    </w:p>
    <w:p w14:paraId="6494FB79" w14:textId="2FA74C42" w:rsidR="00BA452C" w:rsidRDefault="00944CCC" w:rsidP="00343A71">
      <w:pPr>
        <w:ind w:left="-810"/>
        <w:jc w:val="both"/>
        <w:rPr>
          <w:lang w:val="fr-FR"/>
        </w:rPr>
      </w:pPr>
      <w:r>
        <w:rPr>
          <w:lang w:val="fr-FR"/>
        </w:rPr>
        <w:t>La notion de clinique juridique a bien été appropriée par le Barreau de Port-au-Prince qui</w:t>
      </w:r>
      <w:r w:rsidR="00F858A2">
        <w:rPr>
          <w:lang w:val="fr-FR"/>
        </w:rPr>
        <w:t>,</w:t>
      </w:r>
      <w:r>
        <w:rPr>
          <w:lang w:val="fr-FR"/>
        </w:rPr>
        <w:t xml:space="preserve"> grâce </w:t>
      </w:r>
      <w:r w:rsidR="00972542">
        <w:rPr>
          <w:lang w:val="fr-FR"/>
        </w:rPr>
        <w:t>à ce</w:t>
      </w:r>
      <w:r>
        <w:rPr>
          <w:lang w:val="fr-FR"/>
        </w:rPr>
        <w:t xml:space="preserve"> projet</w:t>
      </w:r>
      <w:r w:rsidR="00F858A2">
        <w:rPr>
          <w:lang w:val="fr-FR"/>
        </w:rPr>
        <w:t>,</w:t>
      </w:r>
      <w:r>
        <w:rPr>
          <w:lang w:val="fr-FR"/>
        </w:rPr>
        <w:t xml:space="preserve"> a pu effectuer des campagnes de sensibilisation</w:t>
      </w:r>
      <w:r w:rsidR="002411DF">
        <w:rPr>
          <w:lang w:val="fr-FR"/>
        </w:rPr>
        <w:t xml:space="preserve">, d’information et d’éducation </w:t>
      </w:r>
      <w:r>
        <w:rPr>
          <w:lang w:val="fr-FR"/>
        </w:rPr>
        <w:t>sur le droit</w:t>
      </w:r>
      <w:r w:rsidR="002411DF">
        <w:rPr>
          <w:lang w:val="fr-FR"/>
        </w:rPr>
        <w:t xml:space="preserve"> et</w:t>
      </w:r>
      <w:r w:rsidR="00F858A2">
        <w:rPr>
          <w:lang w:val="fr-FR"/>
        </w:rPr>
        <w:t xml:space="preserve"> </w:t>
      </w:r>
      <w:r w:rsidR="00F66FA8">
        <w:rPr>
          <w:lang w:val="fr-FR"/>
        </w:rPr>
        <w:t>ce, sur</w:t>
      </w:r>
      <w:r w:rsidR="002411DF">
        <w:rPr>
          <w:lang w:val="fr-FR"/>
        </w:rPr>
        <w:t xml:space="preserve"> des matières portant </w:t>
      </w:r>
      <w:r w:rsidR="00F858A2">
        <w:rPr>
          <w:lang w:val="fr-FR"/>
        </w:rPr>
        <w:t>à</w:t>
      </w:r>
      <w:r w:rsidR="002411DF">
        <w:rPr>
          <w:lang w:val="fr-FR"/>
        </w:rPr>
        <w:t xml:space="preserve"> la fois sur le droit </w:t>
      </w:r>
      <w:r w:rsidR="00F858A2">
        <w:rPr>
          <w:lang w:val="fr-FR"/>
        </w:rPr>
        <w:t>pénal</w:t>
      </w:r>
      <w:r w:rsidR="002411DF">
        <w:rPr>
          <w:lang w:val="fr-FR"/>
        </w:rPr>
        <w:t xml:space="preserve"> et civil. Ce qui consacre un changement majeur dans les services d’assistance </w:t>
      </w:r>
      <w:r w:rsidR="00F858A2">
        <w:rPr>
          <w:lang w:val="fr-FR"/>
        </w:rPr>
        <w:t>légale</w:t>
      </w:r>
      <w:r w:rsidR="002411DF">
        <w:rPr>
          <w:lang w:val="fr-FR"/>
        </w:rPr>
        <w:t xml:space="preserve"> habituellement fournis par le Barreau de Port-au-Prince dont les services d’assistance</w:t>
      </w:r>
      <w:r w:rsidR="00F858A2">
        <w:rPr>
          <w:lang w:val="fr-FR"/>
        </w:rPr>
        <w:t xml:space="preserve"> légale</w:t>
      </w:r>
      <w:r w:rsidR="002411DF">
        <w:rPr>
          <w:lang w:val="fr-FR"/>
        </w:rPr>
        <w:t xml:space="preserve"> portaient </w:t>
      </w:r>
      <w:r w:rsidR="00F858A2">
        <w:rPr>
          <w:lang w:val="fr-FR"/>
        </w:rPr>
        <w:t>uniquement</w:t>
      </w:r>
      <w:r w:rsidR="002411DF">
        <w:rPr>
          <w:lang w:val="fr-FR"/>
        </w:rPr>
        <w:t xml:space="preserve"> sur le droit </w:t>
      </w:r>
      <w:r w:rsidR="00F858A2">
        <w:rPr>
          <w:lang w:val="fr-FR"/>
        </w:rPr>
        <w:t>pénal</w:t>
      </w:r>
      <w:r w:rsidR="00320A5D">
        <w:rPr>
          <w:lang w:val="fr-FR"/>
        </w:rPr>
        <w:t xml:space="preserve">. </w:t>
      </w:r>
    </w:p>
    <w:p w14:paraId="4A3BA2AD" w14:textId="77777777" w:rsidR="00BA452C" w:rsidRDefault="00BA452C" w:rsidP="00343A71">
      <w:pPr>
        <w:ind w:left="-810"/>
        <w:jc w:val="both"/>
        <w:rPr>
          <w:lang w:val="fr-FR"/>
        </w:rPr>
      </w:pPr>
    </w:p>
    <w:p w14:paraId="47923EE7" w14:textId="0AFAE97D" w:rsidR="00B13CC1" w:rsidRDefault="00320A5D" w:rsidP="00343A71">
      <w:pPr>
        <w:ind w:left="-810"/>
        <w:jc w:val="both"/>
        <w:rPr>
          <w:lang w:val="fr-FR"/>
        </w:rPr>
      </w:pPr>
      <w:r>
        <w:rPr>
          <w:lang w:val="fr-FR"/>
        </w:rPr>
        <w:t xml:space="preserve">Avec l’appui du projet, l’Office de la Protection du Citoyen (OPC) a pu développer un ensemble d’outils de vulgarisation portant sur les droits des accusés, des détenus, des garanties judiciaires et des </w:t>
      </w:r>
      <w:r>
        <w:rPr>
          <w:lang w:val="fr-FR"/>
        </w:rPr>
        <w:lastRenderedPageBreak/>
        <w:t xml:space="preserve">outils sur la garde </w:t>
      </w:r>
      <w:r w:rsidR="00A76730">
        <w:rPr>
          <w:lang w:val="fr-FR"/>
        </w:rPr>
        <w:t>à</w:t>
      </w:r>
      <w:r>
        <w:rPr>
          <w:lang w:val="fr-FR"/>
        </w:rPr>
        <w:t xml:space="preserve"> vue. L’OPC a pu aussi développer des matériels de communication et de sensibilisation sur le rôle des </w:t>
      </w:r>
      <w:r w:rsidR="003B176D">
        <w:rPr>
          <w:lang w:val="fr-FR"/>
        </w:rPr>
        <w:t>b</w:t>
      </w:r>
      <w:r>
        <w:rPr>
          <w:lang w:val="fr-FR"/>
        </w:rPr>
        <w:t>ureaux d’assistance légale</w:t>
      </w:r>
      <w:r w:rsidR="003B176D">
        <w:rPr>
          <w:lang w:val="fr-FR"/>
        </w:rPr>
        <w:t xml:space="preserve"> et l’accès </w:t>
      </w:r>
      <w:r w:rsidR="00647DDF">
        <w:rPr>
          <w:lang w:val="fr-FR"/>
        </w:rPr>
        <w:t>aux services</w:t>
      </w:r>
      <w:r w:rsidR="003B176D">
        <w:rPr>
          <w:lang w:val="fr-FR"/>
        </w:rPr>
        <w:t xml:space="preserve"> de ces bureaux. </w:t>
      </w:r>
      <w:r w:rsidR="00171370">
        <w:rPr>
          <w:lang w:val="fr-FR"/>
        </w:rPr>
        <w:t xml:space="preserve">La contribution des OSCs au niveau de la mise en œuvre de ce projet est aussi à souligner. </w:t>
      </w:r>
    </w:p>
    <w:p w14:paraId="7511F178" w14:textId="77777777" w:rsidR="00B13CC1" w:rsidRDefault="00B13CC1" w:rsidP="00343A71">
      <w:pPr>
        <w:ind w:left="-810"/>
        <w:jc w:val="both"/>
        <w:rPr>
          <w:lang w:val="fr-FR"/>
        </w:rPr>
      </w:pPr>
    </w:p>
    <w:p w14:paraId="647C8536" w14:textId="11BCC100" w:rsidR="00117EE7" w:rsidRPr="006F30CD" w:rsidRDefault="00171370" w:rsidP="00343A71">
      <w:pPr>
        <w:ind w:left="-810"/>
        <w:jc w:val="both"/>
        <w:rPr>
          <w:lang w:val="fr-FR"/>
        </w:rPr>
      </w:pPr>
      <w:r>
        <w:rPr>
          <w:lang w:val="fr-FR"/>
        </w:rPr>
        <w:t xml:space="preserve">Les </w:t>
      </w:r>
      <w:r w:rsidR="006F30CD">
        <w:rPr>
          <w:lang w:val="fr-FR"/>
        </w:rPr>
        <w:t>OSCs,</w:t>
      </w:r>
      <w:r>
        <w:rPr>
          <w:lang w:val="fr-FR"/>
        </w:rPr>
        <w:t xml:space="preserve"> partenaires de mise en œuvre du projet Accès </w:t>
      </w:r>
      <w:r w:rsidR="006F30CD">
        <w:rPr>
          <w:lang w:val="fr-FR"/>
        </w:rPr>
        <w:t>à</w:t>
      </w:r>
      <w:r>
        <w:rPr>
          <w:lang w:val="fr-FR"/>
        </w:rPr>
        <w:t xml:space="preserve"> la justice ont pu, grâce au financement obtenu</w:t>
      </w:r>
      <w:r w:rsidR="006F30CD">
        <w:rPr>
          <w:lang w:val="fr-FR"/>
        </w:rPr>
        <w:t xml:space="preserve"> du projet</w:t>
      </w:r>
      <w:r>
        <w:rPr>
          <w:lang w:val="fr-FR"/>
        </w:rPr>
        <w:t xml:space="preserve">, faciliter la libération de cinq cent </w:t>
      </w:r>
      <w:r w:rsidR="006F30CD">
        <w:rPr>
          <w:lang w:val="fr-FR"/>
        </w:rPr>
        <w:t>quarante-six</w:t>
      </w:r>
      <w:r>
        <w:rPr>
          <w:lang w:val="fr-FR"/>
        </w:rPr>
        <w:t xml:space="preserve"> (546) personnes dont </w:t>
      </w:r>
      <w:r w:rsidR="006F30CD">
        <w:rPr>
          <w:lang w:val="fr-FR"/>
        </w:rPr>
        <w:t xml:space="preserve">trente et un (31) femmes à travers 7 juridictions judiciaires du pays à savoir : </w:t>
      </w:r>
      <w:r w:rsidR="006F30CD" w:rsidRPr="006F30CD">
        <w:rPr>
          <w:color w:val="000000"/>
          <w:shd w:val="clear" w:color="auto" w:fill="FFFFFF"/>
          <w:lang w:val="fr-FR"/>
        </w:rPr>
        <w:t>Croix des Bouquet</w:t>
      </w:r>
      <w:r w:rsidR="00146644">
        <w:rPr>
          <w:color w:val="000000"/>
          <w:shd w:val="clear" w:color="auto" w:fill="FFFFFF"/>
          <w:lang w:val="fr-FR"/>
        </w:rPr>
        <w:t>s</w:t>
      </w:r>
      <w:r w:rsidR="006F30CD" w:rsidRPr="006F30CD">
        <w:rPr>
          <w:color w:val="000000"/>
          <w:shd w:val="clear" w:color="auto" w:fill="FFFFFF"/>
          <w:lang w:val="fr-FR"/>
        </w:rPr>
        <w:t>, Port-au-Prince, Cayes, Saint-Marc, Gonaïves, Carrefour</w:t>
      </w:r>
      <w:r w:rsidR="006F30CD">
        <w:rPr>
          <w:color w:val="000000"/>
          <w:shd w:val="clear" w:color="auto" w:fill="FFFFFF"/>
          <w:lang w:val="fr-FR"/>
        </w:rPr>
        <w:t xml:space="preserve"> et</w:t>
      </w:r>
      <w:r w:rsidR="006F30CD" w:rsidRPr="006F30CD">
        <w:rPr>
          <w:color w:val="000000"/>
          <w:shd w:val="clear" w:color="auto" w:fill="FFFFFF"/>
          <w:lang w:val="fr-FR"/>
        </w:rPr>
        <w:t xml:space="preserve"> Mirebalais</w:t>
      </w:r>
      <w:r w:rsidR="006F30CD">
        <w:rPr>
          <w:color w:val="000000"/>
          <w:shd w:val="clear" w:color="auto" w:fill="FFFFFF"/>
          <w:lang w:val="fr-FR"/>
        </w:rPr>
        <w:t xml:space="preserve">. En lien avec ces libérations, le projet a pu distribuer deux mille cinquante (2050) kits d’accompagnement aux détenus libérés. </w:t>
      </w:r>
      <w:r w:rsidR="006D69A1">
        <w:rPr>
          <w:color w:val="000000"/>
          <w:shd w:val="clear" w:color="auto" w:fill="FFFFFF"/>
          <w:lang w:val="fr-FR"/>
        </w:rPr>
        <w:t xml:space="preserve">Une assistance psychologique et sociale a pu être fournie </w:t>
      </w:r>
      <w:r w:rsidR="00BA452C">
        <w:rPr>
          <w:lang w:val="fr-FR"/>
        </w:rPr>
        <w:t>à</w:t>
      </w:r>
      <w:r w:rsidR="00BA452C">
        <w:rPr>
          <w:color w:val="000000"/>
          <w:shd w:val="clear" w:color="auto" w:fill="FFFFFF"/>
          <w:lang w:val="fr-FR"/>
        </w:rPr>
        <w:t xml:space="preserve"> quatre</w:t>
      </w:r>
      <w:r w:rsidR="006D69A1">
        <w:rPr>
          <w:color w:val="000000"/>
          <w:shd w:val="clear" w:color="auto" w:fill="FFFFFF"/>
          <w:lang w:val="fr-FR"/>
        </w:rPr>
        <w:t xml:space="preserve"> cent vingt-quatre (424) personnes dont cinquante-trois (53) femmes.</w:t>
      </w:r>
    </w:p>
    <w:p w14:paraId="20D0A200" w14:textId="77777777" w:rsidR="00117EE7" w:rsidRPr="00EC598A" w:rsidRDefault="00117EE7" w:rsidP="00117EE7">
      <w:pPr>
        <w:ind w:left="-810"/>
        <w:rPr>
          <w:lang w:val="fr-FR"/>
        </w:rPr>
      </w:pPr>
    </w:p>
    <w:p w14:paraId="793C9A94" w14:textId="66F9CDEC" w:rsidR="00F5504F" w:rsidRPr="000960DC" w:rsidRDefault="00476758" w:rsidP="00117EE7">
      <w:pPr>
        <w:ind w:left="-810"/>
        <w:rPr>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1004CF87" w14:textId="77777777" w:rsidR="003D4CD7" w:rsidRPr="005D15A3" w:rsidRDefault="003D4CD7" w:rsidP="0078600B">
      <w:pPr>
        <w:rPr>
          <w:b/>
          <w:u w:val="single"/>
          <w:lang w:val="fr-FR"/>
        </w:rPr>
      </w:pPr>
    </w:p>
    <w:p w14:paraId="1C5C32E8" w14:textId="77777777" w:rsidR="00BB15CF" w:rsidRPr="00D372F8" w:rsidRDefault="005D15A3" w:rsidP="00BB15CF">
      <w:pPr>
        <w:ind w:hanging="2"/>
        <w:rPr>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BB15CF" w:rsidRPr="00D372F8">
        <w:rPr>
          <w:b/>
          <w:color w:val="000000"/>
          <w:lang w:val="fr-FR"/>
        </w:rPr>
        <w:t>les populations vulnérables ont un meilleur accès aux services d’aides juridiques et judiciaires à travers la mise en place du système national d’assistance légale, de cliniques juridiques fixes et mobiles et le renforcement des organisations de la société civile</w:t>
      </w:r>
    </w:p>
    <w:p w14:paraId="239A1CE0" w14:textId="1819AF66" w:rsidR="005D15A3" w:rsidRPr="00615EA3" w:rsidRDefault="005D15A3" w:rsidP="005D15A3">
      <w:pPr>
        <w:ind w:left="-720"/>
        <w:rPr>
          <w:b/>
          <w:lang w:val="fr-FR"/>
        </w:rPr>
      </w:pPr>
    </w:p>
    <w:p w14:paraId="6A528501" w14:textId="77777777" w:rsidR="005D15A3" w:rsidRPr="00615EA3" w:rsidRDefault="005D15A3" w:rsidP="005D15A3">
      <w:pPr>
        <w:ind w:left="-720"/>
        <w:rPr>
          <w:b/>
          <w:lang w:val="fr-FR"/>
        </w:rPr>
      </w:pPr>
    </w:p>
    <w:p w14:paraId="7AC56A13" w14:textId="4B3303E0"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48670A">
        <w:rPr>
          <w:rFonts w:ascii="inherit" w:hAnsi="inherit"/>
          <w:color w:val="212121"/>
          <w:lang w:val="fr-FR"/>
        </w:rPr>
        <w:t>résultat</w:t>
      </w:r>
      <w:r w:rsidR="0048670A" w:rsidRPr="009C39D0">
        <w:rPr>
          <w:rFonts w:ascii="inherit" w:hAnsi="inherit"/>
          <w:color w:val="212121"/>
          <w:lang w:val="fr-FR"/>
        </w:rPr>
        <w:t xml:space="preserve"> :</w:t>
      </w:r>
      <w:r w:rsidRPr="00615EA3">
        <w:rPr>
          <w:b/>
          <w:lang w:val="fr-FR"/>
        </w:rPr>
        <w:t xml:space="preserve"> </w:t>
      </w:r>
      <w:r w:rsidR="005F1C50">
        <w:rPr>
          <w:b/>
          <w:lang w:val="fr-FR"/>
        </w:rPr>
        <w:t>On Track</w:t>
      </w:r>
    </w:p>
    <w:p w14:paraId="02835EA1" w14:textId="77777777" w:rsidR="002E1CED" w:rsidRPr="005D15A3" w:rsidRDefault="002E1CED" w:rsidP="00323ABC">
      <w:pPr>
        <w:ind w:left="-720"/>
        <w:jc w:val="both"/>
        <w:rPr>
          <w:b/>
          <w:lang w:val="fr-FR"/>
        </w:rPr>
      </w:pPr>
    </w:p>
    <w:p w14:paraId="04D2068E" w14:textId="70BF93A3" w:rsidR="005216B2" w:rsidRPr="005D15A3" w:rsidRDefault="0048670A" w:rsidP="005D15A3">
      <w:pPr>
        <w:ind w:left="-720"/>
        <w:jc w:val="both"/>
        <w:rPr>
          <w:i/>
          <w:lang w:val="fr-FR"/>
        </w:rPr>
      </w:pPr>
      <w:r w:rsidRPr="005D15A3">
        <w:rPr>
          <w:b/>
          <w:lang w:val="fr-FR"/>
        </w:rPr>
        <w:t>Résumé</w:t>
      </w:r>
      <w:r w:rsidR="005D15A3"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3235DF" w:rsidRPr="005D15A3">
        <w:rPr>
          <w:b/>
          <w:lang w:val="fr-FR"/>
        </w:rPr>
        <w:t xml:space="preserve"> </w:t>
      </w:r>
      <w:r w:rsidR="005D15A3">
        <w:rPr>
          <w:rFonts w:ascii="inherit" w:hAnsi="inherit"/>
          <w:color w:val="212121"/>
          <w:lang w:val="fr-FR"/>
        </w:rPr>
        <w:t>(Limite de 3000 caractères)</w:t>
      </w:r>
    </w:p>
    <w:p w14:paraId="085234AE"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bookmarkStart w:id="2" w:name="Text38"/>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bookmarkEnd w:id="2"/>
    </w:p>
    <w:p w14:paraId="0D5D9C60" w14:textId="77777777" w:rsidR="00BB15CF" w:rsidRDefault="00BB15CF" w:rsidP="007B62A5">
      <w:pPr>
        <w:jc w:val="both"/>
        <w:rPr>
          <w:lang w:val="fr-FR"/>
        </w:rPr>
      </w:pPr>
    </w:p>
    <w:p w14:paraId="0432E9D4" w14:textId="34748D71" w:rsidR="00C935A1" w:rsidRDefault="00BB15CF" w:rsidP="007B62A5">
      <w:pPr>
        <w:jc w:val="both"/>
        <w:rPr>
          <w:lang w:val="fr-FR"/>
        </w:rPr>
      </w:pPr>
      <w:r>
        <w:rPr>
          <w:lang w:val="fr-FR"/>
        </w:rPr>
        <w:t>Durant la période couverte par ce rapport, les</w:t>
      </w:r>
      <w:r w:rsidR="00EF0929">
        <w:rPr>
          <w:lang w:val="fr-FR"/>
        </w:rPr>
        <w:t xml:space="preserve"> populations vulnérables des zones ciblées par </w:t>
      </w:r>
      <w:r w:rsidR="0048670A">
        <w:rPr>
          <w:lang w:val="fr-FR"/>
        </w:rPr>
        <w:t>l</w:t>
      </w:r>
      <w:r w:rsidR="00EF0929">
        <w:rPr>
          <w:lang w:val="fr-FR"/>
        </w:rPr>
        <w:t>e projet tel que les Cayes, Petit-</w:t>
      </w:r>
      <w:r w:rsidR="00290E94">
        <w:rPr>
          <w:lang w:val="fr-FR"/>
        </w:rPr>
        <w:t>Goâve</w:t>
      </w:r>
      <w:r w:rsidR="00EF0929">
        <w:rPr>
          <w:lang w:val="fr-FR"/>
        </w:rPr>
        <w:t xml:space="preserve"> et Port-au-Prince</w:t>
      </w:r>
      <w:r w:rsidR="0048670A">
        <w:rPr>
          <w:lang w:val="fr-FR"/>
        </w:rPr>
        <w:t>, Mirago</w:t>
      </w:r>
      <w:r w:rsidR="000B1E0B">
        <w:rPr>
          <w:lang w:val="fr-FR"/>
        </w:rPr>
        <w:t>â</w:t>
      </w:r>
      <w:r w:rsidR="0048670A">
        <w:rPr>
          <w:lang w:val="fr-FR"/>
        </w:rPr>
        <w:t xml:space="preserve">ne, </w:t>
      </w:r>
      <w:r w:rsidR="00F32626">
        <w:rPr>
          <w:lang w:val="fr-FR"/>
        </w:rPr>
        <w:t>Gonaïves</w:t>
      </w:r>
      <w:r w:rsidR="0048670A">
        <w:rPr>
          <w:lang w:val="fr-FR"/>
        </w:rPr>
        <w:t xml:space="preserve"> et Port-de-Paix</w:t>
      </w:r>
      <w:r w:rsidR="00EF0929">
        <w:rPr>
          <w:lang w:val="fr-FR"/>
        </w:rPr>
        <w:t xml:space="preserve"> peuvent recourir aux services d’assistance légale fournis par les BALs, les </w:t>
      </w:r>
      <w:r w:rsidR="00C935A1">
        <w:rPr>
          <w:lang w:val="fr-FR"/>
        </w:rPr>
        <w:t>c</w:t>
      </w:r>
      <w:r w:rsidR="00EF0929">
        <w:rPr>
          <w:lang w:val="fr-FR"/>
        </w:rPr>
        <w:t xml:space="preserve">liniques juridiques ainsi que les services offerts par les organismes de la société civile.  A date le projet a pu concrétiser la mise en place et le fonctionnement des services d’assistance </w:t>
      </w:r>
      <w:r w:rsidR="00290E94">
        <w:rPr>
          <w:lang w:val="fr-FR"/>
        </w:rPr>
        <w:t>légale</w:t>
      </w:r>
      <w:r w:rsidR="00EF0929">
        <w:rPr>
          <w:lang w:val="fr-FR"/>
        </w:rPr>
        <w:t xml:space="preserve"> tels que prévu par la loi sur l’assistance légale de 2018. </w:t>
      </w:r>
      <w:r w:rsidR="00DA0D1E">
        <w:rPr>
          <w:lang w:val="fr-FR"/>
        </w:rPr>
        <w:t xml:space="preserve">Le projet a aussi </w:t>
      </w:r>
      <w:r w:rsidR="001207DA">
        <w:rPr>
          <w:lang w:val="fr-FR"/>
        </w:rPr>
        <w:t>renforcé</w:t>
      </w:r>
      <w:r w:rsidR="00DA0D1E">
        <w:rPr>
          <w:lang w:val="fr-FR"/>
        </w:rPr>
        <w:t xml:space="preserve"> les capacités professionnelles des avocats travaillant dans les </w:t>
      </w:r>
      <w:proofErr w:type="spellStart"/>
      <w:r w:rsidR="00DA0D1E">
        <w:rPr>
          <w:lang w:val="fr-FR"/>
        </w:rPr>
        <w:t>BALs</w:t>
      </w:r>
      <w:proofErr w:type="spellEnd"/>
      <w:r w:rsidR="00DA0D1E">
        <w:rPr>
          <w:lang w:val="fr-FR"/>
        </w:rPr>
        <w:t xml:space="preserve">, les cliniques juridiques et les Organismes de la </w:t>
      </w:r>
      <w:r w:rsidR="001207DA">
        <w:rPr>
          <w:lang w:val="fr-FR"/>
        </w:rPr>
        <w:t>société</w:t>
      </w:r>
      <w:r w:rsidR="00DA0D1E">
        <w:rPr>
          <w:lang w:val="fr-FR"/>
        </w:rPr>
        <w:t xml:space="preserve"> civile </w:t>
      </w:r>
      <w:r w:rsidR="001207DA">
        <w:rPr>
          <w:lang w:val="fr-FR"/>
        </w:rPr>
        <w:t>à</w:t>
      </w:r>
      <w:r w:rsidR="00DA0D1E">
        <w:rPr>
          <w:lang w:val="fr-FR"/>
        </w:rPr>
        <w:t xml:space="preserve"> travers 2 sessions de formations en technique de </w:t>
      </w:r>
      <w:r w:rsidR="001207DA">
        <w:rPr>
          <w:lang w:val="fr-FR"/>
        </w:rPr>
        <w:t>médiation</w:t>
      </w:r>
      <w:r w:rsidR="00DA0D1E">
        <w:rPr>
          <w:lang w:val="fr-FR"/>
        </w:rPr>
        <w:t xml:space="preserve"> et gestion de conflits permettant </w:t>
      </w:r>
      <w:proofErr w:type="gramStart"/>
      <w:r w:rsidR="00DA0D1E">
        <w:rPr>
          <w:lang w:val="fr-FR"/>
        </w:rPr>
        <w:t>a</w:t>
      </w:r>
      <w:proofErr w:type="gramEnd"/>
      <w:r w:rsidR="00DA0D1E">
        <w:rPr>
          <w:lang w:val="fr-FR"/>
        </w:rPr>
        <w:t xml:space="preserve"> ces acteurs </w:t>
      </w:r>
      <w:r w:rsidR="001207DA">
        <w:rPr>
          <w:lang w:val="fr-FR"/>
        </w:rPr>
        <w:t>de mieux pratiquer la médiation comme méthode alternative de résolution de conflits. Un nombre total de 45 avocats de ces institutions ont pris part a ces sessions de formation comprenant vingt (20) femmes</w:t>
      </w:r>
    </w:p>
    <w:p w14:paraId="4E378F62" w14:textId="77777777" w:rsidR="00C935A1" w:rsidRDefault="00C935A1" w:rsidP="007B62A5">
      <w:pPr>
        <w:jc w:val="both"/>
        <w:rPr>
          <w:lang w:val="fr-FR"/>
        </w:rPr>
      </w:pPr>
    </w:p>
    <w:p w14:paraId="630F1BAC" w14:textId="77777777" w:rsidR="008A604E" w:rsidRDefault="00EF0929" w:rsidP="007B62A5">
      <w:pPr>
        <w:jc w:val="both"/>
        <w:rPr>
          <w:lang w:val="fr-FR"/>
        </w:rPr>
      </w:pPr>
      <w:r>
        <w:rPr>
          <w:lang w:val="fr-FR"/>
        </w:rPr>
        <w:t xml:space="preserve">Le Conseil National d’Assistance </w:t>
      </w:r>
      <w:r w:rsidR="00290E94">
        <w:rPr>
          <w:lang w:val="fr-FR"/>
        </w:rPr>
        <w:t>Légale</w:t>
      </w:r>
      <w:r w:rsidR="00C935A1">
        <w:rPr>
          <w:lang w:val="fr-FR"/>
        </w:rPr>
        <w:t xml:space="preserve"> est légalement constitué et</w:t>
      </w:r>
      <w:r>
        <w:rPr>
          <w:lang w:val="fr-FR"/>
        </w:rPr>
        <w:t xml:space="preserve"> fonctionne</w:t>
      </w:r>
      <w:r w:rsidR="00966B1A">
        <w:rPr>
          <w:lang w:val="fr-FR"/>
        </w:rPr>
        <w:t xml:space="preserve"> à travers ses différentes directions techniques</w:t>
      </w:r>
      <w:r w:rsidR="00C935A1">
        <w:rPr>
          <w:lang w:val="fr-FR"/>
        </w:rPr>
        <w:t>. Le CNAL est</w:t>
      </w:r>
      <w:r w:rsidR="00966B1A">
        <w:rPr>
          <w:lang w:val="fr-FR"/>
        </w:rPr>
        <w:t xml:space="preserve"> convenablement outill</w:t>
      </w:r>
      <w:r w:rsidR="00656E74">
        <w:rPr>
          <w:lang w:val="fr-FR"/>
        </w:rPr>
        <w:t>é</w:t>
      </w:r>
      <w:r w:rsidR="00966B1A">
        <w:rPr>
          <w:lang w:val="fr-FR"/>
        </w:rPr>
        <w:t xml:space="preserve"> en matière de gestion et </w:t>
      </w:r>
      <w:r w:rsidR="00656E74">
        <w:rPr>
          <w:lang w:val="fr-FR"/>
        </w:rPr>
        <w:t>sur le plan technique</w:t>
      </w:r>
      <w:r w:rsidR="00C935A1">
        <w:rPr>
          <w:lang w:val="fr-FR"/>
        </w:rPr>
        <w:t xml:space="preserve"> grâce au support technique et financier du Projet</w:t>
      </w:r>
      <w:r w:rsidR="00966B1A">
        <w:rPr>
          <w:lang w:val="fr-FR"/>
        </w:rPr>
        <w:t>. La direction générale du CNAL dispose de moyens logistiques adéquats pour effectuer la supervision et la coordination des services offerts par les bureaux d’assistance légale</w:t>
      </w:r>
      <w:r w:rsidR="0048670A">
        <w:rPr>
          <w:lang w:val="fr-FR"/>
        </w:rPr>
        <w:t xml:space="preserve"> </w:t>
      </w:r>
      <w:r w:rsidR="00C57E94">
        <w:rPr>
          <w:lang w:val="fr-FR"/>
        </w:rPr>
        <w:t>à</w:t>
      </w:r>
      <w:r w:rsidR="0048670A">
        <w:rPr>
          <w:lang w:val="fr-FR"/>
        </w:rPr>
        <w:t xml:space="preserve"> travers les zones précédemment citées</w:t>
      </w:r>
      <w:r w:rsidR="00966B1A">
        <w:rPr>
          <w:lang w:val="fr-FR"/>
        </w:rPr>
        <w:t xml:space="preserve">. Un appui logistique important a été fourni par le projet au CNAL comprenant deux (2) véhicules, des équipements et matériels de bureau, des équipements énergétiques permettant le plein fonctionnement de l’institution. </w:t>
      </w:r>
    </w:p>
    <w:p w14:paraId="494D3690" w14:textId="77777777" w:rsidR="008A604E" w:rsidRDefault="008A604E" w:rsidP="007B62A5">
      <w:pPr>
        <w:jc w:val="both"/>
        <w:rPr>
          <w:lang w:val="fr-FR"/>
        </w:rPr>
      </w:pPr>
    </w:p>
    <w:p w14:paraId="21578ED5" w14:textId="3BF5EDFA" w:rsidR="007B62A5" w:rsidRDefault="00966B1A" w:rsidP="007B62A5">
      <w:pPr>
        <w:jc w:val="both"/>
        <w:rPr>
          <w:lang w:val="fr-FR"/>
        </w:rPr>
      </w:pPr>
      <w:r>
        <w:rPr>
          <w:lang w:val="fr-FR"/>
        </w:rPr>
        <w:t xml:space="preserve">Des équipements et matériels de bureau ont aussi été offerts aux différents BALs prévus par le projet y compris des équipements énergétiques permettant aussi leur plein fonctionnement. </w:t>
      </w:r>
      <w:r w:rsidR="0048670A">
        <w:rPr>
          <w:lang w:val="fr-FR"/>
        </w:rPr>
        <w:t xml:space="preserve">A date, le CNAL dispose d’une base de </w:t>
      </w:r>
      <w:r w:rsidR="00F32626">
        <w:rPr>
          <w:lang w:val="fr-FR"/>
        </w:rPr>
        <w:t>données</w:t>
      </w:r>
      <w:r w:rsidR="0048670A">
        <w:rPr>
          <w:lang w:val="fr-FR"/>
        </w:rPr>
        <w:t xml:space="preserve"> </w:t>
      </w:r>
      <w:r w:rsidR="00F32626">
        <w:rPr>
          <w:lang w:val="fr-FR"/>
        </w:rPr>
        <w:t>développée</w:t>
      </w:r>
      <w:r w:rsidR="0048670A">
        <w:rPr>
          <w:lang w:val="fr-FR"/>
        </w:rPr>
        <w:t xml:space="preserve"> par le </w:t>
      </w:r>
      <w:r w:rsidR="008A604E">
        <w:rPr>
          <w:lang w:val="fr-FR"/>
        </w:rPr>
        <w:t>P</w:t>
      </w:r>
      <w:r w:rsidR="0048670A">
        <w:rPr>
          <w:lang w:val="fr-FR"/>
        </w:rPr>
        <w:t xml:space="preserve">rojet lui permettant de collecter </w:t>
      </w:r>
      <w:r w:rsidR="00F32626">
        <w:rPr>
          <w:lang w:val="fr-FR"/>
        </w:rPr>
        <w:t xml:space="preserve">les données pertinentes relatives aux services d’assistance légale fournis par les </w:t>
      </w:r>
      <w:r w:rsidR="00F32626">
        <w:rPr>
          <w:lang w:val="fr-FR"/>
        </w:rPr>
        <w:lastRenderedPageBreak/>
        <w:t>BALs.</w:t>
      </w:r>
      <w:r w:rsidR="007B62A5">
        <w:rPr>
          <w:lang w:val="fr-FR"/>
        </w:rPr>
        <w:t xml:space="preserve"> </w:t>
      </w:r>
      <w:r w:rsidR="007B62AB">
        <w:rPr>
          <w:lang w:val="fr-FR"/>
        </w:rPr>
        <w:t xml:space="preserve"> Tel que prévu par le projet accès à la justice, les BALs, les cliniques juridiques ainsi que les organismes de la société civile qui ont bénéficié de l’appui financier du projet dispose</w:t>
      </w:r>
      <w:r w:rsidR="008A604E">
        <w:rPr>
          <w:lang w:val="fr-FR"/>
        </w:rPr>
        <w:t>nt</w:t>
      </w:r>
      <w:r w:rsidR="007B62AB">
        <w:rPr>
          <w:lang w:val="fr-FR"/>
        </w:rPr>
        <w:t xml:space="preserve"> de compétences sociales leur permettant d</w:t>
      </w:r>
      <w:r w:rsidR="00946E1F">
        <w:rPr>
          <w:lang w:val="fr-FR"/>
        </w:rPr>
        <w:t xml:space="preserve">’effectuer valablement leur travail. </w:t>
      </w:r>
      <w:r w:rsidR="00062B81">
        <w:rPr>
          <w:lang w:val="fr-FR"/>
        </w:rPr>
        <w:t xml:space="preserve">Le personnel du CNAL, les avocats des BALs, les avocats des cliniques juridiques ainsi que les avocats travaillant dans les OSCs ont pris part au cours du 25 au 29 avril 2022 a une importante session de formation sur les Techniques de médiation et gestion des conflits dont l’objectif majeur était de renforcer leurs </w:t>
      </w:r>
      <w:r w:rsidR="004766AC">
        <w:rPr>
          <w:lang w:val="fr-FR"/>
        </w:rPr>
        <w:t>capacités techniques</w:t>
      </w:r>
      <w:r w:rsidR="00062B81">
        <w:rPr>
          <w:lang w:val="fr-FR"/>
        </w:rPr>
        <w:t xml:space="preserve"> dans ce domaine et aussi harmoniser leur pratique.</w:t>
      </w:r>
      <w:r w:rsidR="008A604E">
        <w:rPr>
          <w:lang w:val="fr-FR"/>
        </w:rPr>
        <w:t xml:space="preserve"> Le renforcement des capacités des organismes de la société civile, prestataires de services d’assistance légale a été réalisé grâce au support technique et financier du Projet. </w:t>
      </w:r>
    </w:p>
    <w:p w14:paraId="64B75D4B" w14:textId="7A69A271" w:rsidR="009E0C33" w:rsidRDefault="009E0C33" w:rsidP="007B62A5">
      <w:pPr>
        <w:jc w:val="both"/>
        <w:rPr>
          <w:lang w:val="fr-FR"/>
        </w:rPr>
      </w:pPr>
    </w:p>
    <w:p w14:paraId="09E9643A" w14:textId="243F9937" w:rsidR="008356B0" w:rsidRPr="006D7126" w:rsidRDefault="008356B0" w:rsidP="008356B0">
      <w:pPr>
        <w:jc w:val="both"/>
        <w:rPr>
          <w:b/>
          <w:bCs/>
          <w:sz w:val="18"/>
          <w:szCs w:val="18"/>
          <w:lang w:val="fr-FR"/>
        </w:rPr>
      </w:pPr>
      <w:r w:rsidRPr="006D7126">
        <w:rPr>
          <w:rFonts w:eastAsia="MS Mincho"/>
          <w:position w:val="-1"/>
          <w:lang w:val="fr-FR"/>
        </w:rPr>
        <w:t xml:space="preserve">En collaboration avec IMED, le projet a fourni une assistance légale </w:t>
      </w:r>
      <w:r w:rsidR="001A594C" w:rsidRPr="006D7126">
        <w:rPr>
          <w:rFonts w:eastAsia="MS Mincho"/>
          <w:position w:val="-1"/>
          <w:lang w:val="fr-FR"/>
        </w:rPr>
        <w:t xml:space="preserve">à </w:t>
      </w:r>
      <w:r w:rsidRPr="006D7126">
        <w:rPr>
          <w:lang w:val="fr-FR"/>
        </w:rPr>
        <w:t xml:space="preserve">254 femmes en détention préventive prolongée (DPP) </w:t>
      </w:r>
      <w:r w:rsidR="001A594C" w:rsidRPr="006D7126">
        <w:rPr>
          <w:lang w:val="fr-FR"/>
        </w:rPr>
        <w:t>dont</w:t>
      </w:r>
      <w:r w:rsidRPr="006D7126">
        <w:rPr>
          <w:lang w:val="fr-FR"/>
        </w:rPr>
        <w:t xml:space="preserve"> 38 libérées.</w:t>
      </w:r>
      <w:r w:rsidR="001A594C" w:rsidRPr="006D7126">
        <w:rPr>
          <w:lang w:val="fr-FR"/>
        </w:rPr>
        <w:t xml:space="preserve"> U</w:t>
      </w:r>
      <w:r w:rsidRPr="006D7126">
        <w:rPr>
          <w:lang w:val="fr-FR"/>
        </w:rPr>
        <w:t xml:space="preserve">n appui psychosocial </w:t>
      </w:r>
      <w:r w:rsidR="001A594C" w:rsidRPr="006D7126">
        <w:rPr>
          <w:lang w:val="fr-FR"/>
        </w:rPr>
        <w:t>est</w:t>
      </w:r>
      <w:r w:rsidRPr="006D7126">
        <w:rPr>
          <w:lang w:val="fr-FR"/>
        </w:rPr>
        <w:t xml:space="preserve"> fourni à ces 38 femmes libérées</w:t>
      </w:r>
      <w:r w:rsidR="001A594C" w:rsidRPr="006D7126">
        <w:rPr>
          <w:lang w:val="fr-FR"/>
        </w:rPr>
        <w:t xml:space="preserve"> par l’organisation PESADEV</w:t>
      </w:r>
      <w:r w:rsidRPr="006D7126">
        <w:rPr>
          <w:lang w:val="fr-FR"/>
        </w:rPr>
        <w:t xml:space="preserve"> et 15 d’entre elles ont déjà reçu un support financier pour le développement d’activités génératrice de revenue. L’activité est encore en cours et dans moins d’un mois toutes les femmes auront reçu l’appui financier. Pour faciliter leur réintégration sociale, un accord est entamé avec l’association 4 Chemins qui va accompagner les femmes à renforcer leur estime à travers des performances artistiques telles la danse et le théâtre</w:t>
      </w:r>
      <w:r w:rsidRPr="006D7126">
        <w:rPr>
          <w:sz w:val="18"/>
          <w:szCs w:val="18"/>
          <w:lang w:val="fr-FR"/>
        </w:rPr>
        <w:t>.</w:t>
      </w:r>
      <w:r w:rsidRPr="006D7126">
        <w:rPr>
          <w:b/>
          <w:bCs/>
          <w:sz w:val="18"/>
          <w:szCs w:val="18"/>
          <w:lang w:val="fr-FR"/>
        </w:rPr>
        <w:t xml:space="preserve"> </w:t>
      </w:r>
    </w:p>
    <w:p w14:paraId="36E59272" w14:textId="77777777" w:rsidR="00320F57" w:rsidRPr="006D7126" w:rsidRDefault="00320F57" w:rsidP="008356B0">
      <w:pPr>
        <w:jc w:val="both"/>
        <w:rPr>
          <w:sz w:val="18"/>
          <w:szCs w:val="18"/>
          <w:lang w:val="fr-FR"/>
        </w:rPr>
      </w:pPr>
    </w:p>
    <w:p w14:paraId="12CCB491" w14:textId="3331778E" w:rsidR="009E0C33" w:rsidRPr="006D7126" w:rsidRDefault="009E0C33" w:rsidP="00320F57">
      <w:pPr>
        <w:suppressAutoHyphens/>
        <w:spacing w:line="1" w:lineRule="atLeast"/>
        <w:jc w:val="both"/>
        <w:textDirection w:val="btLr"/>
        <w:textAlignment w:val="top"/>
        <w:outlineLvl w:val="0"/>
        <w:rPr>
          <w:rFonts w:eastAsia="MS Mincho"/>
          <w:position w:val="-1"/>
          <w:lang w:val="fr-FR"/>
        </w:rPr>
      </w:pPr>
      <w:r w:rsidRPr="006D7126">
        <w:rPr>
          <w:rFonts w:eastAsia="MS Mincho"/>
          <w:position w:val="-1"/>
          <w:lang w:val="fr-FR"/>
        </w:rPr>
        <w:t xml:space="preserve">Justice de genre dans le code pénal et le code de procédures pénales : </w:t>
      </w:r>
      <w:r w:rsidR="00AE6F1C" w:rsidRPr="006D7126">
        <w:rPr>
          <w:rFonts w:eastAsia="MS Mincho"/>
          <w:position w:val="-1"/>
          <w:lang w:val="fr-FR"/>
        </w:rPr>
        <w:t>Le projet a soutenu des professionnels de droit pour la réalisation d’u</w:t>
      </w:r>
      <w:r w:rsidR="00320F57" w:rsidRPr="006D7126">
        <w:rPr>
          <w:rFonts w:eastAsia="MS Mincho"/>
          <w:position w:val="-1"/>
          <w:lang w:val="fr-FR"/>
        </w:rPr>
        <w:t xml:space="preserve">ne étude </w:t>
      </w:r>
      <w:r w:rsidRPr="006D7126">
        <w:rPr>
          <w:rFonts w:eastAsia="MS Mincho"/>
          <w:position w:val="-1"/>
          <w:lang w:val="fr-FR"/>
        </w:rPr>
        <w:t xml:space="preserve">portant sur l’identification des variables liées au genre dans le code pénal et le nouveau code de procédures pénales. </w:t>
      </w:r>
      <w:r w:rsidR="00C94158" w:rsidRPr="006D7126">
        <w:rPr>
          <w:rFonts w:eastAsia="MS Mincho"/>
          <w:position w:val="-1"/>
          <w:lang w:val="fr-FR"/>
        </w:rPr>
        <w:t>L’</w:t>
      </w:r>
      <w:r w:rsidR="00501DEA" w:rsidRPr="006D7126">
        <w:rPr>
          <w:rFonts w:eastAsia="MS Mincho"/>
          <w:position w:val="-1"/>
          <w:lang w:val="fr-FR"/>
        </w:rPr>
        <w:t>é</w:t>
      </w:r>
      <w:r w:rsidR="00C94158" w:rsidRPr="006D7126">
        <w:rPr>
          <w:rFonts w:eastAsia="MS Mincho"/>
          <w:position w:val="-1"/>
          <w:lang w:val="fr-FR"/>
        </w:rPr>
        <w:t>tude est réalisée et le rapport</w:t>
      </w:r>
      <w:r w:rsidR="002F64C0" w:rsidRPr="006D7126">
        <w:rPr>
          <w:rFonts w:eastAsia="MS Mincho"/>
          <w:position w:val="-1"/>
          <w:lang w:val="fr-FR"/>
        </w:rPr>
        <w:t xml:space="preserve"> est développé</w:t>
      </w:r>
      <w:r w:rsidR="00C94158" w:rsidRPr="006D7126">
        <w:rPr>
          <w:rFonts w:eastAsia="MS Mincho"/>
          <w:position w:val="-1"/>
          <w:lang w:val="fr-FR"/>
        </w:rPr>
        <w:t>.</w:t>
      </w:r>
      <w:r w:rsidR="00800836" w:rsidRPr="006D7126">
        <w:rPr>
          <w:rFonts w:eastAsia="MS Mincho"/>
          <w:position w:val="-1"/>
          <w:lang w:val="fr-FR"/>
        </w:rPr>
        <w:t xml:space="preserve"> Des travaux de graphisme sont </w:t>
      </w:r>
      <w:r w:rsidR="002F64C0" w:rsidRPr="006D7126">
        <w:rPr>
          <w:rFonts w:eastAsia="MS Mincho"/>
          <w:position w:val="-1"/>
          <w:lang w:val="fr-FR"/>
        </w:rPr>
        <w:t>en cours</w:t>
      </w:r>
      <w:r w:rsidR="00800836" w:rsidRPr="006D7126">
        <w:rPr>
          <w:rFonts w:eastAsia="MS Mincho"/>
          <w:position w:val="-1"/>
          <w:lang w:val="fr-FR"/>
        </w:rPr>
        <w:t xml:space="preserve"> afin </w:t>
      </w:r>
      <w:r w:rsidR="00501DEA" w:rsidRPr="006D7126">
        <w:rPr>
          <w:rFonts w:eastAsia="MS Mincho"/>
          <w:position w:val="-1"/>
          <w:lang w:val="fr-FR"/>
        </w:rPr>
        <w:t xml:space="preserve">de pouvoir </w:t>
      </w:r>
      <w:r w:rsidR="002F64C0" w:rsidRPr="006D7126">
        <w:rPr>
          <w:rFonts w:eastAsia="MS Mincho"/>
          <w:position w:val="-1"/>
          <w:lang w:val="fr-FR"/>
        </w:rPr>
        <w:t xml:space="preserve">finaliser et </w:t>
      </w:r>
      <w:r w:rsidR="00501DEA" w:rsidRPr="006D7126">
        <w:rPr>
          <w:rFonts w:eastAsia="MS Mincho"/>
          <w:position w:val="-1"/>
          <w:lang w:val="fr-FR"/>
        </w:rPr>
        <w:t>publier le rapport</w:t>
      </w:r>
      <w:r w:rsidRPr="006D7126">
        <w:rPr>
          <w:rFonts w:eastAsia="MS Mincho"/>
          <w:position w:val="-1"/>
          <w:lang w:val="fr-FR"/>
        </w:rPr>
        <w:t xml:space="preserve"> </w:t>
      </w:r>
    </w:p>
    <w:p w14:paraId="141E494B" w14:textId="68EE7C03" w:rsidR="00180A7F" w:rsidRDefault="00180A7F" w:rsidP="00320F57">
      <w:pPr>
        <w:suppressAutoHyphens/>
        <w:spacing w:line="1" w:lineRule="atLeast"/>
        <w:jc w:val="both"/>
        <w:textDirection w:val="btLr"/>
        <w:textAlignment w:val="top"/>
        <w:outlineLvl w:val="0"/>
        <w:rPr>
          <w:rFonts w:eastAsia="MS Mincho"/>
          <w:color w:val="0070C0"/>
          <w:position w:val="-1"/>
          <w:lang w:val="fr-FR"/>
        </w:rPr>
      </w:pPr>
    </w:p>
    <w:p w14:paraId="2DCD0690" w14:textId="77777777" w:rsidR="006C34B7" w:rsidRDefault="00180A7F" w:rsidP="00180A7F">
      <w:pPr>
        <w:jc w:val="both"/>
        <w:rPr>
          <w:color w:val="201F1E"/>
          <w:lang w:val="fr-FR"/>
        </w:rPr>
      </w:pPr>
      <w:r>
        <w:rPr>
          <w:color w:val="201F1E"/>
          <w:lang w:val="fr-FR"/>
        </w:rPr>
        <w:t xml:space="preserve">En lien avec la protection des enfants, </w:t>
      </w:r>
      <w:r w:rsidRPr="005427F8">
        <w:rPr>
          <w:color w:val="201F1E"/>
          <w:lang w:val="fr-FR"/>
        </w:rPr>
        <w:t>94 avocats ont reçu plus de 25 heures de formation sur les thématiques indiquées dans les modules en partenariat avec l’Ecole de la Magistrature, les consultants internes et les juges pour enfants des juridictions des Cayes, de Port-au-Prince et du Cap haïtien. Une autre session de formation spécifique a été organisée sur la justice des mineurs à l’intention</w:t>
      </w:r>
      <w:r w:rsidR="009B65D1">
        <w:rPr>
          <w:color w:val="201F1E"/>
          <w:lang w:val="fr-FR"/>
        </w:rPr>
        <w:t xml:space="preserve"> de 71 personnes dont</w:t>
      </w:r>
      <w:r w:rsidRPr="005427F8">
        <w:rPr>
          <w:color w:val="201F1E"/>
          <w:lang w:val="fr-FR"/>
        </w:rPr>
        <w:t xml:space="preserve"> des Juges de paix, les Policiers de la Brigade de Protection des Mineurs, les Substituts du Commissaire du Gouvernement et les Travailleurs sociaux de l’IBESR. </w:t>
      </w:r>
      <w:r w:rsidR="00AA518F">
        <w:rPr>
          <w:color w:val="201F1E"/>
          <w:lang w:val="fr-FR"/>
        </w:rPr>
        <w:t>Cette formation a permis d’une part de maitriser la législation et la pro</w:t>
      </w:r>
      <w:r w:rsidR="003844AC">
        <w:rPr>
          <w:color w:val="201F1E"/>
          <w:lang w:val="fr-FR"/>
        </w:rPr>
        <w:t xml:space="preserve">cédure applicable aux mineurs en conflit avec la loi et de définir </w:t>
      </w:r>
      <w:r w:rsidR="00E17ED1">
        <w:rPr>
          <w:color w:val="201F1E"/>
          <w:lang w:val="fr-FR"/>
        </w:rPr>
        <w:t>les rôles et responsabilité</w:t>
      </w:r>
      <w:r w:rsidR="00B7406F">
        <w:rPr>
          <w:color w:val="201F1E"/>
          <w:lang w:val="fr-FR"/>
        </w:rPr>
        <w:t>s et compétences de chaque</w:t>
      </w:r>
      <w:r w:rsidR="00083743">
        <w:rPr>
          <w:color w:val="201F1E"/>
          <w:lang w:val="fr-FR"/>
        </w:rPr>
        <w:t xml:space="preserve"> acteur dans toutes les phases de la procédure</w:t>
      </w:r>
      <w:r w:rsidR="00593A66">
        <w:rPr>
          <w:color w:val="201F1E"/>
          <w:lang w:val="fr-FR"/>
        </w:rPr>
        <w:t xml:space="preserve"> jusqu’à la réinsertion du mineur d’autre part. </w:t>
      </w:r>
    </w:p>
    <w:p w14:paraId="5E8A2A46" w14:textId="77777777" w:rsidR="006C34B7" w:rsidRDefault="006C34B7" w:rsidP="00180A7F">
      <w:pPr>
        <w:jc w:val="both"/>
        <w:rPr>
          <w:color w:val="201F1E"/>
          <w:lang w:val="fr-FR"/>
        </w:rPr>
      </w:pPr>
    </w:p>
    <w:p w14:paraId="671A4EF1" w14:textId="2D819050" w:rsidR="00180A7F" w:rsidRPr="005427F8" w:rsidRDefault="00593A66" w:rsidP="00180A7F">
      <w:pPr>
        <w:jc w:val="both"/>
        <w:rPr>
          <w:i/>
          <w:lang w:val="fr-FR"/>
        </w:rPr>
      </w:pPr>
      <w:r>
        <w:rPr>
          <w:color w:val="201F1E"/>
          <w:lang w:val="fr-FR"/>
        </w:rPr>
        <w:t>Ce qui a facilité un meilleur traitement des dossiers des mineurs arrêtés par la police</w:t>
      </w:r>
      <w:r w:rsidR="000E3D4F">
        <w:rPr>
          <w:color w:val="201F1E"/>
          <w:lang w:val="fr-FR"/>
        </w:rPr>
        <w:t>, un suivi célère des cas par les autorités judiciaires et une gestion de qualité du processus post carcéral et réinsertion</w:t>
      </w:r>
      <w:r w:rsidR="001312E7">
        <w:rPr>
          <w:color w:val="201F1E"/>
          <w:lang w:val="fr-FR"/>
        </w:rPr>
        <w:t xml:space="preserve"> des mineurs libérés. </w:t>
      </w:r>
      <w:r w:rsidR="00180A7F" w:rsidRPr="005427F8">
        <w:rPr>
          <w:color w:val="201F1E"/>
          <w:lang w:val="fr-FR"/>
        </w:rPr>
        <w:t xml:space="preserve">Les modules de formation ont été conçus sur la protection de l’enfant, la législation nationale et internationale applicable aux mineurs auteurs d’infractions à la loi pénale, les alternatives fort de son intimidation la procédure prévue dans toutes les phases (de l’arrestation, du jugement à la réinsertion du mineur).Le développement d’un système de collecte et de gestion de l’information a été mis en place dans les tribunaux pour enfant et 35 membres du personnel judiciaires (Magistrats et Greffiers) formés à l’utilisation et la gestion de la base de données sur les mineurs en conflit avec la loi. </w:t>
      </w:r>
      <w:r w:rsidR="006C34B7">
        <w:rPr>
          <w:color w:val="201F1E"/>
          <w:lang w:val="fr-FR"/>
        </w:rPr>
        <w:t xml:space="preserve"> </w:t>
      </w:r>
      <w:r w:rsidR="00180A7F" w:rsidRPr="005427F8">
        <w:rPr>
          <w:color w:val="201F1E"/>
          <w:lang w:val="fr-FR"/>
        </w:rPr>
        <w:t xml:space="preserve">Il s’agit d’un outil important qui permet aux acteurs d’agir sur la base de l’évidence et dans les délais. </w:t>
      </w:r>
      <w:bookmarkStart w:id="3" w:name="bookmark=id.3znysh7" w:colFirst="0" w:colLast="0"/>
      <w:bookmarkEnd w:id="3"/>
      <w:r w:rsidR="00180A7F" w:rsidRPr="005427F8">
        <w:rPr>
          <w:color w:val="201F1E"/>
          <w:lang w:val="fr-FR"/>
        </w:rPr>
        <w:t xml:space="preserve">Les bases de données sont opérationnelles mais un plan d’approvisionnement et de formation continue est en cours finalisation. </w:t>
      </w:r>
    </w:p>
    <w:p w14:paraId="20188105" w14:textId="77777777" w:rsidR="00180A7F" w:rsidRPr="009E0C33" w:rsidRDefault="00180A7F" w:rsidP="00320F57">
      <w:pPr>
        <w:suppressAutoHyphens/>
        <w:spacing w:line="1" w:lineRule="atLeast"/>
        <w:jc w:val="both"/>
        <w:textDirection w:val="btLr"/>
        <w:textAlignment w:val="top"/>
        <w:outlineLvl w:val="0"/>
        <w:rPr>
          <w:rFonts w:eastAsia="MS Mincho"/>
          <w:color w:val="0070C0"/>
          <w:position w:val="-1"/>
          <w:lang w:val="fr-FR"/>
        </w:rPr>
      </w:pPr>
    </w:p>
    <w:p w14:paraId="4189C0C9" w14:textId="77777777" w:rsidR="009E0C33" w:rsidRDefault="009E0C33" w:rsidP="007B62A5">
      <w:pPr>
        <w:jc w:val="both"/>
        <w:rPr>
          <w:lang w:val="fr-FR"/>
        </w:rPr>
      </w:pPr>
    </w:p>
    <w:p w14:paraId="54BBBF6E" w14:textId="77777777" w:rsidR="00627A1C" w:rsidRPr="007B62A5" w:rsidRDefault="00627A1C" w:rsidP="00627A1C">
      <w:pPr>
        <w:ind w:left="-720"/>
        <w:rPr>
          <w:b/>
          <w:lang w:val="fr-FR"/>
        </w:rPr>
      </w:pPr>
    </w:p>
    <w:p w14:paraId="41ABD3CD" w14:textId="74606A2B"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C07322" w:rsidRPr="005D15A3">
        <w:rPr>
          <w:b/>
          <w:bCs/>
          <w:color w:val="000000"/>
          <w:lang w:val="fr-FR" w:eastAsia="en-US"/>
        </w:rPr>
        <w:t>résultat</w:t>
      </w:r>
      <w:r w:rsidR="00C07322"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7E9478C" w14:textId="77777777" w:rsidR="00161D02" w:rsidRPr="00627A1C" w:rsidRDefault="00161D02" w:rsidP="00161D02">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B6AAB29" w14:textId="77777777" w:rsidR="00323ABC" w:rsidRPr="00627A1C" w:rsidRDefault="00323ABC" w:rsidP="007E4FA1">
      <w:pPr>
        <w:rPr>
          <w:b/>
        </w:rPr>
      </w:pPr>
    </w:p>
    <w:p w14:paraId="563533E9" w14:textId="72EC4903"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00BB15CF" w:rsidRPr="00D372F8">
        <w:rPr>
          <w:b/>
          <w:color w:val="000000"/>
          <w:lang w:val="fr-FR"/>
        </w:rPr>
        <w:t>La réduction du flux entrant de dossiers et le désengorgement du système judiciaire de la justice, associés à une capacité accrue des titulaires de droits à faire valoir leurs droits</w:t>
      </w:r>
    </w:p>
    <w:p w14:paraId="521560B0" w14:textId="77777777" w:rsidR="00675507" w:rsidRPr="00615EA3" w:rsidRDefault="00675507" w:rsidP="00675507">
      <w:pPr>
        <w:ind w:left="-720"/>
        <w:rPr>
          <w:b/>
          <w:lang w:val="fr-FR"/>
        </w:rPr>
      </w:pPr>
    </w:p>
    <w:p w14:paraId="192B211F" w14:textId="64A9CDC4"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59333D">
        <w:rPr>
          <w:rFonts w:ascii="inherit" w:hAnsi="inherit"/>
          <w:color w:val="212121"/>
          <w:lang w:val="fr-FR"/>
        </w:rPr>
        <w:t>résultat</w:t>
      </w:r>
      <w:r w:rsidR="0059333D" w:rsidRPr="009C39D0">
        <w:rPr>
          <w:rFonts w:ascii="inherit" w:hAnsi="inherit"/>
          <w:color w:val="212121"/>
          <w:lang w:val="fr-FR"/>
        </w:rPr>
        <w:t xml:space="preserve"> :</w:t>
      </w:r>
      <w:r w:rsidRPr="00615EA3">
        <w:rPr>
          <w:b/>
          <w:lang w:val="fr-FR"/>
        </w:rPr>
        <w:t xml:space="preserve"> </w:t>
      </w:r>
      <w:r w:rsidR="005F1C50">
        <w:rPr>
          <w:b/>
          <w:lang w:val="fr-FR"/>
        </w:rPr>
        <w:t>On Track</w:t>
      </w:r>
    </w:p>
    <w:p w14:paraId="26A26C4B" w14:textId="77777777" w:rsidR="00675507" w:rsidRPr="005D15A3" w:rsidRDefault="00675507" w:rsidP="00675507">
      <w:pPr>
        <w:ind w:left="-720"/>
        <w:jc w:val="both"/>
        <w:rPr>
          <w:b/>
          <w:lang w:val="fr-FR"/>
        </w:rPr>
      </w:pPr>
    </w:p>
    <w:p w14:paraId="40213E68" w14:textId="5087FFF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0059333D" w:rsidRPr="005D15A3">
        <w:rPr>
          <w:rFonts w:ascii="inherit" w:hAnsi="inherit"/>
          <w:b/>
          <w:bCs/>
          <w:color w:val="212121"/>
          <w:lang w:val="fr-FR"/>
        </w:rPr>
        <w:t>progrès</w:t>
      </w:r>
      <w:r w:rsidR="0059333D" w:rsidRPr="005D15A3">
        <w:rPr>
          <w:b/>
          <w:lang w:val="fr-FR"/>
        </w:rPr>
        <w:t xml:space="preserve"> :</w:t>
      </w:r>
      <w:r w:rsidRPr="005D15A3">
        <w:rPr>
          <w:b/>
          <w:lang w:val="fr-FR"/>
        </w:rPr>
        <w:t xml:space="preserve"> </w:t>
      </w:r>
      <w:r>
        <w:rPr>
          <w:rFonts w:ascii="inherit" w:hAnsi="inherit"/>
          <w:color w:val="212121"/>
          <w:lang w:val="fr-FR"/>
        </w:rPr>
        <w:t>(Limite de 3000 caractères)</w:t>
      </w:r>
    </w:p>
    <w:p w14:paraId="51D5DD53" w14:textId="352251B1" w:rsidR="00675507" w:rsidRPr="008C150B" w:rsidRDefault="00675507" w:rsidP="008C150B">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AC49679" w14:textId="77777777" w:rsidR="000117F7" w:rsidRDefault="0059333D" w:rsidP="003D5F00">
      <w:pPr>
        <w:pBdr>
          <w:top w:val="nil"/>
          <w:left w:val="nil"/>
          <w:bottom w:val="nil"/>
          <w:right w:val="nil"/>
          <w:between w:val="nil"/>
          <w:bar w:val="nil"/>
        </w:pBdr>
        <w:jc w:val="both"/>
        <w:rPr>
          <w:lang w:val="fr-FR"/>
        </w:rPr>
      </w:pPr>
      <w:r w:rsidRPr="003D5F00">
        <w:rPr>
          <w:lang w:val="fr-FR"/>
        </w:rPr>
        <w:t xml:space="preserve">Sur la réduction du flux entrant, le </w:t>
      </w:r>
      <w:r w:rsidR="000117F7">
        <w:rPr>
          <w:lang w:val="fr-FR"/>
        </w:rPr>
        <w:t>P</w:t>
      </w:r>
      <w:r w:rsidRPr="003D5F00">
        <w:rPr>
          <w:lang w:val="fr-FR"/>
        </w:rPr>
        <w:t xml:space="preserve">rojet </w:t>
      </w:r>
      <w:r w:rsidR="000117F7">
        <w:rPr>
          <w:lang w:val="fr-FR"/>
        </w:rPr>
        <w:t>A</w:t>
      </w:r>
      <w:r w:rsidRPr="003D5F00">
        <w:rPr>
          <w:lang w:val="fr-FR"/>
        </w:rPr>
        <w:t xml:space="preserve">ccès </w:t>
      </w:r>
      <w:r w:rsidR="00B4171D" w:rsidRPr="003D5F00">
        <w:rPr>
          <w:lang w:val="fr-FR"/>
        </w:rPr>
        <w:t>à</w:t>
      </w:r>
      <w:r w:rsidRPr="003D5F00">
        <w:rPr>
          <w:lang w:val="fr-FR"/>
        </w:rPr>
        <w:t xml:space="preserve"> la justice a</w:t>
      </w:r>
      <w:r w:rsidR="00B4171D">
        <w:rPr>
          <w:lang w:val="fr-FR"/>
        </w:rPr>
        <w:t xml:space="preserve"> fourni une importante contribution au renforcement des compétences sociales de différents acteurs de la c</w:t>
      </w:r>
      <w:r w:rsidR="000117F7">
        <w:rPr>
          <w:lang w:val="fr-FR"/>
        </w:rPr>
        <w:t>haine pénale dans le but de travailler à la réduction du flux entrant. D</w:t>
      </w:r>
      <w:r w:rsidR="000117F7" w:rsidRPr="003D5F00">
        <w:rPr>
          <w:lang w:val="fr-FR"/>
        </w:rPr>
        <w:t>e</w:t>
      </w:r>
      <w:r w:rsidR="00402CAC" w:rsidRPr="003D5F00">
        <w:rPr>
          <w:lang w:val="fr-FR"/>
        </w:rPr>
        <w:t xml:space="preserve"> manière stratégique</w:t>
      </w:r>
      <w:r w:rsidR="000117F7">
        <w:rPr>
          <w:lang w:val="fr-FR"/>
        </w:rPr>
        <w:t>, le Projet a</w:t>
      </w:r>
      <w:r w:rsidR="00402CAC" w:rsidRPr="003D5F00">
        <w:rPr>
          <w:lang w:val="fr-FR"/>
        </w:rPr>
        <w:t xml:space="preserve"> établi un protocole d’accord avec l’Ecole de la Magistrature (EMA) dans l’objectif de réaliser une série de formation mettant en présence les deux acteurs clés devant travailler à la réduction du flux entrant. </w:t>
      </w:r>
    </w:p>
    <w:p w14:paraId="0903E6A4" w14:textId="77777777" w:rsidR="000117F7" w:rsidRDefault="000117F7" w:rsidP="003D5F00">
      <w:pPr>
        <w:pBdr>
          <w:top w:val="nil"/>
          <w:left w:val="nil"/>
          <w:bottom w:val="nil"/>
          <w:right w:val="nil"/>
          <w:between w:val="nil"/>
          <w:bar w:val="nil"/>
        </w:pBdr>
        <w:jc w:val="both"/>
        <w:rPr>
          <w:lang w:val="fr-FR"/>
        </w:rPr>
      </w:pPr>
    </w:p>
    <w:p w14:paraId="6B597207" w14:textId="32CD4CB1" w:rsidR="003D5F00" w:rsidRDefault="00402CAC" w:rsidP="003D5F00">
      <w:pPr>
        <w:pBdr>
          <w:top w:val="nil"/>
          <w:left w:val="nil"/>
          <w:bottom w:val="nil"/>
          <w:right w:val="nil"/>
          <w:between w:val="nil"/>
          <w:bar w:val="nil"/>
        </w:pBdr>
        <w:jc w:val="both"/>
        <w:rPr>
          <w:lang w:val="fr-FR"/>
        </w:rPr>
      </w:pPr>
      <w:r w:rsidRPr="003D5F00">
        <w:rPr>
          <w:lang w:val="fr-FR"/>
        </w:rPr>
        <w:t xml:space="preserve">Ainsi des séries de formations conjointes Police-Justice ont été organisées couvrant des </w:t>
      </w:r>
      <w:r w:rsidR="003D5F00" w:rsidRPr="003D5F00">
        <w:rPr>
          <w:lang w:val="fr-FR"/>
        </w:rPr>
        <w:t>thématiques visant</w:t>
      </w:r>
      <w:r w:rsidR="003D5F00">
        <w:rPr>
          <w:lang w:val="fr-FR"/>
        </w:rPr>
        <w:t xml:space="preserve"> à : 1) Améliorer </w:t>
      </w:r>
      <w:r w:rsidR="003D5F00" w:rsidRPr="003D5F00">
        <w:rPr>
          <w:lang w:val="fr-FR"/>
        </w:rPr>
        <w:t>la communication et la coordination entre le parquet et la PNH en matière d’arrestations, de déferrement et d’investigation ;</w:t>
      </w:r>
    </w:p>
    <w:p w14:paraId="0940ADEC" w14:textId="77777777" w:rsidR="003D5F00" w:rsidRDefault="003D5F00" w:rsidP="003D5F00">
      <w:pPr>
        <w:pBdr>
          <w:top w:val="nil"/>
          <w:left w:val="nil"/>
          <w:bottom w:val="nil"/>
          <w:right w:val="nil"/>
          <w:between w:val="nil"/>
          <w:bar w:val="nil"/>
        </w:pBdr>
        <w:jc w:val="both"/>
        <w:rPr>
          <w:lang w:val="fr-FR"/>
        </w:rPr>
      </w:pPr>
      <w:r>
        <w:rPr>
          <w:lang w:val="fr-FR"/>
        </w:rPr>
        <w:t xml:space="preserve">2) </w:t>
      </w:r>
      <w:r w:rsidRPr="003D5F00">
        <w:rPr>
          <w:lang w:val="fr-FR"/>
        </w:rPr>
        <w:t>Renforcer les capacités des officiers de Police judiciaire, des commissaires du gouvernement pour un traitement efficace des dossiers judiciaires tant au niveau de la Police que du parquet</w:t>
      </w:r>
    </w:p>
    <w:p w14:paraId="368A431F" w14:textId="77777777" w:rsidR="003D5F00" w:rsidRDefault="003D5F00" w:rsidP="003D5F00">
      <w:pPr>
        <w:pBdr>
          <w:top w:val="nil"/>
          <w:left w:val="nil"/>
          <w:bottom w:val="nil"/>
          <w:right w:val="nil"/>
          <w:between w:val="nil"/>
          <w:bar w:val="nil"/>
        </w:pBdr>
        <w:jc w:val="both"/>
        <w:rPr>
          <w:lang w:val="fr-FR"/>
        </w:rPr>
      </w:pPr>
      <w:r>
        <w:rPr>
          <w:lang w:val="fr-FR"/>
        </w:rPr>
        <w:t xml:space="preserve">3) </w:t>
      </w:r>
      <w:r w:rsidRPr="003D5F00">
        <w:rPr>
          <w:lang w:val="fr-FR"/>
        </w:rPr>
        <w:t>Améliorer la conformité à la loi des enquêtes, arrestations, déferrements et placement en détention ;</w:t>
      </w:r>
      <w:r>
        <w:rPr>
          <w:lang w:val="fr-FR"/>
        </w:rPr>
        <w:t xml:space="preserve"> </w:t>
      </w:r>
    </w:p>
    <w:p w14:paraId="66008138" w14:textId="77777777" w:rsidR="003D5F00" w:rsidRDefault="003D5F00" w:rsidP="003D5F00">
      <w:pPr>
        <w:pBdr>
          <w:top w:val="nil"/>
          <w:left w:val="nil"/>
          <w:bottom w:val="nil"/>
          <w:right w:val="nil"/>
          <w:between w:val="nil"/>
          <w:bar w:val="nil"/>
        </w:pBdr>
        <w:jc w:val="both"/>
        <w:rPr>
          <w:lang w:val="fr-FR"/>
        </w:rPr>
      </w:pPr>
      <w:r>
        <w:rPr>
          <w:lang w:val="fr-FR"/>
        </w:rPr>
        <w:t xml:space="preserve">4) </w:t>
      </w:r>
      <w:r w:rsidRPr="003D5F00">
        <w:rPr>
          <w:lang w:val="fr-FR"/>
        </w:rPr>
        <w:t>Améliorer la qualité des dossiers préparés par la PNH pour être déférés au parquet ;</w:t>
      </w:r>
    </w:p>
    <w:p w14:paraId="70A96F00" w14:textId="77777777" w:rsidR="003D5F00" w:rsidRDefault="003D5F00" w:rsidP="003D5F00">
      <w:pPr>
        <w:pBdr>
          <w:top w:val="nil"/>
          <w:left w:val="nil"/>
          <w:bottom w:val="nil"/>
          <w:right w:val="nil"/>
          <w:between w:val="nil"/>
          <w:bar w:val="nil"/>
        </w:pBdr>
        <w:jc w:val="both"/>
        <w:rPr>
          <w:lang w:val="fr-FR"/>
        </w:rPr>
      </w:pPr>
      <w:r>
        <w:rPr>
          <w:lang w:val="fr-FR"/>
        </w:rPr>
        <w:t xml:space="preserve">5) </w:t>
      </w:r>
      <w:r w:rsidRPr="003D5F00">
        <w:rPr>
          <w:lang w:val="fr-FR"/>
        </w:rPr>
        <w:t xml:space="preserve">Contribuer à la réduction de la détention préventive prolongée par l’amélioration du contrôle du flux des déferrements entre la PNH et le parquet et des placements en détention ; </w:t>
      </w:r>
    </w:p>
    <w:p w14:paraId="3938541B" w14:textId="77777777" w:rsidR="003D5F00" w:rsidRDefault="003D5F00" w:rsidP="003D5F00">
      <w:pPr>
        <w:pBdr>
          <w:top w:val="nil"/>
          <w:left w:val="nil"/>
          <w:bottom w:val="nil"/>
          <w:right w:val="nil"/>
          <w:between w:val="nil"/>
          <w:bar w:val="nil"/>
        </w:pBdr>
        <w:jc w:val="both"/>
        <w:rPr>
          <w:lang w:val="fr-FR"/>
        </w:rPr>
      </w:pPr>
      <w:r>
        <w:rPr>
          <w:lang w:val="fr-FR"/>
        </w:rPr>
        <w:t xml:space="preserve">6) </w:t>
      </w:r>
      <w:r w:rsidRPr="003D5F00">
        <w:rPr>
          <w:lang w:val="fr-FR"/>
        </w:rPr>
        <w:t xml:space="preserve">Promouvoir/favoriser une meilleure gestion des scènes de crimes et de la collecte des pièces à conviction ; </w:t>
      </w:r>
    </w:p>
    <w:p w14:paraId="2FBCD32D" w14:textId="7B1D08B9" w:rsidR="003D5F00" w:rsidRDefault="003D5F00" w:rsidP="003D5F00">
      <w:pPr>
        <w:pBdr>
          <w:top w:val="nil"/>
          <w:left w:val="nil"/>
          <w:bottom w:val="nil"/>
          <w:right w:val="nil"/>
          <w:between w:val="nil"/>
          <w:bar w:val="nil"/>
        </w:pBdr>
        <w:jc w:val="both"/>
        <w:rPr>
          <w:lang w:val="fr-FR"/>
        </w:rPr>
      </w:pPr>
      <w:r>
        <w:rPr>
          <w:lang w:val="fr-FR"/>
        </w:rPr>
        <w:t xml:space="preserve">7) </w:t>
      </w:r>
      <w:r w:rsidRPr="003D5F00">
        <w:rPr>
          <w:lang w:val="fr-FR"/>
        </w:rPr>
        <w:t>Améliorer et renforcer le management judiciaire en termes de traitement des dossiers et leur entrée dans le système.</w:t>
      </w:r>
    </w:p>
    <w:p w14:paraId="23E4944D" w14:textId="131A0174" w:rsidR="00A125A9" w:rsidRDefault="00A125A9" w:rsidP="003D5F00">
      <w:pPr>
        <w:pBdr>
          <w:top w:val="nil"/>
          <w:left w:val="nil"/>
          <w:bottom w:val="nil"/>
          <w:right w:val="nil"/>
          <w:between w:val="nil"/>
          <w:bar w:val="nil"/>
        </w:pBdr>
        <w:jc w:val="both"/>
        <w:rPr>
          <w:lang w:val="fr-FR"/>
        </w:rPr>
      </w:pPr>
    </w:p>
    <w:p w14:paraId="67B66A72" w14:textId="33EAC4C9" w:rsidR="00A125A9" w:rsidRDefault="00A125A9" w:rsidP="003D5F00">
      <w:pPr>
        <w:pBdr>
          <w:top w:val="nil"/>
          <w:left w:val="nil"/>
          <w:bottom w:val="nil"/>
          <w:right w:val="nil"/>
          <w:between w:val="nil"/>
          <w:bar w:val="nil"/>
        </w:pBdr>
        <w:jc w:val="both"/>
        <w:rPr>
          <w:lang w:val="fr-FR"/>
        </w:rPr>
      </w:pPr>
      <w:r>
        <w:rPr>
          <w:lang w:val="fr-FR"/>
        </w:rPr>
        <w:t xml:space="preserve">Un total de </w:t>
      </w:r>
      <w:r w:rsidR="000117F7">
        <w:rPr>
          <w:lang w:val="fr-FR"/>
        </w:rPr>
        <w:t>cent vingt-quatre (</w:t>
      </w:r>
      <w:r w:rsidR="00F97F8B">
        <w:rPr>
          <w:lang w:val="fr-FR"/>
        </w:rPr>
        <w:t>124</w:t>
      </w:r>
      <w:r w:rsidR="000117F7">
        <w:rPr>
          <w:lang w:val="fr-FR"/>
        </w:rPr>
        <w:t>)</w:t>
      </w:r>
      <w:r w:rsidR="00F97F8B">
        <w:rPr>
          <w:lang w:val="fr-FR"/>
        </w:rPr>
        <w:t xml:space="preserve"> </w:t>
      </w:r>
      <w:r>
        <w:rPr>
          <w:lang w:val="fr-FR"/>
        </w:rPr>
        <w:t>participants</w:t>
      </w:r>
      <w:r w:rsidR="00F97F8B">
        <w:rPr>
          <w:lang w:val="fr-FR"/>
        </w:rPr>
        <w:t xml:space="preserve"> dont </w:t>
      </w:r>
      <w:r w:rsidR="000117F7">
        <w:rPr>
          <w:lang w:val="fr-FR"/>
        </w:rPr>
        <w:t>trente (</w:t>
      </w:r>
      <w:r w:rsidR="00F97F8B">
        <w:rPr>
          <w:lang w:val="fr-FR"/>
        </w:rPr>
        <w:t>30</w:t>
      </w:r>
      <w:r w:rsidR="000117F7">
        <w:rPr>
          <w:lang w:val="fr-FR"/>
        </w:rPr>
        <w:t>)</w:t>
      </w:r>
      <w:r w:rsidR="00F97F8B">
        <w:rPr>
          <w:lang w:val="fr-FR"/>
        </w:rPr>
        <w:t xml:space="preserve"> </w:t>
      </w:r>
      <w:r w:rsidR="00AC4357">
        <w:rPr>
          <w:lang w:val="fr-FR"/>
        </w:rPr>
        <w:t>femmes ;</w:t>
      </w:r>
      <w:r>
        <w:rPr>
          <w:lang w:val="fr-FR"/>
        </w:rPr>
        <w:t xml:space="preserve"> regroupant des commissaires du gouvernement, des policiers et </w:t>
      </w:r>
      <w:r w:rsidR="00E940D8">
        <w:rPr>
          <w:lang w:val="fr-FR"/>
        </w:rPr>
        <w:t>des juges</w:t>
      </w:r>
      <w:r>
        <w:rPr>
          <w:lang w:val="fr-FR"/>
        </w:rPr>
        <w:t xml:space="preserve"> de paix ont suivi ces </w:t>
      </w:r>
      <w:r w:rsidR="007F1875">
        <w:rPr>
          <w:lang w:val="fr-FR"/>
        </w:rPr>
        <w:t>séries</w:t>
      </w:r>
      <w:r>
        <w:rPr>
          <w:lang w:val="fr-FR"/>
        </w:rPr>
        <w:t xml:space="preserve"> de formations dans le but de mieux coordonner leurs actions de manière </w:t>
      </w:r>
      <w:r w:rsidR="007F1875">
        <w:rPr>
          <w:lang w:val="fr-FR"/>
        </w:rPr>
        <w:t>à</w:t>
      </w:r>
      <w:r>
        <w:rPr>
          <w:lang w:val="fr-FR"/>
        </w:rPr>
        <w:t xml:space="preserve"> parvenir </w:t>
      </w:r>
      <w:r w:rsidR="007F1875">
        <w:rPr>
          <w:lang w:val="fr-FR"/>
        </w:rPr>
        <w:t>à</w:t>
      </w:r>
      <w:r>
        <w:rPr>
          <w:lang w:val="fr-FR"/>
        </w:rPr>
        <w:t xml:space="preserve"> une meilleure gestion du flux entrant. </w:t>
      </w:r>
      <w:r w:rsidR="00FA6CF8">
        <w:rPr>
          <w:lang w:val="fr-FR"/>
        </w:rPr>
        <w:t xml:space="preserve">La contribution des cliniques juridiques quant aux campagnes de sensibilisation, d’information et d’éducation au droit </w:t>
      </w:r>
      <w:r w:rsidR="008D5760">
        <w:rPr>
          <w:lang w:val="fr-FR"/>
        </w:rPr>
        <w:t>réalisées au</w:t>
      </w:r>
      <w:r w:rsidR="00FA6CF8">
        <w:rPr>
          <w:lang w:val="fr-FR"/>
        </w:rPr>
        <w:t xml:space="preserve"> bénéfice des populations vulnérables influe également sur la réduction du flux entrant dans la mesure ou certains conflits sont résolus</w:t>
      </w:r>
      <w:r w:rsidR="00D51DC7">
        <w:rPr>
          <w:lang w:val="fr-FR"/>
        </w:rPr>
        <w:t xml:space="preserve"> </w:t>
      </w:r>
      <w:r w:rsidR="00FA6CF8">
        <w:rPr>
          <w:lang w:val="fr-FR"/>
        </w:rPr>
        <w:t xml:space="preserve">par la connaissance </w:t>
      </w:r>
      <w:r w:rsidR="00D51DC7">
        <w:rPr>
          <w:lang w:val="fr-FR"/>
        </w:rPr>
        <w:t xml:space="preserve">des citoyens de leur </w:t>
      </w:r>
      <w:r w:rsidR="00FA6CF8">
        <w:rPr>
          <w:lang w:val="fr-FR"/>
        </w:rPr>
        <w:t>droit</w:t>
      </w:r>
      <w:r w:rsidR="00D51DC7">
        <w:rPr>
          <w:lang w:val="fr-FR"/>
        </w:rPr>
        <w:t>.</w:t>
      </w:r>
      <w:r w:rsidR="00FA6CF8">
        <w:rPr>
          <w:lang w:val="fr-FR"/>
        </w:rPr>
        <w:t xml:space="preserve"> </w:t>
      </w:r>
      <w:r w:rsidR="001207DA">
        <w:rPr>
          <w:lang w:val="fr-FR"/>
        </w:rPr>
        <w:t xml:space="preserve">Un nombre de 43 avocats dont 20 femmes travaillant dans les </w:t>
      </w:r>
      <w:proofErr w:type="spellStart"/>
      <w:r w:rsidR="001207DA">
        <w:rPr>
          <w:lang w:val="fr-FR"/>
        </w:rPr>
        <w:t>BALs</w:t>
      </w:r>
      <w:proofErr w:type="spellEnd"/>
      <w:r w:rsidR="001207DA">
        <w:rPr>
          <w:lang w:val="fr-FR"/>
        </w:rPr>
        <w:t xml:space="preserve">, les cliniques juridiques et les organismes de la société civile ont bénéficié d’une formation sur les techniques de médiation et gestion de conflits dont l’objectif visait </w:t>
      </w:r>
      <w:r w:rsidR="00AC4357">
        <w:rPr>
          <w:lang w:val="fr-FR"/>
        </w:rPr>
        <w:t>à</w:t>
      </w:r>
      <w:r w:rsidR="001207DA">
        <w:rPr>
          <w:lang w:val="fr-FR"/>
        </w:rPr>
        <w:t xml:space="preserve"> renforcer et harmoniser leur pratique dans ce domaine.</w:t>
      </w:r>
    </w:p>
    <w:p w14:paraId="175409A5" w14:textId="77777777" w:rsidR="00233D00" w:rsidRDefault="00233D00" w:rsidP="00233D00">
      <w:pPr>
        <w:jc w:val="both"/>
        <w:rPr>
          <w:lang w:val="fr-FR"/>
        </w:rPr>
      </w:pPr>
    </w:p>
    <w:p w14:paraId="479C4920" w14:textId="07EFA22D" w:rsidR="008B1394" w:rsidRPr="006D7126" w:rsidRDefault="008B1394" w:rsidP="00233D00">
      <w:pPr>
        <w:jc w:val="both"/>
        <w:rPr>
          <w:lang w:val="fr-FR"/>
        </w:rPr>
      </w:pPr>
      <w:r w:rsidRPr="006D7126">
        <w:rPr>
          <w:lang w:val="fr-FR"/>
        </w:rPr>
        <w:t xml:space="preserve">Le projet a grandement contribué au renforcement des capacités des institutions de la chaine pénale pour un meilleur traitement des cas de VBG et une meilleure réponse et </w:t>
      </w:r>
      <w:r w:rsidRPr="006D7126">
        <w:rPr>
          <w:lang w:val="fr-FR"/>
        </w:rPr>
        <w:lastRenderedPageBreak/>
        <w:t xml:space="preserve">accompagnement aux femmes victimes de violences. Ce support s’est manifesté à deux niveaux : i) </w:t>
      </w:r>
      <w:r w:rsidRPr="006D7126">
        <w:rPr>
          <w:b/>
          <w:bCs/>
          <w:i/>
          <w:iCs/>
          <w:lang w:val="fr-FR"/>
        </w:rPr>
        <w:t>Développement d’outils stratégiques de référence</w:t>
      </w:r>
      <w:r w:rsidRPr="006D7126">
        <w:rPr>
          <w:lang w:val="fr-FR"/>
        </w:rPr>
        <w:t xml:space="preserve"> : En partenariat avec l'Institution nationale des droits de l'homme, soit l’Office de la Protection du Citoyen (OPC), le projet a contribué au développement d’outils qui seront servis à outiller les acteurs de la chaîne pénale et organisations de droits humains. A cet effet, un guide de gestion de plainte en matière de VGB, un module de stratégie de traitement de plaintes, un module harmonisé sur les besoins spécifiques des femmes en matière de justice, un guide référentiel incluant un annuaire des organisations de la société civile offrant les services aux survivantes de SGBV et des fiches d’information sur les VBG - les informations de base sur l’assistance légale et les rôles des BALs ont été élaborés ; ii)  </w:t>
      </w:r>
      <w:r w:rsidRPr="006D7126">
        <w:rPr>
          <w:b/>
          <w:bCs/>
          <w:i/>
          <w:iCs/>
          <w:lang w:val="fr-FR"/>
        </w:rPr>
        <w:t>Formation et accompagnement des acteurs</w:t>
      </w:r>
      <w:r w:rsidRPr="006D7126">
        <w:rPr>
          <w:lang w:val="fr-FR"/>
        </w:rPr>
        <w:t> : En partenariat avec l’OPC, huit (8) ateliers de formation et de brainstorming ont été réalisés dans les zones visées par le projet : Port-au-Prince, Petit-</w:t>
      </w:r>
      <w:proofErr w:type="spellStart"/>
      <w:r w:rsidRPr="006D7126">
        <w:rPr>
          <w:lang w:val="fr-FR"/>
        </w:rPr>
        <w:t>Goâve</w:t>
      </w:r>
      <w:proofErr w:type="spellEnd"/>
      <w:r w:rsidRPr="006D7126">
        <w:rPr>
          <w:lang w:val="fr-FR"/>
        </w:rPr>
        <w:t xml:space="preserve"> et Cayes </w:t>
      </w:r>
      <w:r w:rsidR="000A62C4" w:rsidRPr="006D7126">
        <w:rPr>
          <w:lang w:val="fr-FR"/>
        </w:rPr>
        <w:t xml:space="preserve">renforçant les </w:t>
      </w:r>
      <w:r w:rsidR="00DA0D1E" w:rsidRPr="006D7126">
        <w:rPr>
          <w:lang w:val="fr-FR"/>
        </w:rPr>
        <w:t>capacités</w:t>
      </w:r>
      <w:r w:rsidR="000A62C4" w:rsidRPr="006D7126">
        <w:rPr>
          <w:lang w:val="fr-FR"/>
        </w:rPr>
        <w:t xml:space="preserve"> d’un</w:t>
      </w:r>
      <w:r w:rsidRPr="006D7126">
        <w:rPr>
          <w:lang w:val="fr-FR"/>
        </w:rPr>
        <w:t xml:space="preserve"> nombre total de 367 personnes (dont 161 femmes) représentantes de la communauté LGBTI, Acteurs du système Judicaire, de la PNH, des OCS, de la communauté vodouisante </w:t>
      </w:r>
      <w:r w:rsidR="00DA0D1E" w:rsidRPr="006D7126">
        <w:rPr>
          <w:lang w:val="fr-FR"/>
        </w:rPr>
        <w:t>etc.</w:t>
      </w:r>
      <w:r w:rsidR="009B71E9" w:rsidRPr="006D7126">
        <w:rPr>
          <w:lang w:val="fr-FR"/>
        </w:rPr>
        <w:t xml:space="preserve"> sur les outils utilisés, les démarches vers l’obtention de l’assistance légale, les VBG etc</w:t>
      </w:r>
      <w:r w:rsidRPr="006D7126">
        <w:rPr>
          <w:lang w:val="fr-FR"/>
        </w:rPr>
        <w:t xml:space="preserve">. </w:t>
      </w:r>
    </w:p>
    <w:p w14:paraId="51AE3255" w14:textId="77777777" w:rsidR="008B1394" w:rsidRPr="006D7126" w:rsidRDefault="008B1394" w:rsidP="008B1394">
      <w:pPr>
        <w:ind w:left="-900"/>
        <w:jc w:val="both"/>
        <w:rPr>
          <w:lang w:val="fr-FR"/>
        </w:rPr>
      </w:pPr>
    </w:p>
    <w:p w14:paraId="704B5E18" w14:textId="77777777" w:rsidR="00F31D9E" w:rsidRDefault="008B1394" w:rsidP="00F31D9E">
      <w:pPr>
        <w:ind w:left="-900" w:firstLine="720"/>
        <w:jc w:val="both"/>
        <w:rPr>
          <w:lang w:val="fr-FR"/>
        </w:rPr>
      </w:pPr>
      <w:r w:rsidRPr="006D7126">
        <w:rPr>
          <w:lang w:val="fr-FR"/>
        </w:rPr>
        <w:t xml:space="preserve">A l’issu des ateliers, 681 exemplaires des outils suivants ont été distribués : </w:t>
      </w:r>
    </w:p>
    <w:p w14:paraId="59430AEE" w14:textId="77777777" w:rsidR="00F31D9E" w:rsidRDefault="00F31D9E" w:rsidP="00F31D9E">
      <w:pPr>
        <w:ind w:left="-900" w:firstLine="720"/>
        <w:jc w:val="both"/>
        <w:rPr>
          <w:lang w:val="fr-FR"/>
        </w:rPr>
      </w:pPr>
    </w:p>
    <w:p w14:paraId="0D0267FB" w14:textId="77777777" w:rsidR="00F31D9E" w:rsidRPr="00F31D9E" w:rsidRDefault="008B1394" w:rsidP="00F31D9E">
      <w:pPr>
        <w:pStyle w:val="ListParagraph"/>
        <w:numPr>
          <w:ilvl w:val="0"/>
          <w:numId w:val="12"/>
        </w:numPr>
        <w:jc w:val="both"/>
        <w:rPr>
          <w:lang w:val="fr-FR"/>
        </w:rPr>
      </w:pPr>
      <w:r w:rsidRPr="00F31D9E">
        <w:rPr>
          <w:lang w:val="fr-FR"/>
        </w:rPr>
        <w:t xml:space="preserve">227 </w:t>
      </w:r>
      <w:r w:rsidRPr="00F31D9E">
        <w:rPr>
          <w:i/>
          <w:lang w:val="fr-FR"/>
        </w:rPr>
        <w:t>fiches d’informations sur la réception et le traitement des plaintes de VBG</w:t>
      </w:r>
    </w:p>
    <w:p w14:paraId="3C700BBF" w14:textId="77777777" w:rsidR="00F31D9E" w:rsidRPr="00F31D9E" w:rsidRDefault="008B1394" w:rsidP="00F31D9E">
      <w:pPr>
        <w:pStyle w:val="ListParagraph"/>
        <w:numPr>
          <w:ilvl w:val="0"/>
          <w:numId w:val="12"/>
        </w:numPr>
        <w:jc w:val="both"/>
        <w:rPr>
          <w:lang w:val="fr-FR"/>
        </w:rPr>
      </w:pPr>
      <w:r w:rsidRPr="00F31D9E">
        <w:rPr>
          <w:lang w:val="fr-FR"/>
        </w:rPr>
        <w:t xml:space="preserve">227 </w:t>
      </w:r>
      <w:r w:rsidRPr="00F31D9E">
        <w:rPr>
          <w:i/>
          <w:lang w:val="fr-FR"/>
        </w:rPr>
        <w:t>fiches d’informations sur l’Assistance légale</w:t>
      </w:r>
    </w:p>
    <w:p w14:paraId="55D0FC8F" w14:textId="77777777" w:rsidR="00F31D9E" w:rsidRDefault="008B1394" w:rsidP="00F31D9E">
      <w:pPr>
        <w:pStyle w:val="ListParagraph"/>
        <w:numPr>
          <w:ilvl w:val="0"/>
          <w:numId w:val="12"/>
        </w:numPr>
        <w:jc w:val="both"/>
        <w:rPr>
          <w:lang w:val="fr-FR"/>
        </w:rPr>
      </w:pPr>
      <w:r w:rsidRPr="00F31D9E">
        <w:rPr>
          <w:lang w:val="fr-FR"/>
        </w:rPr>
        <w:t xml:space="preserve">227 Dépliants en créole et français sur </w:t>
      </w:r>
      <w:r w:rsidRPr="00F31D9E">
        <w:rPr>
          <w:i/>
          <w:lang w:val="fr-FR"/>
        </w:rPr>
        <w:t>les bureaux d’assistance légale</w:t>
      </w:r>
      <w:r w:rsidRPr="00F31D9E">
        <w:rPr>
          <w:lang w:val="fr-FR"/>
        </w:rPr>
        <w:t xml:space="preserve"> </w:t>
      </w:r>
    </w:p>
    <w:p w14:paraId="289C1A5A" w14:textId="5FEB02A2" w:rsidR="008B1394" w:rsidRPr="00F31D9E" w:rsidRDefault="008B1394" w:rsidP="00F31D9E">
      <w:pPr>
        <w:pStyle w:val="ListParagraph"/>
        <w:numPr>
          <w:ilvl w:val="0"/>
          <w:numId w:val="12"/>
        </w:numPr>
        <w:jc w:val="both"/>
        <w:rPr>
          <w:lang w:val="fr-FR"/>
        </w:rPr>
      </w:pPr>
      <w:r w:rsidRPr="00F31D9E">
        <w:rPr>
          <w:lang w:val="fr-FR"/>
        </w:rPr>
        <w:t>Partage de la loi</w:t>
      </w:r>
      <w:r w:rsidRPr="00F31D9E">
        <w:rPr>
          <w:i/>
          <w:lang w:val="fr-FR"/>
        </w:rPr>
        <w:t xml:space="preserve"> sur l’assistance légale (</w:t>
      </w:r>
      <w:r w:rsidRPr="00F31D9E">
        <w:rPr>
          <w:lang w:val="fr-FR"/>
        </w:rPr>
        <w:t>version électronique).</w:t>
      </w:r>
    </w:p>
    <w:p w14:paraId="07ABAE17" w14:textId="77777777" w:rsidR="008B1394" w:rsidRPr="006D7126" w:rsidRDefault="008B1394" w:rsidP="008B1394">
      <w:pPr>
        <w:ind w:left="-900"/>
        <w:jc w:val="both"/>
        <w:rPr>
          <w:lang w:val="fr-FR"/>
        </w:rPr>
      </w:pPr>
    </w:p>
    <w:p w14:paraId="60424F17" w14:textId="311844B7" w:rsidR="008B1394" w:rsidRPr="006D7126" w:rsidRDefault="008B1394" w:rsidP="00F31D9E">
      <w:pPr>
        <w:jc w:val="both"/>
        <w:rPr>
          <w:lang w:val="fr-FR"/>
        </w:rPr>
      </w:pPr>
      <w:r w:rsidRPr="006D7126">
        <w:rPr>
          <w:lang w:val="fr-FR"/>
        </w:rPr>
        <w:t xml:space="preserve">, </w:t>
      </w:r>
      <w:r w:rsidR="00144DFE">
        <w:rPr>
          <w:lang w:val="fr-FR"/>
        </w:rPr>
        <w:t>I</w:t>
      </w:r>
      <w:r w:rsidRPr="006D7126">
        <w:rPr>
          <w:lang w:val="fr-FR"/>
        </w:rPr>
        <w:t>l y a lieu de souligner que les réalisations de ce projet en matière de renforcement des capacités des institutions ont une portée nationale car, les matériels et les outils de vulgarisation ont été distribués dans les départements à travers la Coordination des Présences Territoriales de l’Office de la Protection du Citoyen. Ces outils de vulgarisation ont été publiés aussi sur le site de l’OPC, sur les réseaux sociaux et relayés sur les sites d’Association des Ombudsmans et Médiateurs de la Francophonie (AOMF), Association Francophone des Commissions Nationales des Droits de l’Homme (AFCNDH).</w:t>
      </w:r>
    </w:p>
    <w:p w14:paraId="6AE12209" w14:textId="77777777" w:rsidR="008B1394" w:rsidRPr="006D7126" w:rsidRDefault="008B1394" w:rsidP="008B1394">
      <w:pPr>
        <w:ind w:left="-900"/>
        <w:jc w:val="both"/>
        <w:rPr>
          <w:lang w:val="fr-FR"/>
        </w:rPr>
      </w:pPr>
    </w:p>
    <w:p w14:paraId="59E396B3" w14:textId="77777777" w:rsidR="008B1394" w:rsidRPr="006D7126" w:rsidRDefault="008B1394" w:rsidP="00F31D9E">
      <w:pPr>
        <w:jc w:val="both"/>
        <w:rPr>
          <w:lang w:val="fr-FR"/>
        </w:rPr>
      </w:pPr>
      <w:r w:rsidRPr="006D7126">
        <w:rPr>
          <w:lang w:val="fr-FR"/>
        </w:rPr>
        <w:t xml:space="preserve">Par ailleurs, les modules de formation et les différents guides élaborés, une fois présentés officiellement, feront l’objet d’outils de bonnes pratiques au niveau des Associations d’Ombudsman et d’INDH sur le plan international.  </w:t>
      </w:r>
    </w:p>
    <w:p w14:paraId="0B192C5E" w14:textId="77777777" w:rsidR="008B1394" w:rsidRPr="006D7126" w:rsidRDefault="008B1394" w:rsidP="008B1394">
      <w:pPr>
        <w:ind w:left="-900"/>
        <w:jc w:val="both"/>
        <w:rPr>
          <w:lang w:val="fr-FR"/>
        </w:rPr>
      </w:pPr>
    </w:p>
    <w:p w14:paraId="5FC7D5BB" w14:textId="77777777" w:rsidR="008B1394" w:rsidRPr="006D7126" w:rsidRDefault="008B1394" w:rsidP="00DA0D1E">
      <w:pPr>
        <w:jc w:val="both"/>
        <w:rPr>
          <w:lang w:val="fr-FR"/>
        </w:rPr>
      </w:pPr>
      <w:r w:rsidRPr="006D7126">
        <w:rPr>
          <w:lang w:val="fr-FR"/>
        </w:rPr>
        <w:t>Additionnellement, le projet a contribué au renforcement des cellules genres du Parquets de Port-au-Prince et de la PNH à travers différents ateliers de travail sur la planification stratégique. Le tableau ci-dessous décline les réalisations et produits/escomptés :</w:t>
      </w:r>
    </w:p>
    <w:p w14:paraId="105F60FF" w14:textId="77777777" w:rsidR="008B1394" w:rsidRPr="006D7126" w:rsidRDefault="008B1394" w:rsidP="008B1394">
      <w:pPr>
        <w:ind w:left="-900"/>
        <w:jc w:val="both"/>
        <w:rPr>
          <w:lang w:val="fr-FR"/>
        </w:rPr>
      </w:pPr>
    </w:p>
    <w:tbl>
      <w:tblPr>
        <w:tblW w:w="5507" w:type="pct"/>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4950"/>
        <w:gridCol w:w="3256"/>
      </w:tblGrid>
      <w:tr w:rsidR="006D7126" w:rsidRPr="006D7126" w14:paraId="7F119B29" w14:textId="77777777" w:rsidTr="00573904">
        <w:trPr>
          <w:tblHeader/>
        </w:trPr>
        <w:tc>
          <w:tcPr>
            <w:tcW w:w="824" w:type="pct"/>
            <w:shd w:val="clear" w:color="auto" w:fill="auto"/>
          </w:tcPr>
          <w:p w14:paraId="3618C5FE" w14:textId="77777777" w:rsidR="008B1394" w:rsidRPr="006D7126" w:rsidRDefault="008B1394" w:rsidP="00573904">
            <w:pPr>
              <w:jc w:val="both"/>
              <w:rPr>
                <w:b/>
                <w:bCs/>
                <w:lang w:val="fr-FR" w:eastAsia="en-US"/>
              </w:rPr>
            </w:pPr>
            <w:r w:rsidRPr="006D7126">
              <w:rPr>
                <w:b/>
                <w:bCs/>
                <w:lang w:val="fr-FR" w:eastAsia="en-US"/>
              </w:rPr>
              <w:t>Date</w:t>
            </w:r>
          </w:p>
        </w:tc>
        <w:tc>
          <w:tcPr>
            <w:tcW w:w="2519" w:type="pct"/>
            <w:shd w:val="clear" w:color="auto" w:fill="auto"/>
          </w:tcPr>
          <w:p w14:paraId="6F707351" w14:textId="77777777" w:rsidR="008B1394" w:rsidRPr="006D7126" w:rsidRDefault="008B1394" w:rsidP="00573904">
            <w:pPr>
              <w:jc w:val="both"/>
              <w:rPr>
                <w:b/>
                <w:bCs/>
                <w:lang w:val="fr-FR" w:eastAsia="en-US"/>
              </w:rPr>
            </w:pPr>
            <w:r w:rsidRPr="006D7126">
              <w:rPr>
                <w:b/>
                <w:bCs/>
                <w:lang w:val="fr-FR" w:eastAsia="en-US"/>
              </w:rPr>
              <w:t xml:space="preserve">Activité réalisée </w:t>
            </w:r>
          </w:p>
        </w:tc>
        <w:tc>
          <w:tcPr>
            <w:tcW w:w="1657" w:type="pct"/>
            <w:shd w:val="clear" w:color="auto" w:fill="auto"/>
          </w:tcPr>
          <w:p w14:paraId="4804E6A8" w14:textId="77777777" w:rsidR="008B1394" w:rsidRPr="006D7126" w:rsidRDefault="008B1394" w:rsidP="00573904">
            <w:pPr>
              <w:rPr>
                <w:b/>
                <w:bCs/>
                <w:lang w:val="fr-FR" w:eastAsia="en-US"/>
              </w:rPr>
            </w:pPr>
            <w:r w:rsidRPr="006D7126">
              <w:rPr>
                <w:b/>
                <w:bCs/>
                <w:lang w:val="fr-FR" w:eastAsia="en-US"/>
              </w:rPr>
              <w:t>Produit escompté</w:t>
            </w:r>
          </w:p>
        </w:tc>
      </w:tr>
      <w:tr w:rsidR="006D7126" w:rsidRPr="0030235D" w14:paraId="6D481088" w14:textId="77777777" w:rsidTr="00573904">
        <w:tc>
          <w:tcPr>
            <w:tcW w:w="824" w:type="pct"/>
            <w:shd w:val="clear" w:color="auto" w:fill="auto"/>
          </w:tcPr>
          <w:p w14:paraId="617A75D2" w14:textId="48CFA7F5" w:rsidR="008B1394" w:rsidRPr="006D7126" w:rsidRDefault="00DA0D1E" w:rsidP="00573904">
            <w:pPr>
              <w:rPr>
                <w:bCs/>
                <w:lang w:val="fr-FR" w:eastAsia="en-US"/>
              </w:rPr>
            </w:pPr>
            <w:r w:rsidRPr="006D7126">
              <w:rPr>
                <w:bCs/>
                <w:lang w:val="fr-FR" w:eastAsia="en-US"/>
              </w:rPr>
              <w:t>5 au</w:t>
            </w:r>
            <w:r w:rsidR="008B1394" w:rsidRPr="006D7126">
              <w:rPr>
                <w:bCs/>
                <w:lang w:val="fr-FR" w:eastAsia="en-US"/>
              </w:rPr>
              <w:t xml:space="preserve"> 25 janvier 2022</w:t>
            </w:r>
          </w:p>
        </w:tc>
        <w:tc>
          <w:tcPr>
            <w:tcW w:w="2519" w:type="pct"/>
            <w:shd w:val="clear" w:color="auto" w:fill="auto"/>
          </w:tcPr>
          <w:p w14:paraId="3206D1EE" w14:textId="77777777" w:rsidR="008B1394" w:rsidRPr="006D7126" w:rsidRDefault="008B1394" w:rsidP="00573904">
            <w:pPr>
              <w:rPr>
                <w:lang w:val="fr-FR" w:eastAsia="en-US"/>
              </w:rPr>
            </w:pPr>
            <w:r w:rsidRPr="006D7126">
              <w:rPr>
                <w:lang w:val="fr-FR" w:eastAsia="en-US"/>
              </w:rPr>
              <w:t>Révision des rapports de diagnostic organisationnel et de l’audit genre de la Cellule Genre du Parquet de Port-au-Prince</w:t>
            </w:r>
          </w:p>
        </w:tc>
        <w:tc>
          <w:tcPr>
            <w:tcW w:w="1657" w:type="pct"/>
            <w:shd w:val="clear" w:color="auto" w:fill="auto"/>
          </w:tcPr>
          <w:p w14:paraId="4AB06CBB" w14:textId="77777777" w:rsidR="008B1394" w:rsidRPr="006D7126" w:rsidRDefault="008B1394" w:rsidP="00573904">
            <w:pPr>
              <w:rPr>
                <w:bCs/>
                <w:lang w:val="fr-FR" w:eastAsia="en-US"/>
              </w:rPr>
            </w:pPr>
            <w:r w:rsidRPr="006D7126">
              <w:rPr>
                <w:bCs/>
                <w:lang w:val="fr-FR" w:eastAsia="en-US"/>
              </w:rPr>
              <w:t>Rapport final de Diagnostic de fonctionnement de la Cellule Genre du Parquet</w:t>
            </w:r>
          </w:p>
        </w:tc>
      </w:tr>
      <w:tr w:rsidR="006D7126" w:rsidRPr="0030235D" w14:paraId="6E3950AF" w14:textId="77777777" w:rsidTr="00573904">
        <w:tc>
          <w:tcPr>
            <w:tcW w:w="824" w:type="pct"/>
            <w:shd w:val="clear" w:color="auto" w:fill="auto"/>
          </w:tcPr>
          <w:p w14:paraId="00AF2001" w14:textId="77777777" w:rsidR="008B1394" w:rsidRPr="006D7126" w:rsidRDefault="008B1394" w:rsidP="00573904">
            <w:pPr>
              <w:rPr>
                <w:bCs/>
                <w:lang w:val="fr-FR" w:eastAsia="en-US"/>
              </w:rPr>
            </w:pPr>
            <w:r w:rsidRPr="006D7126">
              <w:rPr>
                <w:bCs/>
                <w:lang w:val="fr-FR" w:eastAsia="en-US"/>
              </w:rPr>
              <w:t>10 et 11 mars 2022</w:t>
            </w:r>
          </w:p>
        </w:tc>
        <w:tc>
          <w:tcPr>
            <w:tcW w:w="2519" w:type="pct"/>
            <w:shd w:val="clear" w:color="auto" w:fill="auto"/>
          </w:tcPr>
          <w:p w14:paraId="596B7DBC" w14:textId="77777777" w:rsidR="008B1394" w:rsidRPr="006D7126" w:rsidRDefault="008B1394" w:rsidP="00573904">
            <w:pPr>
              <w:rPr>
                <w:bCs/>
                <w:lang w:val="fr-FR" w:eastAsia="en-US"/>
              </w:rPr>
            </w:pPr>
            <w:r w:rsidRPr="006D7126">
              <w:rPr>
                <w:bCs/>
                <w:lang w:val="fr-FR" w:eastAsia="en-US"/>
              </w:rPr>
              <w:t>Séances de travail avec des Substituts du Commissaire du Gouvernement pour finalisation du Plan d’action annuel 2022 de la Cellule Genre du Parquet de Port-au-Prince (objectifs, résultats attendus, besoins/problèmes identifiés, activités, période de réalisation, acteurs impliqués)</w:t>
            </w:r>
          </w:p>
          <w:p w14:paraId="0BC3780F" w14:textId="77777777" w:rsidR="008B1394" w:rsidRPr="006D7126" w:rsidRDefault="008B1394" w:rsidP="00573904">
            <w:pPr>
              <w:rPr>
                <w:bCs/>
                <w:lang w:val="fr-FR" w:eastAsia="en-US"/>
              </w:rPr>
            </w:pPr>
          </w:p>
          <w:p w14:paraId="64E17F76" w14:textId="77777777" w:rsidR="008B1394" w:rsidRPr="006D7126" w:rsidRDefault="008B1394" w:rsidP="00573904">
            <w:pPr>
              <w:rPr>
                <w:lang w:val="fr-FR" w:eastAsia="en-US"/>
              </w:rPr>
            </w:pPr>
            <w:r w:rsidRPr="006D7126">
              <w:rPr>
                <w:bCs/>
                <w:lang w:val="fr-FR" w:eastAsia="en-US"/>
              </w:rPr>
              <w:lastRenderedPageBreak/>
              <w:t xml:space="preserve">Participants : </w:t>
            </w:r>
          </w:p>
        </w:tc>
        <w:tc>
          <w:tcPr>
            <w:tcW w:w="1657" w:type="pct"/>
            <w:shd w:val="clear" w:color="auto" w:fill="auto"/>
          </w:tcPr>
          <w:p w14:paraId="39E3AB8F" w14:textId="77777777" w:rsidR="008B1394" w:rsidRPr="006D7126" w:rsidRDefault="008B1394" w:rsidP="00573904">
            <w:pPr>
              <w:rPr>
                <w:bCs/>
                <w:lang w:val="fr-FR" w:eastAsia="en-US"/>
              </w:rPr>
            </w:pPr>
            <w:r w:rsidRPr="006D7126">
              <w:rPr>
                <w:bCs/>
                <w:lang w:val="fr-FR" w:eastAsia="en-US"/>
              </w:rPr>
              <w:lastRenderedPageBreak/>
              <w:t>Document de Plan d’action annuel 2022 de la cellule genre du Parquet</w:t>
            </w:r>
          </w:p>
        </w:tc>
      </w:tr>
      <w:tr w:rsidR="006D7126" w:rsidRPr="0030235D" w14:paraId="239B9BC7" w14:textId="77777777" w:rsidTr="00573904">
        <w:tc>
          <w:tcPr>
            <w:tcW w:w="824" w:type="pct"/>
            <w:shd w:val="clear" w:color="auto" w:fill="auto"/>
          </w:tcPr>
          <w:p w14:paraId="27D92B35" w14:textId="77777777" w:rsidR="008B1394" w:rsidRPr="006D7126" w:rsidRDefault="008B1394" w:rsidP="00573904">
            <w:pPr>
              <w:rPr>
                <w:bCs/>
                <w:lang w:val="fr-FR" w:eastAsia="en-US"/>
              </w:rPr>
            </w:pPr>
            <w:r w:rsidRPr="006D7126">
              <w:rPr>
                <w:bCs/>
                <w:lang w:val="fr-FR" w:eastAsia="en-US"/>
              </w:rPr>
              <w:t>5 avril 2022</w:t>
            </w:r>
          </w:p>
        </w:tc>
        <w:tc>
          <w:tcPr>
            <w:tcW w:w="2519" w:type="pct"/>
            <w:shd w:val="clear" w:color="auto" w:fill="auto"/>
          </w:tcPr>
          <w:p w14:paraId="515B5DCE" w14:textId="77777777" w:rsidR="008B1394" w:rsidRPr="006D7126" w:rsidRDefault="008B1394" w:rsidP="00573904">
            <w:pPr>
              <w:rPr>
                <w:lang w:val="fr-FR" w:eastAsia="en-US"/>
              </w:rPr>
            </w:pPr>
            <w:r w:rsidRPr="006D7126">
              <w:rPr>
                <w:lang w:val="fr-FR" w:eastAsia="en-US"/>
              </w:rPr>
              <w:t>Collecte d’information permettant d’évaluer en groupe les capacités organisationnelles et opérationnelles de la Cellule Genre de la PNH (CNAF)</w:t>
            </w:r>
          </w:p>
          <w:p w14:paraId="392A819A" w14:textId="77777777" w:rsidR="008B1394" w:rsidRPr="006D7126" w:rsidRDefault="008B1394" w:rsidP="00573904">
            <w:pPr>
              <w:rPr>
                <w:bCs/>
                <w:lang w:val="fr-FR" w:eastAsia="en-US"/>
              </w:rPr>
            </w:pPr>
          </w:p>
          <w:p w14:paraId="2EBABBA6" w14:textId="77777777" w:rsidR="008B1394" w:rsidRPr="006D7126" w:rsidRDefault="008B1394" w:rsidP="00573904">
            <w:pPr>
              <w:rPr>
                <w:bCs/>
                <w:lang w:val="fr-FR" w:eastAsia="en-US"/>
              </w:rPr>
            </w:pPr>
            <w:r w:rsidRPr="006D7126">
              <w:rPr>
                <w:bCs/>
                <w:lang w:val="fr-FR" w:eastAsia="en-US"/>
              </w:rPr>
              <w:t>Participants – 11 personnes dont : 6 femmes et 4 hommes de la PNH + la conseillère genre du BINUH</w:t>
            </w:r>
          </w:p>
        </w:tc>
        <w:tc>
          <w:tcPr>
            <w:tcW w:w="1657" w:type="pct"/>
            <w:shd w:val="clear" w:color="auto" w:fill="auto"/>
          </w:tcPr>
          <w:p w14:paraId="4CBDACD1" w14:textId="77777777" w:rsidR="008B1394" w:rsidRPr="006D7126" w:rsidRDefault="008B1394" w:rsidP="00573904">
            <w:pPr>
              <w:rPr>
                <w:bCs/>
                <w:lang w:val="fr-FR" w:eastAsia="en-US"/>
              </w:rPr>
            </w:pPr>
            <w:r w:rsidRPr="006D7126">
              <w:rPr>
                <w:bCs/>
                <w:lang w:val="fr-FR" w:eastAsia="en-US"/>
              </w:rPr>
              <w:t>Diagnostic de fonctionnement de la CNAF</w:t>
            </w:r>
          </w:p>
        </w:tc>
      </w:tr>
      <w:tr w:rsidR="006D7126" w:rsidRPr="0030235D" w14:paraId="0A3191AD" w14:textId="77777777" w:rsidTr="00573904">
        <w:tc>
          <w:tcPr>
            <w:tcW w:w="824" w:type="pct"/>
            <w:shd w:val="clear" w:color="auto" w:fill="auto"/>
          </w:tcPr>
          <w:p w14:paraId="23B3F092" w14:textId="77777777" w:rsidR="008B1394" w:rsidRPr="006D7126" w:rsidRDefault="008B1394" w:rsidP="00573904">
            <w:pPr>
              <w:rPr>
                <w:bCs/>
                <w:lang w:val="fr-FR" w:eastAsia="en-US"/>
              </w:rPr>
            </w:pPr>
            <w:r w:rsidRPr="006D7126">
              <w:rPr>
                <w:bCs/>
                <w:lang w:val="fr-FR" w:eastAsia="en-US"/>
              </w:rPr>
              <w:t>6 et 7 avril 2022</w:t>
            </w:r>
          </w:p>
        </w:tc>
        <w:tc>
          <w:tcPr>
            <w:tcW w:w="2519" w:type="pct"/>
            <w:shd w:val="clear" w:color="auto" w:fill="auto"/>
          </w:tcPr>
          <w:p w14:paraId="4920CB42" w14:textId="77777777" w:rsidR="008B1394" w:rsidRPr="006D7126" w:rsidRDefault="008B1394" w:rsidP="00573904">
            <w:pPr>
              <w:rPr>
                <w:bCs/>
                <w:lang w:val="fr-FR" w:eastAsia="en-US"/>
              </w:rPr>
            </w:pPr>
            <w:r w:rsidRPr="006D7126">
              <w:rPr>
                <w:bCs/>
                <w:lang w:val="fr-FR" w:eastAsia="en-US"/>
              </w:rPr>
              <w:t>Exercice de planification stratégique / Séances de travail avec des membres de la CNAF pour définition d’énoncés stratégiques (mission, vision, valeurs, mandats), analyse de contexte (histoire de la cellule), analyse des parties prenantes, analyse SWOT, ébauche d’objectifs.</w:t>
            </w:r>
          </w:p>
          <w:p w14:paraId="0A2281FD" w14:textId="77777777" w:rsidR="008B1394" w:rsidRPr="006D7126" w:rsidRDefault="008B1394" w:rsidP="00573904">
            <w:pPr>
              <w:rPr>
                <w:bCs/>
                <w:lang w:val="fr-FR" w:eastAsia="en-US"/>
              </w:rPr>
            </w:pPr>
          </w:p>
          <w:p w14:paraId="68E186AC" w14:textId="77777777" w:rsidR="008B1394" w:rsidRPr="006D7126" w:rsidRDefault="008B1394" w:rsidP="00573904">
            <w:pPr>
              <w:rPr>
                <w:bCs/>
                <w:lang w:val="fr-FR" w:eastAsia="en-US"/>
              </w:rPr>
            </w:pPr>
            <w:r w:rsidRPr="006D7126">
              <w:rPr>
                <w:bCs/>
                <w:lang w:val="fr-FR" w:eastAsia="en-US"/>
              </w:rPr>
              <w:t>Participants – 11 personnes dont : 6 femmes et 4 hommes de la PNH + la conseillère genre du BINUH</w:t>
            </w:r>
          </w:p>
        </w:tc>
        <w:tc>
          <w:tcPr>
            <w:tcW w:w="1657" w:type="pct"/>
            <w:shd w:val="clear" w:color="auto" w:fill="auto"/>
          </w:tcPr>
          <w:p w14:paraId="2EF8646E" w14:textId="77777777" w:rsidR="008B1394" w:rsidRPr="006D7126" w:rsidRDefault="008B1394" w:rsidP="00573904">
            <w:pPr>
              <w:rPr>
                <w:bCs/>
                <w:lang w:val="fr-FR" w:eastAsia="en-US"/>
              </w:rPr>
            </w:pPr>
            <w:r w:rsidRPr="006D7126">
              <w:rPr>
                <w:bCs/>
                <w:lang w:val="fr-FR" w:eastAsia="en-US"/>
              </w:rPr>
              <w:t>Eléments de base pour conception du plan d’action annuel de la cellule genre</w:t>
            </w:r>
          </w:p>
        </w:tc>
      </w:tr>
      <w:tr w:rsidR="006D7126" w:rsidRPr="0030235D" w14:paraId="24974F77" w14:textId="77777777" w:rsidTr="00573904">
        <w:tc>
          <w:tcPr>
            <w:tcW w:w="824" w:type="pct"/>
            <w:shd w:val="clear" w:color="auto" w:fill="auto"/>
          </w:tcPr>
          <w:p w14:paraId="2AAE58CA" w14:textId="77777777" w:rsidR="008B1394" w:rsidRPr="006D7126" w:rsidRDefault="008B1394" w:rsidP="00573904">
            <w:pPr>
              <w:rPr>
                <w:bCs/>
                <w:lang w:val="fr-FR" w:eastAsia="en-US"/>
              </w:rPr>
            </w:pPr>
            <w:r w:rsidRPr="006D7126">
              <w:rPr>
                <w:bCs/>
                <w:lang w:val="fr-FR" w:eastAsia="en-US"/>
              </w:rPr>
              <w:t xml:space="preserve">12 et 13 avril 2022 </w:t>
            </w:r>
          </w:p>
        </w:tc>
        <w:tc>
          <w:tcPr>
            <w:tcW w:w="2519" w:type="pct"/>
            <w:shd w:val="clear" w:color="auto" w:fill="auto"/>
          </w:tcPr>
          <w:p w14:paraId="7D910709" w14:textId="77777777" w:rsidR="008B1394" w:rsidRPr="006D7126" w:rsidRDefault="008B1394" w:rsidP="00573904">
            <w:pPr>
              <w:rPr>
                <w:bCs/>
                <w:lang w:val="fr-FR" w:eastAsia="en-US"/>
              </w:rPr>
            </w:pPr>
            <w:r w:rsidRPr="006D7126">
              <w:rPr>
                <w:bCs/>
                <w:lang w:val="fr-FR" w:eastAsia="en-US"/>
              </w:rPr>
              <w:t>Séances de travail sur Arbre à problèmes, identification objectifs envisagés, résultats escomptés, activités prévues, dates de réalisation, personnes responsables</w:t>
            </w:r>
          </w:p>
          <w:p w14:paraId="3FC7D350" w14:textId="77777777" w:rsidR="008B1394" w:rsidRPr="006D7126" w:rsidRDefault="008B1394" w:rsidP="00573904">
            <w:pPr>
              <w:rPr>
                <w:bCs/>
                <w:lang w:val="fr-FR" w:eastAsia="en-US"/>
              </w:rPr>
            </w:pPr>
          </w:p>
          <w:p w14:paraId="70028564" w14:textId="77777777" w:rsidR="008B1394" w:rsidRPr="006D7126" w:rsidRDefault="008B1394" w:rsidP="00573904">
            <w:pPr>
              <w:rPr>
                <w:bCs/>
                <w:lang w:val="fr-FR" w:eastAsia="en-US"/>
              </w:rPr>
            </w:pPr>
            <w:r w:rsidRPr="006D7126">
              <w:rPr>
                <w:bCs/>
                <w:lang w:val="fr-FR" w:eastAsia="en-US"/>
              </w:rPr>
              <w:t>Participants – 11 personnes dont : 6 femmes et 4 hommes de la PNH + la conseillère genre du BINUH</w:t>
            </w:r>
          </w:p>
        </w:tc>
        <w:tc>
          <w:tcPr>
            <w:tcW w:w="1657" w:type="pct"/>
            <w:shd w:val="clear" w:color="auto" w:fill="auto"/>
          </w:tcPr>
          <w:p w14:paraId="2BC44BA9" w14:textId="77777777" w:rsidR="008B1394" w:rsidRPr="006D7126" w:rsidRDefault="008B1394" w:rsidP="00573904">
            <w:pPr>
              <w:rPr>
                <w:bCs/>
                <w:lang w:val="fr-FR" w:eastAsia="en-US"/>
              </w:rPr>
            </w:pPr>
            <w:r w:rsidRPr="006D7126">
              <w:rPr>
                <w:bCs/>
                <w:lang w:val="fr-FR" w:eastAsia="en-US"/>
              </w:rPr>
              <w:t>Document de Plan d’action annuel 2022-2023 de la CNAF</w:t>
            </w:r>
          </w:p>
        </w:tc>
      </w:tr>
      <w:tr w:rsidR="006D7126" w:rsidRPr="0030235D" w14:paraId="40BCC1FD" w14:textId="77777777" w:rsidTr="00573904">
        <w:tc>
          <w:tcPr>
            <w:tcW w:w="824" w:type="pct"/>
            <w:shd w:val="clear" w:color="auto" w:fill="auto"/>
          </w:tcPr>
          <w:p w14:paraId="5BD03D21" w14:textId="77777777" w:rsidR="008B1394" w:rsidRPr="006D7126" w:rsidRDefault="008B1394" w:rsidP="00573904">
            <w:pPr>
              <w:rPr>
                <w:bCs/>
                <w:lang w:val="fr-FR" w:eastAsia="en-US"/>
              </w:rPr>
            </w:pPr>
            <w:r w:rsidRPr="006D7126">
              <w:rPr>
                <w:bCs/>
                <w:lang w:val="fr-FR" w:eastAsia="en-US"/>
              </w:rPr>
              <w:t>25 mai 2022</w:t>
            </w:r>
          </w:p>
        </w:tc>
        <w:tc>
          <w:tcPr>
            <w:tcW w:w="2519" w:type="pct"/>
            <w:shd w:val="clear" w:color="auto" w:fill="auto"/>
          </w:tcPr>
          <w:p w14:paraId="5EC5FDF8" w14:textId="77777777" w:rsidR="008B1394" w:rsidRPr="006D7126" w:rsidRDefault="008B1394" w:rsidP="00573904">
            <w:pPr>
              <w:rPr>
                <w:bCs/>
                <w:lang w:val="fr-FR" w:eastAsia="en-US"/>
              </w:rPr>
            </w:pPr>
            <w:r w:rsidRPr="006D7126">
              <w:rPr>
                <w:bCs/>
                <w:lang w:val="fr-FR" w:eastAsia="en-US"/>
              </w:rPr>
              <w:t>Soumission à la Cellule Genre du Parquet des Rapports définitifs du fonctionnement de la Cellule Genre et du Plan d’action 2022-2023 en lien avec le Plan Stratégique</w:t>
            </w:r>
          </w:p>
        </w:tc>
        <w:tc>
          <w:tcPr>
            <w:tcW w:w="1657" w:type="pct"/>
            <w:shd w:val="clear" w:color="auto" w:fill="auto"/>
          </w:tcPr>
          <w:p w14:paraId="6CACEAE8" w14:textId="77777777" w:rsidR="008B1394" w:rsidRPr="006D7126" w:rsidRDefault="008B1394" w:rsidP="00573904">
            <w:pPr>
              <w:rPr>
                <w:bCs/>
                <w:lang w:val="fr-FR" w:eastAsia="en-US"/>
              </w:rPr>
            </w:pPr>
            <w:r w:rsidRPr="006D7126">
              <w:rPr>
                <w:bCs/>
                <w:lang w:val="fr-FR" w:eastAsia="en-US"/>
              </w:rPr>
              <w:t>Appropriation et large diffusion de ces rapports au niveau des différents concernés au Parquet</w:t>
            </w:r>
          </w:p>
        </w:tc>
      </w:tr>
    </w:tbl>
    <w:p w14:paraId="56C53607" w14:textId="4CBB74FE" w:rsidR="00180A7F" w:rsidRDefault="00180A7F" w:rsidP="00C924A4">
      <w:pPr>
        <w:rPr>
          <w:b/>
          <w:lang w:val="fr-FR"/>
        </w:rPr>
      </w:pPr>
    </w:p>
    <w:p w14:paraId="0520BCD6" w14:textId="53F90527" w:rsidR="00180A7F" w:rsidRDefault="00180A7F" w:rsidP="00C924A4">
      <w:pPr>
        <w:rPr>
          <w:b/>
          <w:lang w:val="fr-FR"/>
        </w:rPr>
      </w:pPr>
    </w:p>
    <w:p w14:paraId="134797D7" w14:textId="77777777" w:rsidR="00180A7F" w:rsidRPr="007B62A5" w:rsidRDefault="00180A7F" w:rsidP="00C924A4">
      <w:pPr>
        <w:rPr>
          <w:b/>
          <w:lang w:val="fr-FR"/>
        </w:rPr>
      </w:pPr>
    </w:p>
    <w:p w14:paraId="14989312" w14:textId="317A2236"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BB15CF" w:rsidRPr="005D15A3">
        <w:rPr>
          <w:b/>
          <w:bCs/>
          <w:color w:val="000000"/>
          <w:lang w:val="fr-FR" w:eastAsia="en-US"/>
        </w:rPr>
        <w:t>résultat</w:t>
      </w:r>
      <w:r w:rsidR="00BB15CF"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67CFD710" w14:textId="77777777" w:rsidR="00DA0D1E" w:rsidRDefault="00DA0D1E" w:rsidP="00DB451D">
      <w:pPr>
        <w:suppressAutoHyphens/>
        <w:spacing w:line="1" w:lineRule="atLeast"/>
        <w:jc w:val="both"/>
        <w:textDirection w:val="btLr"/>
        <w:textAlignment w:val="top"/>
        <w:outlineLvl w:val="0"/>
        <w:rPr>
          <w:rFonts w:eastAsia="Corbel"/>
          <w:color w:val="0070C0"/>
          <w:position w:val="-1"/>
          <w:lang w:val="fr-FR"/>
        </w:rPr>
      </w:pPr>
    </w:p>
    <w:p w14:paraId="14E8314F" w14:textId="77777777" w:rsidR="00DA0D1E" w:rsidRDefault="00DA0D1E" w:rsidP="00DB451D">
      <w:pPr>
        <w:suppressAutoHyphens/>
        <w:spacing w:line="1" w:lineRule="atLeast"/>
        <w:jc w:val="both"/>
        <w:textDirection w:val="btLr"/>
        <w:textAlignment w:val="top"/>
        <w:outlineLvl w:val="0"/>
        <w:rPr>
          <w:rFonts w:eastAsia="Corbel"/>
          <w:color w:val="0070C0"/>
          <w:position w:val="-1"/>
          <w:lang w:val="fr-FR"/>
        </w:rPr>
      </w:pPr>
    </w:p>
    <w:p w14:paraId="5C1309CF" w14:textId="2B7A7BB2" w:rsidR="000878C1" w:rsidRPr="00E1515A" w:rsidRDefault="000878C1" w:rsidP="00DB451D">
      <w:pPr>
        <w:suppressAutoHyphens/>
        <w:spacing w:line="1" w:lineRule="atLeast"/>
        <w:jc w:val="both"/>
        <w:textDirection w:val="btLr"/>
        <w:textAlignment w:val="top"/>
        <w:outlineLvl w:val="0"/>
        <w:rPr>
          <w:rFonts w:eastAsia="Corbel"/>
          <w:position w:val="-1"/>
          <w:lang w:val="fr-FR"/>
        </w:rPr>
      </w:pPr>
      <w:r w:rsidRPr="00E1515A">
        <w:rPr>
          <w:rFonts w:eastAsia="Corbel"/>
          <w:position w:val="-1"/>
          <w:lang w:val="fr-FR"/>
        </w:rPr>
        <w:t>Les activités menées dans le cadre de ce résultat visent à renforcer l’accès des femmes ainsi que d’autres groupes vulnérables à la justice.  L'égalité des sexes et l'autonomisation des femmes sont assurées en prévoyant l'intégration du genre dans toutes les activités prévues et/ou mises en œuvre. A travers les accords de partenariats, les partenaires de mise en œuvre sont tenus de prendre en compte la diversité des sexes ainsi que les différentes couches vulnérables dans leurs réalisations respectives. Les matériels de communication et de sensibilisation produits, les outils de travail en matière de VBG développés tiennent</w:t>
      </w:r>
      <w:r w:rsidR="00F16914" w:rsidRPr="00E1515A">
        <w:rPr>
          <w:rFonts w:eastAsia="Corbel"/>
          <w:position w:val="-1"/>
          <w:lang w:val="fr-FR"/>
        </w:rPr>
        <w:t xml:space="preserve"> </w:t>
      </w:r>
      <w:r w:rsidRPr="00E1515A">
        <w:rPr>
          <w:rFonts w:eastAsia="Corbel"/>
          <w:position w:val="-1"/>
          <w:lang w:val="fr-FR"/>
        </w:rPr>
        <w:t xml:space="preserve">clairement compte du genre et des besoins sexospécifiques tout au long de leur développement. Des données désagrégées par sexe sont recueillies lors de chaque atelier ou consultation conduit et les rapports partiels fournis prennent en compte ses informations </w:t>
      </w:r>
      <w:r w:rsidRPr="00E1515A">
        <w:rPr>
          <w:rFonts w:eastAsia="Corbel"/>
          <w:position w:val="-1"/>
          <w:lang w:val="fr-FR"/>
        </w:rPr>
        <w:lastRenderedPageBreak/>
        <w:t>désagrégées. Différents publics dont les jeunes, avocat-es stagiaires et universitaires prennent part dans nos ateliers de consultation. Les TDRs et les productions préliminaires relatifs à la création de la base de données du CNAL prennent en compte des spécificités liés au genre et ONU Femmes participe à toutes les sessions de discussion avec la firme contractée pour s’assurer que tout au long du processus, les besoins sexospécifiques soient pris en compte.</w:t>
      </w:r>
    </w:p>
    <w:p w14:paraId="3C4ECBD1" w14:textId="04F138CC" w:rsidR="00675507" w:rsidRDefault="00675507" w:rsidP="00675507">
      <w:pPr>
        <w:ind w:left="-720"/>
        <w:rPr>
          <w:b/>
          <w:lang w:val="fr-FR"/>
        </w:rPr>
      </w:pPr>
    </w:p>
    <w:p w14:paraId="5DD49E8D" w14:textId="77777777" w:rsidR="00AD11F5" w:rsidRPr="000878C1" w:rsidRDefault="00AD11F5" w:rsidP="009B71E9">
      <w:pPr>
        <w:rPr>
          <w:b/>
          <w:lang w:val="fr-FR"/>
        </w:rPr>
      </w:pPr>
    </w:p>
    <w:p w14:paraId="35EDE632" w14:textId="77777777" w:rsidR="00627A1C" w:rsidRPr="000878C1" w:rsidRDefault="00627A1C" w:rsidP="00627A1C">
      <w:pPr>
        <w:ind w:left="-720"/>
        <w:rPr>
          <w:b/>
          <w:lang w:val="fr-FR"/>
        </w:rPr>
      </w:pPr>
    </w:p>
    <w:p w14:paraId="0DFE2BF2" w14:textId="59B445A9" w:rsidR="00BB15CF" w:rsidRDefault="00675507" w:rsidP="00BB15CF">
      <w:pPr>
        <w:ind w:hanging="2"/>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00BB15CF" w:rsidRPr="00D372F8">
        <w:rPr>
          <w:b/>
          <w:lang w:val="fr-FR"/>
        </w:rPr>
        <w:t>Le renforcement du secteur carcéral et judiciaire dans la réponse à la COVID contribue à l’effort de cohésion sociale et de consolidation de la paix</w:t>
      </w:r>
    </w:p>
    <w:p w14:paraId="73E15037" w14:textId="25CF366F" w:rsidR="003B7DC3" w:rsidRDefault="003B7DC3" w:rsidP="00BB15CF">
      <w:pPr>
        <w:ind w:hanging="2"/>
        <w:rPr>
          <w:b/>
          <w:lang w:val="fr-FR"/>
        </w:rPr>
      </w:pPr>
    </w:p>
    <w:p w14:paraId="1967FBE5" w14:textId="0F5557D2" w:rsidR="003B7DC3" w:rsidRPr="00D372F8" w:rsidRDefault="003B7DC3" w:rsidP="003B7DC3">
      <w:pPr>
        <w:rPr>
          <w:lang w:val="fr-FR"/>
        </w:rPr>
      </w:pPr>
    </w:p>
    <w:p w14:paraId="5D7B73C7" w14:textId="0FE334CF" w:rsidR="008D5760" w:rsidRDefault="003B7DC3" w:rsidP="00180A7F">
      <w:pPr>
        <w:ind w:left="-2"/>
        <w:jc w:val="both"/>
        <w:rPr>
          <w:bCs/>
          <w:lang w:val="fr-FR"/>
        </w:rPr>
      </w:pPr>
      <w:r>
        <w:rPr>
          <w:bCs/>
          <w:lang w:val="fr-FR"/>
        </w:rPr>
        <w:t xml:space="preserve">Le Projet Accès à la justice a fourni à date un important appui au renforcement du secteur carcéral et judiciaire. </w:t>
      </w:r>
      <w:r w:rsidR="008D5760">
        <w:rPr>
          <w:bCs/>
          <w:lang w:val="fr-FR"/>
        </w:rPr>
        <w:t xml:space="preserve">Le Projet a fourni une importante contribution au plan de contingence de la DAP au niveau de la réponse à la COVID 19. Des matériels et équipements sanitaires ont été fournis à la DAP lui permettant de desservir en kits sanitaires les centres carcéraux dans toutes les juridictions du pays. </w:t>
      </w:r>
      <w:r w:rsidR="00CE0209">
        <w:rPr>
          <w:bCs/>
          <w:lang w:val="fr-FR"/>
        </w:rPr>
        <w:t xml:space="preserve"> L’appui</w:t>
      </w:r>
      <w:r w:rsidR="00C150AE">
        <w:rPr>
          <w:bCs/>
          <w:lang w:val="fr-FR"/>
        </w:rPr>
        <w:t xml:space="preserve"> fourni </w:t>
      </w:r>
      <w:r w:rsidR="00CE0209">
        <w:rPr>
          <w:bCs/>
          <w:lang w:val="fr-FR"/>
        </w:rPr>
        <w:t xml:space="preserve">au niveau de la réponse au COVID a pu </w:t>
      </w:r>
      <w:r w:rsidR="00AC4357">
        <w:rPr>
          <w:bCs/>
          <w:lang w:val="fr-FR"/>
        </w:rPr>
        <w:t>permettre à</w:t>
      </w:r>
      <w:r w:rsidR="00CE0209">
        <w:rPr>
          <w:bCs/>
          <w:lang w:val="fr-FR"/>
        </w:rPr>
        <w:t xml:space="preserve"> la DAP de </w:t>
      </w:r>
      <w:r w:rsidR="00AC4357">
        <w:rPr>
          <w:bCs/>
          <w:lang w:val="fr-FR"/>
        </w:rPr>
        <w:t>diminuer</w:t>
      </w:r>
      <w:r w:rsidR="00CE0209">
        <w:rPr>
          <w:bCs/>
          <w:lang w:val="fr-FR"/>
        </w:rPr>
        <w:t xml:space="preserve"> considérablement le risque de propagation du COVID dans les centres carcéraux.</w:t>
      </w:r>
    </w:p>
    <w:p w14:paraId="27811EEB" w14:textId="77777777" w:rsidR="008D5760" w:rsidRDefault="008D5760" w:rsidP="0088310A">
      <w:pPr>
        <w:ind w:left="-900"/>
        <w:jc w:val="both"/>
        <w:rPr>
          <w:bCs/>
          <w:lang w:val="fr-FR"/>
        </w:rPr>
      </w:pPr>
    </w:p>
    <w:p w14:paraId="524E8B76" w14:textId="7ABF4052" w:rsidR="00C81DA4" w:rsidRDefault="008D5760" w:rsidP="00180A7F">
      <w:pPr>
        <w:ind w:left="-2"/>
        <w:jc w:val="both"/>
        <w:rPr>
          <w:bCs/>
          <w:lang w:val="fr-FR"/>
        </w:rPr>
      </w:pPr>
      <w:r>
        <w:rPr>
          <w:bCs/>
          <w:lang w:val="fr-FR"/>
        </w:rPr>
        <w:t xml:space="preserve">Le Projet a permis à la DAP de disposer d’un bâtiment logeant son centre de données </w:t>
      </w:r>
      <w:r w:rsidR="00017E39">
        <w:rPr>
          <w:bCs/>
          <w:lang w:val="fr-FR"/>
        </w:rPr>
        <w:t xml:space="preserve">informatiques </w:t>
      </w:r>
      <w:r w:rsidR="00017E39">
        <w:rPr>
          <w:lang w:val="fr-FR"/>
        </w:rPr>
        <w:t>pour le fonctionnement efficace de son système de gestion des détenus (SYGED). Une salle d’audience a été construite à la prison civile des Cayes devant permettre une nette augmentation des audiences correctionnelles dans la juridiction judiciaire des Cayes. Un appui technique a aussi été offert par le Projet a la DAP devant lui permettre une meilleure coordination avec les partenaires techniques et financiers venant en support à la DAP dans les différents centres de détention de la République.</w:t>
      </w:r>
      <w:r w:rsidR="003B7DC3">
        <w:rPr>
          <w:bCs/>
          <w:lang w:val="fr-FR"/>
        </w:rPr>
        <w:t xml:space="preserve"> </w:t>
      </w:r>
      <w:r w:rsidR="006C34B7">
        <w:rPr>
          <w:bCs/>
          <w:lang w:val="fr-FR"/>
        </w:rPr>
        <w:t>L</w:t>
      </w:r>
      <w:r w:rsidR="003B7DC3">
        <w:rPr>
          <w:bCs/>
          <w:lang w:val="fr-FR"/>
        </w:rPr>
        <w:t xml:space="preserve">a DAP dispose d’un centre de données (Data Center).  Des matériels informatiques ont aussi été fournis </w:t>
      </w:r>
      <w:r w:rsidR="003F1AEB">
        <w:rPr>
          <w:bCs/>
          <w:lang w:val="fr-FR"/>
        </w:rPr>
        <w:t>à</w:t>
      </w:r>
      <w:r w:rsidR="003B7DC3">
        <w:rPr>
          <w:bCs/>
          <w:lang w:val="fr-FR"/>
        </w:rPr>
        <w:t xml:space="preserve"> la DAP en vue de consolider le Système de gestion de la </w:t>
      </w:r>
      <w:r w:rsidR="003F1AEB">
        <w:rPr>
          <w:bCs/>
          <w:lang w:val="fr-FR"/>
        </w:rPr>
        <w:t>détention</w:t>
      </w:r>
      <w:r w:rsidR="003B7DC3">
        <w:rPr>
          <w:bCs/>
          <w:lang w:val="fr-FR"/>
        </w:rPr>
        <w:t xml:space="preserve"> (SYGED)</w:t>
      </w:r>
      <w:r w:rsidR="003F1AEB">
        <w:rPr>
          <w:bCs/>
          <w:lang w:val="fr-FR"/>
        </w:rPr>
        <w:t xml:space="preserve">. Le Projet a aussi facilité la mise en réseaux des centres de détention à travers le développement de la base de données informatiques de la DAP. </w:t>
      </w:r>
    </w:p>
    <w:p w14:paraId="52B30EA5" w14:textId="77777777" w:rsidR="00C81DA4" w:rsidRDefault="00C81DA4" w:rsidP="0088310A">
      <w:pPr>
        <w:ind w:left="-900"/>
        <w:jc w:val="both"/>
        <w:rPr>
          <w:bCs/>
          <w:lang w:val="fr-FR"/>
        </w:rPr>
      </w:pPr>
    </w:p>
    <w:p w14:paraId="6A74A207" w14:textId="20A1C771" w:rsidR="00854109" w:rsidRPr="008C36B7" w:rsidRDefault="003F1AEB" w:rsidP="00180A7F">
      <w:pPr>
        <w:ind w:left="-2"/>
        <w:jc w:val="both"/>
        <w:rPr>
          <w:bCs/>
          <w:color w:val="0070C0"/>
          <w:lang w:val="fr-FR"/>
        </w:rPr>
      </w:pPr>
      <w:r>
        <w:rPr>
          <w:bCs/>
          <w:lang w:val="fr-FR"/>
        </w:rPr>
        <w:t xml:space="preserve">Le Projet a également fourni un important appui </w:t>
      </w:r>
      <w:r w:rsidR="00C81DA4">
        <w:rPr>
          <w:lang w:val="fr-FR"/>
        </w:rPr>
        <w:t xml:space="preserve">à </w:t>
      </w:r>
      <w:r>
        <w:rPr>
          <w:bCs/>
          <w:lang w:val="fr-FR"/>
        </w:rPr>
        <w:t>la DAP pour la coordination de l’action des partenaires techniques et financiers et ce dans les différents centres de détention à travers le territoire</w:t>
      </w:r>
      <w:r w:rsidR="008C36B7">
        <w:rPr>
          <w:bCs/>
          <w:lang w:val="fr-FR"/>
        </w:rPr>
        <w:t xml:space="preserve"> </w:t>
      </w:r>
      <w:r w:rsidR="008C36B7" w:rsidRPr="00E1515A">
        <w:rPr>
          <w:bCs/>
          <w:lang w:val="fr-FR"/>
        </w:rPr>
        <w:t>à travers notamment le renforcement des ressources humaines</w:t>
      </w:r>
      <w:r w:rsidRPr="00E1515A">
        <w:rPr>
          <w:bCs/>
          <w:lang w:val="fr-FR"/>
        </w:rPr>
        <w:t>.</w:t>
      </w:r>
      <w:r w:rsidR="00854109" w:rsidRPr="00E1515A">
        <w:rPr>
          <w:lang w:val="fr-FR"/>
        </w:rPr>
        <w:t xml:space="preserve"> </w:t>
      </w:r>
      <w:r w:rsidR="00854109" w:rsidRPr="00E1515A">
        <w:rPr>
          <w:bCs/>
          <w:lang w:val="fr-FR"/>
        </w:rPr>
        <w:t xml:space="preserve">Cette personne ressource contribue à faciliter la coopération technique avec les services et unités de la DAP pour l'obtention d’une série de résultats à travers les accords de partenariat tels : l'harmonisation des activités des composantes du projet avec les différents acteurs de développement ; la facilitation des échanges avec les partenaires ainsi que le renforcement de la capacité institutionnelle de la DAP dans la coordination et la gestion des partenariats. </w:t>
      </w:r>
    </w:p>
    <w:p w14:paraId="10A6E830" w14:textId="77777777" w:rsidR="00854109" w:rsidRDefault="00854109" w:rsidP="0088310A">
      <w:pPr>
        <w:ind w:left="-900"/>
        <w:jc w:val="both"/>
        <w:rPr>
          <w:bCs/>
          <w:lang w:val="fr-FR"/>
        </w:rPr>
      </w:pPr>
    </w:p>
    <w:p w14:paraId="10E29FE7" w14:textId="6E26329B" w:rsidR="00017E39" w:rsidRDefault="0088310A" w:rsidP="00180A7F">
      <w:pPr>
        <w:ind w:left="-2"/>
        <w:jc w:val="both"/>
        <w:rPr>
          <w:lang w:val="fr-FR"/>
        </w:rPr>
      </w:pPr>
      <w:r>
        <w:rPr>
          <w:lang w:val="fr-FR"/>
        </w:rPr>
        <w:t xml:space="preserve">Sur le renforcement du secteur carcéral et judiciaire dans la réponse au COVID 19, le Projet Accès à la justice a apporté une contribution importante </w:t>
      </w:r>
      <w:r w:rsidR="00C81DA4">
        <w:rPr>
          <w:lang w:val="fr-FR"/>
        </w:rPr>
        <w:t>à la</w:t>
      </w:r>
      <w:r>
        <w:rPr>
          <w:lang w:val="fr-FR"/>
        </w:rPr>
        <w:t xml:space="preserve"> Direction de l’Administration Pénitentiaire en lui dotant de matériels et d’équipements sanitaires et hygiéniques pouvant couvrir l’ensemble des centres carcéraux de la République. </w:t>
      </w:r>
    </w:p>
    <w:p w14:paraId="34E06A23" w14:textId="77777777" w:rsidR="00017E39" w:rsidRDefault="00017E39" w:rsidP="0088310A">
      <w:pPr>
        <w:ind w:left="-900"/>
        <w:jc w:val="both"/>
        <w:rPr>
          <w:lang w:val="fr-FR"/>
        </w:rPr>
      </w:pPr>
    </w:p>
    <w:p w14:paraId="7338E347" w14:textId="611D1CA2" w:rsidR="0088310A" w:rsidRDefault="0088310A" w:rsidP="002E5DBE">
      <w:pPr>
        <w:ind w:left="-2"/>
        <w:jc w:val="both"/>
        <w:rPr>
          <w:lang w:val="fr-FR"/>
        </w:rPr>
      </w:pPr>
      <w:r>
        <w:rPr>
          <w:lang w:val="fr-FR"/>
        </w:rPr>
        <w:t xml:space="preserve">Des actions particulières ont été réalisées dans les zones cibles du projet telles que la réalisation de cliniques mobiles médicales dans les centres carcéraux, installation de système de traitement d’eau pour les détenus, sensibilisation des détenus sur leurs droit, formation des acteurs judiciaires et de la société civile sur les droits détenus etc. Des matériels de </w:t>
      </w:r>
      <w:r>
        <w:rPr>
          <w:lang w:val="fr-FR"/>
        </w:rPr>
        <w:lastRenderedPageBreak/>
        <w:t xml:space="preserve">communication et des sensibilisations ont été développés par le Projet sur le respect des droits des détenus avec le support des organismes de la société civile. </w:t>
      </w:r>
    </w:p>
    <w:p w14:paraId="68741DD7" w14:textId="77777777" w:rsidR="0088310A" w:rsidRDefault="0088310A" w:rsidP="0088310A">
      <w:pPr>
        <w:ind w:left="-900"/>
        <w:jc w:val="both"/>
        <w:rPr>
          <w:lang w:val="fr-FR"/>
        </w:rPr>
      </w:pPr>
    </w:p>
    <w:p w14:paraId="02A4DAC5" w14:textId="16B04252" w:rsidR="00675507" w:rsidRDefault="0088310A" w:rsidP="002E5DBE">
      <w:pPr>
        <w:ind w:left="-2"/>
        <w:jc w:val="both"/>
        <w:rPr>
          <w:color w:val="0070C0"/>
          <w:lang w:val="fr-FR"/>
        </w:rPr>
      </w:pPr>
      <w:r>
        <w:rPr>
          <w:lang w:val="fr-FR"/>
        </w:rPr>
        <w:t>Le Projet a aussi apporté une contribution importante dans l’amélioration des conditions de détentions dans les centres carcéraux tels que ; l’amélioration des infrastructures sanitaires des centres carcéraux, l’amélioration des infrastructures entreposant les aliments des détenus</w:t>
      </w:r>
      <w:r w:rsidR="00BF40F0">
        <w:rPr>
          <w:lang w:val="fr-FR"/>
        </w:rPr>
        <w:t xml:space="preserve">, </w:t>
      </w:r>
      <w:r w:rsidR="00BF40F0" w:rsidRPr="00E1515A">
        <w:rPr>
          <w:lang w:val="fr-FR"/>
        </w:rPr>
        <w:t xml:space="preserve">distribution de kits d’hygiènes et sanitaires </w:t>
      </w:r>
      <w:r w:rsidR="00122979" w:rsidRPr="00E1515A">
        <w:rPr>
          <w:lang w:val="fr-FR"/>
        </w:rPr>
        <w:t xml:space="preserve">aux détenues </w:t>
      </w:r>
      <w:r w:rsidRPr="00E1515A">
        <w:rPr>
          <w:lang w:val="fr-FR"/>
        </w:rPr>
        <w:t>etc.</w:t>
      </w:r>
      <w:r w:rsidR="002713E6" w:rsidRPr="00E1515A">
        <w:rPr>
          <w:rFonts w:eastAsia="MS Mincho"/>
          <w:position w:val="-1"/>
          <w:lang w:val="fr-FR"/>
        </w:rPr>
        <w:t xml:space="preserve"> Cette collaboration avec la DAP dans l’amélioration </w:t>
      </w:r>
      <w:r w:rsidR="00895310" w:rsidRPr="00E1515A">
        <w:rPr>
          <w:rFonts w:eastAsia="MS Mincho"/>
          <w:position w:val="-1"/>
          <w:lang w:val="fr-FR"/>
        </w:rPr>
        <w:t xml:space="preserve">des conditions de détention </w:t>
      </w:r>
      <w:r w:rsidR="002713E6" w:rsidRPr="00E1515A">
        <w:rPr>
          <w:rFonts w:eastAsia="MS Mincho"/>
          <w:position w:val="-1"/>
          <w:lang w:val="fr-FR"/>
        </w:rPr>
        <w:t>contribuera grandement à renforcer la DAP dans son rôle de gestionnaire de prison ; renforcer le leadership du personnel pénitentiaire et renforcer la confiance des détenu</w:t>
      </w:r>
      <w:r w:rsidR="00261360" w:rsidRPr="00E1515A">
        <w:rPr>
          <w:rFonts w:eastAsia="MS Mincho"/>
          <w:position w:val="-1"/>
          <w:lang w:val="fr-FR"/>
        </w:rPr>
        <w:t>e</w:t>
      </w:r>
      <w:r w:rsidR="002713E6" w:rsidRPr="00E1515A">
        <w:rPr>
          <w:rFonts w:eastAsia="MS Mincho"/>
          <w:position w:val="-1"/>
          <w:lang w:val="fr-FR"/>
        </w:rPr>
        <w:t>s dans les initiatives prises par l'administration publique pour améliorer leurs conditions de détention</w:t>
      </w:r>
      <w:r w:rsidR="00854109">
        <w:rPr>
          <w:color w:val="0070C0"/>
          <w:lang w:val="fr-FR"/>
        </w:rPr>
        <w:t>.</w:t>
      </w:r>
    </w:p>
    <w:p w14:paraId="02ED08E1" w14:textId="5A7A3EFB" w:rsidR="00123B5C" w:rsidRDefault="00123B5C" w:rsidP="002E5DBE">
      <w:pPr>
        <w:ind w:left="-2"/>
        <w:jc w:val="both"/>
        <w:rPr>
          <w:color w:val="0070C0"/>
          <w:lang w:val="fr-FR"/>
        </w:rPr>
      </w:pPr>
    </w:p>
    <w:p w14:paraId="20DB3668" w14:textId="471E355F" w:rsidR="00123B5C" w:rsidRPr="00D979A3" w:rsidRDefault="00123B5C" w:rsidP="00D979A3">
      <w:pPr>
        <w:pBdr>
          <w:top w:val="nil"/>
          <w:left w:val="nil"/>
          <w:bottom w:val="nil"/>
          <w:right w:val="nil"/>
          <w:between w:val="nil"/>
        </w:pBdr>
        <w:suppressAutoHyphens/>
        <w:spacing w:after="160"/>
        <w:jc w:val="both"/>
        <w:textDirection w:val="btLr"/>
        <w:textAlignment w:val="top"/>
        <w:outlineLvl w:val="0"/>
        <w:rPr>
          <w:color w:val="000000"/>
          <w:lang w:val="fr-FR"/>
        </w:rPr>
      </w:pPr>
      <w:r w:rsidRPr="00123B5C">
        <w:rPr>
          <w:color w:val="000000"/>
          <w:lang w:val="fr-FR"/>
        </w:rPr>
        <w:t xml:space="preserve">L’UNICEF a distribué dans les prisons de Delmas, Cabaret, la BPM et les commissariats de police des matériels de protection contre le Covid 19. </w:t>
      </w:r>
      <w:r w:rsidRPr="00D979A3">
        <w:rPr>
          <w:color w:val="000000"/>
          <w:lang w:val="fr-FR"/>
        </w:rPr>
        <w:t xml:space="preserve">130 mineurs libérés et 57 familles ont reçu des kits d’hygiènes durant les trois derniers mois via le partenaire d’implémentation IMED. Le rétablissement des liens familiaux a été rétabli avec 67 mineurs et des kits scolaires ont donné au CERMICOL pour 84 enfants en conflit avec la loi. Dans le but d’améliorer le suivi et la coordination des actions partenaires pendant la pandémie du Covid 19, 50 </w:t>
      </w:r>
      <w:r w:rsidR="00D979A3" w:rsidRPr="00D979A3">
        <w:rPr>
          <w:color w:val="000000"/>
          <w:lang w:val="fr-FR"/>
        </w:rPr>
        <w:t>modems</w:t>
      </w:r>
      <w:r w:rsidRPr="00D979A3">
        <w:rPr>
          <w:color w:val="000000"/>
          <w:lang w:val="fr-FR"/>
        </w:rPr>
        <w:t xml:space="preserve"> avec connexion internet ont remis aux responsables des institutions et agents de protection durant les six derniers mois.  De l’appui psychosocial fourni à 100% des mineurs réinsérés et ceux en prison </w:t>
      </w:r>
    </w:p>
    <w:p w14:paraId="1ECF1993" w14:textId="77777777" w:rsidR="00123B5C" w:rsidRDefault="00123B5C" w:rsidP="002E5DBE">
      <w:pPr>
        <w:ind w:left="-2"/>
        <w:jc w:val="both"/>
        <w:rPr>
          <w:color w:val="0070C0"/>
          <w:lang w:val="fr-FR"/>
        </w:rPr>
      </w:pPr>
    </w:p>
    <w:p w14:paraId="09D7CDA0" w14:textId="77777777" w:rsidR="00854109" w:rsidRPr="00854109" w:rsidRDefault="00854109" w:rsidP="00854109">
      <w:pPr>
        <w:ind w:left="-900"/>
        <w:jc w:val="both"/>
        <w:rPr>
          <w:color w:val="0070C0"/>
          <w:lang w:val="fr-FR"/>
        </w:rPr>
      </w:pPr>
    </w:p>
    <w:p w14:paraId="09695970" w14:textId="77777777" w:rsidR="00675507" w:rsidRPr="00615EA3" w:rsidRDefault="00675507" w:rsidP="00675507">
      <w:pPr>
        <w:ind w:left="-720"/>
        <w:rPr>
          <w:b/>
          <w:lang w:val="fr-FR"/>
        </w:rPr>
      </w:pPr>
    </w:p>
    <w:p w14:paraId="2998D510" w14:textId="482DC64E"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B71ADA">
        <w:rPr>
          <w:rFonts w:ascii="inherit" w:hAnsi="inherit"/>
          <w:color w:val="212121"/>
          <w:lang w:val="fr-FR"/>
        </w:rPr>
        <w:t>résultat</w:t>
      </w:r>
      <w:r w:rsidR="00B71ADA" w:rsidRPr="009C39D0">
        <w:rPr>
          <w:rFonts w:ascii="inherit" w:hAnsi="inherit"/>
          <w:color w:val="212121"/>
          <w:lang w:val="fr-FR"/>
        </w:rPr>
        <w:t xml:space="preserve"> :</w:t>
      </w:r>
      <w:r w:rsidRPr="00615EA3">
        <w:rPr>
          <w:b/>
          <w:lang w:val="fr-FR"/>
        </w:rPr>
        <w:t xml:space="preserve"> </w:t>
      </w:r>
      <w:r w:rsidR="00171370">
        <w:rPr>
          <w:b/>
          <w:lang w:val="fr-FR"/>
        </w:rPr>
        <w:t>On Track</w:t>
      </w:r>
    </w:p>
    <w:p w14:paraId="67329A32" w14:textId="77777777" w:rsidR="00675507" w:rsidRPr="005D15A3" w:rsidRDefault="00675507" w:rsidP="00675507">
      <w:pPr>
        <w:ind w:left="-720"/>
        <w:jc w:val="both"/>
        <w:rPr>
          <w:b/>
          <w:lang w:val="fr-FR"/>
        </w:rPr>
      </w:pPr>
    </w:p>
    <w:p w14:paraId="09DF2041" w14:textId="4FE50879" w:rsidR="00117EE7" w:rsidRPr="009A6313" w:rsidRDefault="00117EE7" w:rsidP="00117EE7">
      <w:pPr>
        <w:ind w:left="-720"/>
        <w:rPr>
          <w:b/>
          <w:lang w:val="fr-FR"/>
        </w:rPr>
      </w:pPr>
    </w:p>
    <w:p w14:paraId="1F076BB6" w14:textId="77777777" w:rsidR="00117EE7" w:rsidRDefault="00117EE7" w:rsidP="00117EE7">
      <w:pPr>
        <w:pStyle w:val="HTMLPreformatted"/>
        <w:shd w:val="clear" w:color="auto" w:fill="FFFFFF"/>
        <w:rPr>
          <w:rFonts w:ascii="Times New Roman" w:hAnsi="Times New Roman" w:cs="Times New Roman"/>
          <w:b/>
          <w:sz w:val="24"/>
          <w:szCs w:val="24"/>
          <w:u w:val="single"/>
          <w:lang w:val="fr-FR" w:eastAsia="en-GB"/>
        </w:rPr>
        <w:sectPr w:rsidR="00117EE7" w:rsidSect="003758E5">
          <w:pgSz w:w="11906" w:h="16838"/>
          <w:pgMar w:top="1440" w:right="1175" w:bottom="1440" w:left="1800" w:header="720" w:footer="720" w:gutter="0"/>
          <w:cols w:space="720"/>
          <w:docGrid w:linePitch="360"/>
        </w:sectPr>
      </w:pPr>
    </w:p>
    <w:p w14:paraId="57D46181" w14:textId="4E35D4FA" w:rsidR="00117EE7" w:rsidRDefault="00117EE7" w:rsidP="00117EE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09AD81BC" w14:textId="77777777" w:rsidR="00117EE7" w:rsidRDefault="00117EE7" w:rsidP="00117EE7">
      <w:pPr>
        <w:pStyle w:val="HTMLPreformatted"/>
        <w:shd w:val="clear" w:color="auto" w:fill="FFFFFF"/>
        <w:rPr>
          <w:rFonts w:ascii="Times New Roman" w:hAnsi="Times New Roman" w:cs="Times New Roman"/>
          <w:b/>
          <w:sz w:val="24"/>
          <w:szCs w:val="24"/>
          <w:u w:val="single"/>
          <w:lang w:val="fr-FR" w:eastAsia="en-GB"/>
        </w:rPr>
      </w:pPr>
    </w:p>
    <w:p w14:paraId="6056C40A" w14:textId="1A6D908A" w:rsidR="00117EE7" w:rsidRPr="005529F5" w:rsidRDefault="00117EE7" w:rsidP="00117EE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dans le tableau ci-dessous. Veuillez sélectionnez les 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BAB9D0E" w14:textId="77777777" w:rsidR="00117EE7" w:rsidRPr="005529F5" w:rsidRDefault="00117EE7" w:rsidP="00117EE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7"/>
        <w:gridCol w:w="1800"/>
        <w:gridCol w:w="1103"/>
        <w:gridCol w:w="1327"/>
        <w:gridCol w:w="2363"/>
        <w:gridCol w:w="2070"/>
        <w:gridCol w:w="4140"/>
      </w:tblGrid>
      <w:tr w:rsidR="007B62A5" w:rsidRPr="0030235D" w14:paraId="6109562B" w14:textId="77777777" w:rsidTr="00FD2D7D">
        <w:trPr>
          <w:tblHeader/>
        </w:trPr>
        <w:tc>
          <w:tcPr>
            <w:tcW w:w="2227" w:type="dxa"/>
          </w:tcPr>
          <w:p w14:paraId="4546FC0B" w14:textId="77777777" w:rsidR="007B62A5" w:rsidRPr="005A6420" w:rsidRDefault="007B62A5" w:rsidP="0084166C">
            <w:pPr>
              <w:jc w:val="center"/>
              <w:rPr>
                <w:rFonts w:cs="Tahoma"/>
                <w:b/>
                <w:szCs w:val="20"/>
                <w:lang w:val="fr-FR" w:eastAsia="en-US"/>
              </w:rPr>
            </w:pPr>
          </w:p>
        </w:tc>
        <w:tc>
          <w:tcPr>
            <w:tcW w:w="1800" w:type="dxa"/>
            <w:shd w:val="clear" w:color="auto" w:fill="EEECE1"/>
          </w:tcPr>
          <w:p w14:paraId="4F400EC2" w14:textId="77777777" w:rsidR="007B62A5" w:rsidRPr="005A6420" w:rsidRDefault="007B62A5" w:rsidP="0084166C">
            <w:pPr>
              <w:jc w:val="center"/>
              <w:rPr>
                <w:rFonts w:cs="Tahoma"/>
                <w:b/>
                <w:szCs w:val="20"/>
                <w:lang w:val="fr-FR" w:eastAsia="en-US"/>
              </w:rPr>
            </w:pPr>
            <w:r w:rsidRPr="005A6420">
              <w:rPr>
                <w:rFonts w:cs="Tahoma"/>
                <w:b/>
                <w:szCs w:val="20"/>
                <w:lang w:val="fr-FR" w:eastAsia="en-US"/>
              </w:rPr>
              <w:t>Indicateurs</w:t>
            </w:r>
          </w:p>
        </w:tc>
        <w:tc>
          <w:tcPr>
            <w:tcW w:w="1103" w:type="dxa"/>
            <w:shd w:val="clear" w:color="auto" w:fill="EEECE1"/>
          </w:tcPr>
          <w:p w14:paraId="6782FD5E" w14:textId="05BF6244" w:rsidR="007B62A5" w:rsidRPr="005A6420" w:rsidRDefault="007B62A5" w:rsidP="0084166C">
            <w:pPr>
              <w:jc w:val="center"/>
              <w:rPr>
                <w:rFonts w:cs="Tahoma"/>
                <w:b/>
                <w:szCs w:val="20"/>
                <w:lang w:val="fr-FR" w:eastAsia="en-US"/>
              </w:rPr>
            </w:pPr>
            <w:r w:rsidRPr="005A6420">
              <w:rPr>
                <w:rFonts w:cs="Tahoma"/>
                <w:b/>
                <w:szCs w:val="20"/>
                <w:lang w:val="fr-FR" w:eastAsia="en-US"/>
              </w:rPr>
              <w:t xml:space="preserve">Base de </w:t>
            </w:r>
            <w:r w:rsidR="00B47747" w:rsidRPr="005A6420">
              <w:rPr>
                <w:rFonts w:cs="Tahoma"/>
                <w:b/>
                <w:szCs w:val="20"/>
                <w:lang w:val="fr-FR" w:eastAsia="en-US"/>
              </w:rPr>
              <w:t>données</w:t>
            </w:r>
          </w:p>
        </w:tc>
        <w:tc>
          <w:tcPr>
            <w:tcW w:w="1327" w:type="dxa"/>
            <w:shd w:val="clear" w:color="auto" w:fill="EEECE1"/>
          </w:tcPr>
          <w:p w14:paraId="273EF7A3" w14:textId="77777777" w:rsidR="007B62A5" w:rsidRPr="005A6420" w:rsidRDefault="007B62A5" w:rsidP="0084166C">
            <w:pPr>
              <w:jc w:val="center"/>
              <w:rPr>
                <w:rFonts w:cs="Tahoma"/>
                <w:b/>
                <w:szCs w:val="20"/>
                <w:lang w:val="fr-FR" w:eastAsia="en-US"/>
              </w:rPr>
            </w:pPr>
            <w:r w:rsidRPr="005A6420">
              <w:rPr>
                <w:rFonts w:cs="Tahoma"/>
                <w:b/>
                <w:szCs w:val="20"/>
                <w:lang w:val="fr-FR" w:eastAsia="en-US"/>
              </w:rPr>
              <w:t>Cible de fin de projet</w:t>
            </w:r>
          </w:p>
        </w:tc>
        <w:tc>
          <w:tcPr>
            <w:tcW w:w="2363" w:type="dxa"/>
          </w:tcPr>
          <w:p w14:paraId="35AEDEB0" w14:textId="77777777" w:rsidR="007B62A5" w:rsidRPr="005A6420" w:rsidRDefault="007B62A5" w:rsidP="0084166C">
            <w:pPr>
              <w:jc w:val="center"/>
              <w:rPr>
                <w:rFonts w:cs="Tahoma"/>
                <w:b/>
                <w:szCs w:val="20"/>
                <w:lang w:val="fr-FR" w:eastAsia="en-US"/>
              </w:rPr>
            </w:pPr>
            <w:r>
              <w:rPr>
                <w:rFonts w:cs="Tahoma"/>
                <w:b/>
                <w:szCs w:val="20"/>
                <w:lang w:val="fr-FR" w:eastAsia="en-US"/>
              </w:rPr>
              <w:t>Etapes d’indicateur/ Milestone</w:t>
            </w:r>
          </w:p>
        </w:tc>
        <w:tc>
          <w:tcPr>
            <w:tcW w:w="2070" w:type="dxa"/>
          </w:tcPr>
          <w:p w14:paraId="10A1E1CE" w14:textId="77777777" w:rsidR="007B62A5" w:rsidRPr="005A6420" w:rsidRDefault="007B62A5" w:rsidP="0084166C">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2D604379" w14:textId="77777777" w:rsidR="007B62A5" w:rsidRPr="005A6420" w:rsidRDefault="007B62A5" w:rsidP="0084166C">
            <w:pPr>
              <w:jc w:val="center"/>
              <w:rPr>
                <w:rFonts w:cs="Tahoma"/>
                <w:b/>
                <w:szCs w:val="20"/>
                <w:lang w:val="fr-FR" w:eastAsia="en-US"/>
              </w:rPr>
            </w:pPr>
            <w:r w:rsidRPr="005A6420">
              <w:rPr>
                <w:rFonts w:cs="Tahoma"/>
                <w:b/>
                <w:szCs w:val="20"/>
                <w:lang w:val="fr-FR" w:eastAsia="en-US"/>
              </w:rPr>
              <w:t>Raisons pour les retards ou changements</w:t>
            </w:r>
          </w:p>
        </w:tc>
      </w:tr>
      <w:tr w:rsidR="007B62A5" w:rsidRPr="0030235D" w14:paraId="02306D4D" w14:textId="77777777" w:rsidTr="00FD2D7D">
        <w:trPr>
          <w:trHeight w:val="548"/>
        </w:trPr>
        <w:tc>
          <w:tcPr>
            <w:tcW w:w="2227" w:type="dxa"/>
          </w:tcPr>
          <w:p w14:paraId="3E3B87F6" w14:textId="77777777" w:rsidR="007B62A5" w:rsidRPr="002C15BF" w:rsidRDefault="007B62A5" w:rsidP="0084166C">
            <w:pPr>
              <w:ind w:hanging="2"/>
              <w:rPr>
                <w:lang w:val="fr-FR"/>
              </w:rPr>
            </w:pPr>
            <w:r w:rsidRPr="002C15BF">
              <w:rPr>
                <w:b/>
                <w:lang w:val="fr-FR"/>
              </w:rPr>
              <w:t>Résultat 1</w:t>
            </w:r>
          </w:p>
          <w:p w14:paraId="0CDBC821" w14:textId="77777777" w:rsidR="007B62A5" w:rsidRDefault="007B62A5" w:rsidP="0084166C">
            <w:pPr>
              <w:rPr>
                <w:lang w:val="fr-FR"/>
              </w:rPr>
            </w:pPr>
            <w:r>
              <w:rPr>
                <w:b/>
                <w:noProof/>
                <w:lang w:val="fr-FR"/>
              </w:rPr>
              <mc:AlternateContent>
                <mc:Choice Requires="wps">
                  <w:drawing>
                    <wp:anchor distT="0" distB="0" distL="114300" distR="114300" simplePos="0" relativeHeight="251660288" behindDoc="0" locked="0" layoutInCell="1" allowOverlap="1" wp14:anchorId="6AC681AB" wp14:editId="5C696BF0">
                      <wp:simplePos x="0" y="0"/>
                      <wp:positionH relativeFrom="column">
                        <wp:posOffset>-65477</wp:posOffset>
                      </wp:positionH>
                      <wp:positionV relativeFrom="paragraph">
                        <wp:posOffset>1592017</wp:posOffset>
                      </wp:positionV>
                      <wp:extent cx="1403798" cy="19318"/>
                      <wp:effectExtent l="0" t="0" r="25400" b="19050"/>
                      <wp:wrapNone/>
                      <wp:docPr id="4" name="Straight Connector 4"/>
                      <wp:cNvGraphicFramePr/>
                      <a:graphic xmlns:a="http://schemas.openxmlformats.org/drawingml/2006/main">
                        <a:graphicData uri="http://schemas.microsoft.com/office/word/2010/wordprocessingShape">
                          <wps:wsp>
                            <wps:cNvCnPr/>
                            <wps:spPr>
                              <a:xfrm flipV="1">
                                <a:off x="0" y="0"/>
                                <a:ext cx="1403798" cy="193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D4CADF"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15pt,125.35pt" to="105.4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" strokecolor="#4472c4 [3204]" strokeweight=".5pt">
                      <v:stroke joinstyle="miter"/>
                    </v:line>
                  </w:pict>
                </mc:Fallback>
              </mc:AlternateContent>
            </w:r>
            <w:r w:rsidRPr="002C15BF">
              <w:rPr>
                <w:b/>
                <w:lang w:val="fr-FR"/>
              </w:rPr>
              <w:t xml:space="preserve">: </w:t>
            </w:r>
            <w:r w:rsidRPr="002C15BF">
              <w:rPr>
                <w:lang w:val="fr-FR"/>
              </w:rPr>
              <w:t>Les populations vulnérables ont un meilleur accès aux services d'aide juridique et judiciaire à travers la mise en place du système national d'assistance</w:t>
            </w:r>
          </w:p>
          <w:p w14:paraId="669952B5" w14:textId="77777777" w:rsidR="007B62A5" w:rsidRDefault="007B62A5" w:rsidP="0084166C">
            <w:pPr>
              <w:rPr>
                <w:lang w:val="fr-FR"/>
              </w:rPr>
            </w:pPr>
          </w:p>
          <w:p w14:paraId="2306D6DA" w14:textId="77777777" w:rsidR="007B62A5" w:rsidRPr="002C15BF" w:rsidRDefault="007B62A5" w:rsidP="0084166C">
            <w:pPr>
              <w:ind w:hanging="2"/>
              <w:rPr>
                <w:lang w:val="fr-FR"/>
              </w:rPr>
            </w:pPr>
            <w:r w:rsidRPr="002C15BF">
              <w:rPr>
                <w:lang w:val="fr-FR"/>
              </w:rPr>
              <w:t>Produit 1.1 :</w:t>
            </w:r>
          </w:p>
          <w:p w14:paraId="586D2EA7" w14:textId="77777777" w:rsidR="007B62A5" w:rsidRPr="002C15BF" w:rsidRDefault="007B62A5" w:rsidP="0084166C">
            <w:pPr>
              <w:ind w:hanging="2"/>
              <w:rPr>
                <w:lang w:val="fr-FR"/>
              </w:rPr>
            </w:pPr>
            <w:r w:rsidRPr="002C15BF">
              <w:rPr>
                <w:lang w:val="fr-FR"/>
              </w:rPr>
              <w:t>Le CNAL est mis en place et opérationnel, et est outillé pour assurer la coordination et l’encadrement du fonctionnement des BA</w:t>
            </w:r>
          </w:p>
          <w:p w14:paraId="6FA3A51E" w14:textId="77777777" w:rsidR="007B62A5" w:rsidRPr="001A2567" w:rsidRDefault="007B62A5" w:rsidP="0084166C">
            <w:pPr>
              <w:rPr>
                <w:rFonts w:cs="Tahoma"/>
                <w:szCs w:val="20"/>
                <w:lang w:val="fr-FR" w:eastAsia="en-US"/>
              </w:rPr>
            </w:pPr>
          </w:p>
        </w:tc>
        <w:tc>
          <w:tcPr>
            <w:tcW w:w="1800" w:type="dxa"/>
            <w:shd w:val="clear" w:color="auto" w:fill="EEECE1"/>
          </w:tcPr>
          <w:p w14:paraId="740251AD" w14:textId="77777777" w:rsidR="007B62A5" w:rsidRPr="002C15BF" w:rsidRDefault="007B62A5" w:rsidP="0084166C">
            <w:pPr>
              <w:ind w:hanging="2"/>
              <w:jc w:val="both"/>
              <w:rPr>
                <w:lang w:val="fr-FR"/>
              </w:rPr>
            </w:pPr>
            <w:r w:rsidRPr="002C15BF">
              <w:rPr>
                <w:lang w:val="fr-FR"/>
              </w:rPr>
              <w:t>Indicateur 1.1</w:t>
            </w:r>
          </w:p>
          <w:p w14:paraId="18045BB3" w14:textId="77777777" w:rsidR="007B62A5" w:rsidRPr="005A6420" w:rsidRDefault="007B62A5" w:rsidP="0084166C">
            <w:pPr>
              <w:jc w:val="both"/>
              <w:rPr>
                <w:rFonts w:cs="Tahoma"/>
                <w:szCs w:val="20"/>
                <w:lang w:val="fr-FR" w:eastAsia="en-US"/>
              </w:rPr>
            </w:pPr>
            <w:r w:rsidRPr="002C15BF">
              <w:rPr>
                <w:lang w:val="fr-FR"/>
              </w:rPr>
              <w:t>Mesure dans laquelle les BALs sont mis en place de manière équitable et stable</w:t>
            </w:r>
          </w:p>
        </w:tc>
        <w:tc>
          <w:tcPr>
            <w:tcW w:w="1103" w:type="dxa"/>
            <w:shd w:val="clear" w:color="auto" w:fill="EEECE1"/>
          </w:tcPr>
          <w:p w14:paraId="7A3EB39F" w14:textId="77777777" w:rsidR="007B62A5" w:rsidRPr="005A6420" w:rsidRDefault="007B62A5" w:rsidP="0084166C">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327" w:type="dxa"/>
            <w:shd w:val="clear" w:color="auto" w:fill="EEECE1"/>
          </w:tcPr>
          <w:p w14:paraId="527DD38C" w14:textId="77777777" w:rsidR="007B62A5" w:rsidRPr="002C15BF" w:rsidRDefault="007B62A5" w:rsidP="0084166C">
            <w:pPr>
              <w:ind w:hanging="2"/>
              <w:rPr>
                <w:lang w:val="fr-FR"/>
              </w:rPr>
            </w:pPr>
            <w:r w:rsidRPr="002C15BF">
              <w:rPr>
                <w:lang w:val="fr-FR"/>
              </w:rPr>
              <w:t xml:space="preserve">Existence de conditions viables pouvant assurer la pérennité équitable des BALs après le projet. La présence de ces éléments exprime une forte mesure d’équitabilité et de stabilité des BALs. </w:t>
            </w:r>
          </w:p>
          <w:p w14:paraId="40297435" w14:textId="77777777" w:rsidR="007B62A5" w:rsidRPr="002C15BF" w:rsidRDefault="007B62A5" w:rsidP="0084166C">
            <w:pPr>
              <w:ind w:hanging="2"/>
              <w:rPr>
                <w:lang w:val="fr-FR"/>
              </w:rPr>
            </w:pPr>
          </w:p>
          <w:p w14:paraId="115BE0A3" w14:textId="77777777" w:rsidR="007B62A5" w:rsidRPr="005A6420" w:rsidRDefault="007B62A5" w:rsidP="0084166C">
            <w:pPr>
              <w:rPr>
                <w:lang w:val="fr-FR"/>
              </w:rPr>
            </w:pPr>
          </w:p>
        </w:tc>
        <w:tc>
          <w:tcPr>
            <w:tcW w:w="2363" w:type="dxa"/>
          </w:tcPr>
          <w:p w14:paraId="0CC5765B" w14:textId="77777777" w:rsidR="007B62A5" w:rsidRPr="002C15BF" w:rsidRDefault="007B62A5" w:rsidP="0084166C">
            <w:pPr>
              <w:ind w:hanging="2"/>
              <w:rPr>
                <w:lang w:val="fr-FR"/>
              </w:rPr>
            </w:pPr>
            <w:r w:rsidRPr="002C15BF">
              <w:rPr>
                <w:b/>
                <w:lang w:val="fr-FR"/>
              </w:rPr>
              <w:t>-</w:t>
            </w:r>
            <w:r w:rsidRPr="002C15BF">
              <w:rPr>
                <w:lang w:val="fr-FR"/>
              </w:rPr>
              <w:t>Composition de plus de 30% du personnel des deux BALs opérationnels</w:t>
            </w:r>
          </w:p>
          <w:p w14:paraId="0E5A29D3" w14:textId="77777777" w:rsidR="007B62A5" w:rsidRPr="002C15BF" w:rsidRDefault="007B62A5" w:rsidP="0084166C">
            <w:pPr>
              <w:ind w:hanging="2"/>
              <w:rPr>
                <w:lang w:val="fr-FR"/>
              </w:rPr>
            </w:pPr>
            <w:r w:rsidRPr="002C15BF">
              <w:rPr>
                <w:lang w:val="fr-FR"/>
              </w:rPr>
              <w:t>-Les BALs mis en place ont eu lieu avec la collaboration des barreaux de leurs juridictions</w:t>
            </w:r>
          </w:p>
          <w:p w14:paraId="34032FF0" w14:textId="13B5DFD0" w:rsidR="007B62A5" w:rsidRPr="002C15BF" w:rsidRDefault="007B62A5" w:rsidP="0084166C">
            <w:pPr>
              <w:ind w:hanging="2"/>
              <w:rPr>
                <w:lang w:val="fr-FR"/>
              </w:rPr>
            </w:pPr>
            <w:r w:rsidRPr="002C15BF">
              <w:rPr>
                <w:lang w:val="fr-FR"/>
              </w:rPr>
              <w:t xml:space="preserve">-Le budget de fonctionnement de ces </w:t>
            </w:r>
            <w:r w:rsidR="00113C2A">
              <w:rPr>
                <w:lang w:val="fr-FR"/>
              </w:rPr>
              <w:t>3</w:t>
            </w:r>
            <w:r w:rsidRPr="002C15BF">
              <w:rPr>
                <w:lang w:val="fr-FR"/>
              </w:rPr>
              <w:t xml:space="preserve"> BALs provient du budget du MJSP</w:t>
            </w:r>
          </w:p>
          <w:p w14:paraId="7952CB12" w14:textId="77777777" w:rsidR="007B62A5" w:rsidRPr="005A6420" w:rsidRDefault="007B62A5" w:rsidP="0084166C">
            <w:pPr>
              <w:rPr>
                <w:lang w:val="fr-FR"/>
              </w:rPr>
            </w:pPr>
            <w:r w:rsidRPr="002C15BF">
              <w:rPr>
                <w:lang w:val="fr-FR"/>
              </w:rPr>
              <w:t>-Formation en cours des balistes</w:t>
            </w:r>
          </w:p>
        </w:tc>
        <w:tc>
          <w:tcPr>
            <w:tcW w:w="2070" w:type="dxa"/>
          </w:tcPr>
          <w:p w14:paraId="78457D47" w14:textId="77777777" w:rsidR="007B62A5" w:rsidRPr="002C15BF" w:rsidRDefault="007B62A5" w:rsidP="0084166C">
            <w:pPr>
              <w:ind w:hanging="2"/>
              <w:rPr>
                <w:lang w:val="fr-FR"/>
              </w:rPr>
            </w:pPr>
            <w:r w:rsidRPr="002C15BF">
              <w:rPr>
                <w:lang w:val="fr-FR"/>
              </w:rPr>
              <w:t xml:space="preserve">Le projet a atteint au moins 80% de sa contribution dans la satisfaction de cet indicateur. </w:t>
            </w:r>
          </w:p>
          <w:p w14:paraId="1CE403DB" w14:textId="77777777" w:rsidR="007B62A5" w:rsidRPr="005A6420" w:rsidRDefault="007B62A5" w:rsidP="0084166C">
            <w:pPr>
              <w:rPr>
                <w:lang w:val="fr-FR"/>
              </w:rPr>
            </w:pPr>
            <w:r w:rsidRPr="002C15BF">
              <w:rPr>
                <w:lang w:val="fr-FR"/>
              </w:rPr>
              <w:t xml:space="preserve">A présent, on estime moyenne la mesure de stabilité et d’équitabilité des BALs fonctionnels. </w:t>
            </w:r>
          </w:p>
        </w:tc>
        <w:tc>
          <w:tcPr>
            <w:tcW w:w="4140" w:type="dxa"/>
          </w:tcPr>
          <w:p w14:paraId="7274B429" w14:textId="7BDE670F" w:rsidR="007B62A5" w:rsidRPr="005A6420" w:rsidRDefault="007B62A5" w:rsidP="0084166C">
            <w:pPr>
              <w:rPr>
                <w:lang w:val="fr-FR"/>
              </w:rPr>
            </w:pPr>
            <w:r w:rsidRPr="002C15BF">
              <w:rPr>
                <w:bCs/>
                <w:lang w:val="fr-FR"/>
              </w:rPr>
              <w:t xml:space="preserve">L’émargement du personnel des BALs sur le budget du fonctionnement de l’Etat reste une étape importante qui n’est pas encore franchie. Sans cet élément, on n’aura pas la pérennisation du personnel qui maintenant fonctionne souvent avec des mois d’arriéré de salaire. En outre, il faut aussi l’application d’un code d’éthique et de déontologie qui empêche les questions de conflit d’intérêt ainsi qu’un traitement salarial satisfaisant accompagné d’un mécanisme de supervision qui promeut la productivité et la compétence. En </w:t>
            </w:r>
            <w:r w:rsidR="00113C2A" w:rsidRPr="002C15BF">
              <w:rPr>
                <w:bCs/>
                <w:lang w:val="fr-FR"/>
              </w:rPr>
              <w:t>ce</w:t>
            </w:r>
            <w:r w:rsidRPr="002C15BF">
              <w:rPr>
                <w:bCs/>
                <w:lang w:val="fr-FR"/>
              </w:rPr>
              <w:t xml:space="preserve"> sens le travail de plaidoyer du projet</w:t>
            </w:r>
            <w:r w:rsidR="00E6353D">
              <w:rPr>
                <w:bCs/>
                <w:lang w:val="fr-FR"/>
              </w:rPr>
              <w:t xml:space="preserve"> devrait continuer</w:t>
            </w:r>
            <w:r w:rsidRPr="002C15BF">
              <w:rPr>
                <w:b/>
                <w:lang w:val="fr-FR"/>
              </w:rPr>
              <w:t xml:space="preserve">. </w:t>
            </w:r>
          </w:p>
        </w:tc>
      </w:tr>
      <w:tr w:rsidR="007B62A5" w:rsidRPr="0030235D" w14:paraId="57AF2950" w14:textId="77777777" w:rsidTr="00FD2D7D">
        <w:trPr>
          <w:trHeight w:val="548"/>
        </w:trPr>
        <w:tc>
          <w:tcPr>
            <w:tcW w:w="2227" w:type="dxa"/>
            <w:vMerge w:val="restart"/>
          </w:tcPr>
          <w:p w14:paraId="7B6438EC" w14:textId="77777777" w:rsidR="007B62A5" w:rsidRPr="001A2567" w:rsidRDefault="007B62A5" w:rsidP="0084166C">
            <w:pPr>
              <w:rPr>
                <w:rFonts w:cs="Tahoma"/>
                <w:bCs/>
                <w:szCs w:val="20"/>
                <w:lang w:val="fr-FR" w:eastAsia="en-US"/>
              </w:rPr>
            </w:pPr>
            <w:r w:rsidRPr="001A2567">
              <w:rPr>
                <w:bCs/>
                <w:lang w:val="fr-FR"/>
              </w:rPr>
              <w:lastRenderedPageBreak/>
              <w:t>Produit : 1.2 Les nouveaux BALs sont opérationnels et offrent des services d’aide juridique et judiciaire de qualité</w:t>
            </w:r>
          </w:p>
        </w:tc>
        <w:tc>
          <w:tcPr>
            <w:tcW w:w="1800" w:type="dxa"/>
            <w:shd w:val="clear" w:color="auto" w:fill="EEECE1"/>
          </w:tcPr>
          <w:p w14:paraId="4EE8A35B" w14:textId="77777777" w:rsidR="007B62A5" w:rsidRPr="002C15BF" w:rsidRDefault="007B62A5" w:rsidP="0084166C">
            <w:pPr>
              <w:ind w:hanging="2"/>
              <w:jc w:val="both"/>
              <w:rPr>
                <w:lang w:val="fr-FR"/>
              </w:rPr>
            </w:pPr>
            <w:r w:rsidRPr="002C15BF">
              <w:rPr>
                <w:b/>
                <w:lang w:val="fr-FR"/>
              </w:rPr>
              <w:t>Indicateur 1.2.1</w:t>
            </w:r>
          </w:p>
          <w:p w14:paraId="4DCFAA02" w14:textId="77777777" w:rsidR="007B62A5" w:rsidRPr="002C15BF" w:rsidRDefault="007B62A5" w:rsidP="0084166C">
            <w:pPr>
              <w:ind w:hanging="2"/>
              <w:jc w:val="both"/>
              <w:rPr>
                <w:lang w:val="fr-FR"/>
              </w:rPr>
            </w:pPr>
            <w:r w:rsidRPr="002C15BF">
              <w:rPr>
                <w:lang w:val="fr-FR"/>
              </w:rPr>
              <w:t>Nombre de personnel des BALs qui participent à au moins une formation initiale pour la prise en charges des gens (désagrégé par sexe et par groupe d'âge</w:t>
            </w:r>
          </w:p>
          <w:p w14:paraId="32B9E14C" w14:textId="77777777" w:rsidR="007B62A5" w:rsidRPr="005A6420" w:rsidRDefault="007B62A5" w:rsidP="0084166C">
            <w:pPr>
              <w:jc w:val="both"/>
              <w:rPr>
                <w:rFonts w:cs="Tahoma"/>
                <w:szCs w:val="20"/>
                <w:lang w:val="fr-FR" w:eastAsia="en-US"/>
              </w:rPr>
            </w:pPr>
            <w:r w:rsidRPr="002C15BF">
              <w:rPr>
                <w:b/>
              </w:rPr>
              <w:t>     </w:t>
            </w:r>
          </w:p>
        </w:tc>
        <w:tc>
          <w:tcPr>
            <w:tcW w:w="1103" w:type="dxa"/>
            <w:shd w:val="clear" w:color="auto" w:fill="EEECE1"/>
          </w:tcPr>
          <w:p w14:paraId="200500E5" w14:textId="77777777" w:rsidR="007B62A5" w:rsidRPr="005A6420" w:rsidRDefault="007B62A5" w:rsidP="0084166C">
            <w:pPr>
              <w:rPr>
                <w:lang w:val="fr-FR"/>
              </w:rPr>
            </w:pPr>
            <w:r w:rsidRPr="002C15BF">
              <w:rPr>
                <w:b/>
              </w:rPr>
              <w:t>     0</w:t>
            </w:r>
          </w:p>
        </w:tc>
        <w:tc>
          <w:tcPr>
            <w:tcW w:w="1327" w:type="dxa"/>
            <w:shd w:val="clear" w:color="auto" w:fill="EEECE1"/>
          </w:tcPr>
          <w:p w14:paraId="7B001453" w14:textId="77777777" w:rsidR="007B62A5" w:rsidRPr="005A6420" w:rsidRDefault="007B62A5" w:rsidP="0084166C">
            <w:pPr>
              <w:rPr>
                <w:lang w:val="fr-FR"/>
              </w:rPr>
            </w:pPr>
            <w:r w:rsidRPr="002C15BF">
              <w:rPr>
                <w:b/>
              </w:rPr>
              <w:t>36</w:t>
            </w:r>
          </w:p>
        </w:tc>
        <w:tc>
          <w:tcPr>
            <w:tcW w:w="2363" w:type="dxa"/>
          </w:tcPr>
          <w:p w14:paraId="4D18AAC3" w14:textId="77777777" w:rsidR="007B62A5" w:rsidRPr="005A6420" w:rsidRDefault="007B62A5" w:rsidP="0084166C">
            <w:pPr>
              <w:rPr>
                <w:lang w:val="fr-FR"/>
              </w:rPr>
            </w:pPr>
            <w:r w:rsidRPr="002C15BF">
              <w:rPr>
                <w:lang w:val="fr-FR"/>
              </w:rPr>
              <w:t>Une première formation sur la médiation a eu lieu</w:t>
            </w:r>
          </w:p>
        </w:tc>
        <w:tc>
          <w:tcPr>
            <w:tcW w:w="2070" w:type="dxa"/>
          </w:tcPr>
          <w:p w14:paraId="465BE95C" w14:textId="77777777" w:rsidR="007B62A5" w:rsidRPr="005A6420" w:rsidRDefault="007B62A5" w:rsidP="0084166C">
            <w:pPr>
              <w:rPr>
                <w:lang w:val="fr-FR"/>
              </w:rPr>
            </w:pPr>
            <w:r w:rsidRPr="002C15BF">
              <w:rPr>
                <w:b/>
              </w:rPr>
              <w:t>9 (3 femmes, 6 Hommes)</w:t>
            </w:r>
          </w:p>
        </w:tc>
        <w:tc>
          <w:tcPr>
            <w:tcW w:w="4140" w:type="dxa"/>
          </w:tcPr>
          <w:p w14:paraId="4F144530" w14:textId="77777777" w:rsidR="007B62A5" w:rsidRPr="005A6420" w:rsidRDefault="007B62A5" w:rsidP="0084166C">
            <w:pPr>
              <w:rPr>
                <w:lang w:val="fr-FR"/>
              </w:rPr>
            </w:pPr>
            <w:r w:rsidRPr="002C15BF">
              <w:rPr>
                <w:lang w:val="fr-FR"/>
              </w:rPr>
              <w:t xml:space="preserve">La situation d’insécurité dans la région métropolitaine a contraint le staff du projet de réviser la stratégie de réalisation des formations. Maintenant, on planifie les autres séances en province qui devraient avoir lieu avant la fin du mois de juin. </w:t>
            </w:r>
          </w:p>
        </w:tc>
      </w:tr>
      <w:tr w:rsidR="007B62A5" w:rsidRPr="0030235D" w14:paraId="24472B2C" w14:textId="77777777" w:rsidTr="00FD2D7D">
        <w:trPr>
          <w:trHeight w:val="548"/>
        </w:trPr>
        <w:tc>
          <w:tcPr>
            <w:tcW w:w="2227" w:type="dxa"/>
            <w:vMerge/>
          </w:tcPr>
          <w:p w14:paraId="75D0CAF6" w14:textId="77777777" w:rsidR="007B62A5" w:rsidRPr="005A6420" w:rsidRDefault="007B62A5" w:rsidP="0084166C">
            <w:pPr>
              <w:rPr>
                <w:rFonts w:cs="Tahoma"/>
                <w:szCs w:val="20"/>
                <w:lang w:val="fr-FR" w:eastAsia="en-US"/>
              </w:rPr>
            </w:pPr>
          </w:p>
        </w:tc>
        <w:tc>
          <w:tcPr>
            <w:tcW w:w="1800" w:type="dxa"/>
            <w:shd w:val="clear" w:color="auto" w:fill="EEECE1"/>
            <w:vAlign w:val="center"/>
          </w:tcPr>
          <w:p w14:paraId="66072498" w14:textId="77777777" w:rsidR="007B62A5" w:rsidRPr="002C15BF" w:rsidRDefault="007B62A5" w:rsidP="0084166C">
            <w:pPr>
              <w:ind w:hanging="2"/>
              <w:jc w:val="both"/>
              <w:rPr>
                <w:lang w:val="fr-FR"/>
              </w:rPr>
            </w:pPr>
            <w:proofErr w:type="gramStart"/>
            <w:r w:rsidRPr="002C15BF">
              <w:rPr>
                <w:lang w:val="fr-FR"/>
              </w:rPr>
              <w:t>Indicateur  1.2.3</w:t>
            </w:r>
            <w:proofErr w:type="gramEnd"/>
          </w:p>
          <w:p w14:paraId="3B13C458" w14:textId="77777777" w:rsidR="007B62A5" w:rsidRPr="002C15BF" w:rsidRDefault="007B62A5" w:rsidP="0084166C">
            <w:pPr>
              <w:ind w:hanging="2"/>
              <w:jc w:val="both"/>
              <w:rPr>
                <w:lang w:val="fr-FR"/>
              </w:rPr>
            </w:pPr>
            <w:r w:rsidRPr="002C15BF">
              <w:rPr>
                <w:lang w:val="fr-FR"/>
              </w:rPr>
              <w:t>Nombre de matériels de communication et de visibilité produits et distribués dans les zones ciblées du projet, dans les commissariats et les prisons</w:t>
            </w:r>
          </w:p>
          <w:p w14:paraId="006037BE" w14:textId="77777777" w:rsidR="007B62A5" w:rsidRPr="005A6420" w:rsidRDefault="007B62A5" w:rsidP="0084166C">
            <w:pPr>
              <w:jc w:val="both"/>
              <w:rPr>
                <w:rFonts w:cs="Tahoma"/>
                <w:szCs w:val="20"/>
                <w:lang w:val="fr-FR" w:eastAsia="en-US"/>
              </w:rPr>
            </w:pPr>
            <w:r w:rsidRPr="002C15BF">
              <w:rPr>
                <w:b/>
              </w:rPr>
              <w:t>     </w:t>
            </w:r>
          </w:p>
        </w:tc>
        <w:tc>
          <w:tcPr>
            <w:tcW w:w="1103" w:type="dxa"/>
            <w:shd w:val="clear" w:color="auto" w:fill="EEECE1"/>
            <w:vAlign w:val="center"/>
          </w:tcPr>
          <w:p w14:paraId="06472A5A" w14:textId="77777777" w:rsidR="007B62A5" w:rsidRPr="005A6420" w:rsidRDefault="007B62A5" w:rsidP="0084166C">
            <w:pPr>
              <w:rPr>
                <w:lang w:val="fr-FR"/>
              </w:rPr>
            </w:pPr>
            <w:r w:rsidRPr="002C15BF">
              <w:rPr>
                <w:b/>
              </w:rPr>
              <w:t>     </w:t>
            </w:r>
          </w:p>
        </w:tc>
        <w:tc>
          <w:tcPr>
            <w:tcW w:w="1327" w:type="dxa"/>
            <w:shd w:val="clear" w:color="auto" w:fill="EEECE1"/>
            <w:vAlign w:val="center"/>
          </w:tcPr>
          <w:p w14:paraId="73306642" w14:textId="77777777" w:rsidR="007B62A5" w:rsidRPr="005A6420" w:rsidRDefault="007B62A5" w:rsidP="0084166C">
            <w:pPr>
              <w:rPr>
                <w:lang w:val="fr-FR"/>
              </w:rPr>
            </w:pPr>
            <w:r w:rsidRPr="002C15BF">
              <w:rPr>
                <w:b/>
              </w:rPr>
              <w:t>1200</w:t>
            </w:r>
          </w:p>
        </w:tc>
        <w:tc>
          <w:tcPr>
            <w:tcW w:w="2363" w:type="dxa"/>
            <w:vAlign w:val="center"/>
          </w:tcPr>
          <w:p w14:paraId="22CFD698" w14:textId="7F82BCAF" w:rsidR="007B62A5" w:rsidRPr="005A6420" w:rsidRDefault="007B62A5" w:rsidP="0084166C">
            <w:pPr>
              <w:rPr>
                <w:lang w:val="fr-FR"/>
              </w:rPr>
            </w:pPr>
            <w:r w:rsidRPr="002C15BF">
              <w:rPr>
                <w:lang w:val="fr-FR"/>
              </w:rPr>
              <w:t xml:space="preserve">Pendant cette période, l’OPC a </w:t>
            </w:r>
            <w:r w:rsidR="00E6353D" w:rsidRPr="002C15BF">
              <w:rPr>
                <w:lang w:val="fr-FR"/>
              </w:rPr>
              <w:t>conçu</w:t>
            </w:r>
            <w:r w:rsidRPr="002C15BF">
              <w:rPr>
                <w:lang w:val="fr-FR"/>
              </w:rPr>
              <w:t xml:space="preserve"> plusieurs outils de vulgarisation, notamment des capsules médiatiques, des pamphlets et des brochures qui sont dans un processus de multiplication pour distribution à grande échelle. Entretemps, d’autres organisation partenaires, dont la Fondation Terre </w:t>
            </w:r>
            <w:r w:rsidRPr="002C15BF">
              <w:rPr>
                <w:lang w:val="fr-FR"/>
              </w:rPr>
              <w:lastRenderedPageBreak/>
              <w:t>Bleue, la VHDH et l’OCNH ont pu attein</w:t>
            </w:r>
            <w:r w:rsidR="00A35002">
              <w:rPr>
                <w:lang w:val="fr-FR"/>
              </w:rPr>
              <w:t>dre</w:t>
            </w:r>
            <w:r w:rsidRPr="002C15BF">
              <w:rPr>
                <w:lang w:val="fr-FR"/>
              </w:rPr>
              <w:t xml:space="preserve"> environ 11,000 personnes via des réseaux sociaux, en particulier Facebook.  </w:t>
            </w:r>
          </w:p>
        </w:tc>
        <w:tc>
          <w:tcPr>
            <w:tcW w:w="2070" w:type="dxa"/>
            <w:vAlign w:val="center"/>
          </w:tcPr>
          <w:p w14:paraId="1A684609" w14:textId="77777777" w:rsidR="007B62A5" w:rsidRPr="002C15BF" w:rsidRDefault="007B62A5" w:rsidP="0084166C">
            <w:pPr>
              <w:ind w:left="-2"/>
              <w:rPr>
                <w:lang w:val="fr-FR"/>
              </w:rPr>
            </w:pPr>
          </w:p>
          <w:p w14:paraId="2D537F51" w14:textId="600FE8D1" w:rsidR="007B62A5" w:rsidRPr="005A6420" w:rsidRDefault="007B62A5" w:rsidP="0084166C">
            <w:pPr>
              <w:rPr>
                <w:lang w:val="fr-FR"/>
              </w:rPr>
            </w:pPr>
            <w:r w:rsidRPr="002C15BF">
              <w:rPr>
                <w:lang w:val="fr-FR"/>
              </w:rPr>
              <w:t xml:space="preserve">Via </w:t>
            </w:r>
            <w:r w:rsidR="00E6353D">
              <w:rPr>
                <w:lang w:val="fr-FR"/>
              </w:rPr>
              <w:t xml:space="preserve">des </w:t>
            </w:r>
            <w:r w:rsidRPr="002C15BF">
              <w:rPr>
                <w:lang w:val="fr-FR"/>
              </w:rPr>
              <w:t xml:space="preserve">OSCs (VHDH, FJKL, IMED, FTB, et l’OCNH) </w:t>
            </w:r>
            <w:r w:rsidR="00E6353D">
              <w:rPr>
                <w:lang w:val="fr-FR"/>
              </w:rPr>
              <w:t xml:space="preserve">le projet </w:t>
            </w:r>
            <w:r w:rsidRPr="002C15BF">
              <w:rPr>
                <w:lang w:val="fr-FR"/>
              </w:rPr>
              <w:t xml:space="preserve">a distribué </w:t>
            </w:r>
            <w:r w:rsidRPr="002C15BF">
              <w:rPr>
                <w:b/>
                <w:bCs/>
                <w:lang w:val="fr-FR"/>
              </w:rPr>
              <w:t>plus de 800</w:t>
            </w:r>
            <w:r w:rsidRPr="002C15BF">
              <w:rPr>
                <w:lang w:val="fr-FR"/>
              </w:rPr>
              <w:t xml:space="preserve"> matériels de communication et de visibilité en rapport avec l’assistance légal</w:t>
            </w:r>
            <w:r w:rsidR="00E6353D">
              <w:rPr>
                <w:lang w:val="fr-FR"/>
              </w:rPr>
              <w:t>e</w:t>
            </w:r>
          </w:p>
        </w:tc>
        <w:tc>
          <w:tcPr>
            <w:tcW w:w="4140" w:type="dxa"/>
            <w:vAlign w:val="center"/>
          </w:tcPr>
          <w:p w14:paraId="77481B2B" w14:textId="77777777" w:rsidR="007B62A5" w:rsidRPr="005A6420" w:rsidRDefault="007B62A5" w:rsidP="0084166C">
            <w:pPr>
              <w:rPr>
                <w:lang w:val="fr-FR"/>
              </w:rPr>
            </w:pPr>
          </w:p>
        </w:tc>
      </w:tr>
      <w:tr w:rsidR="007B62A5" w:rsidRPr="0030235D" w14:paraId="110EDC7F" w14:textId="77777777" w:rsidTr="00FD2D7D">
        <w:trPr>
          <w:trHeight w:val="548"/>
        </w:trPr>
        <w:tc>
          <w:tcPr>
            <w:tcW w:w="2227" w:type="dxa"/>
            <w:vMerge w:val="restart"/>
          </w:tcPr>
          <w:p w14:paraId="594FF5D9" w14:textId="77777777" w:rsidR="007B62A5" w:rsidRPr="002C15BF" w:rsidRDefault="007B62A5" w:rsidP="0084166C">
            <w:pPr>
              <w:ind w:hanging="2"/>
              <w:rPr>
                <w:lang w:val="fr-FR"/>
              </w:rPr>
            </w:pPr>
            <w:r w:rsidRPr="002C15BF">
              <w:rPr>
                <w:b/>
                <w:lang w:val="fr-FR"/>
              </w:rPr>
              <w:t>Produit 1.3</w:t>
            </w:r>
          </w:p>
          <w:p w14:paraId="6B976EE1" w14:textId="77777777" w:rsidR="007B62A5" w:rsidRPr="005A6420" w:rsidRDefault="007B62A5" w:rsidP="0084166C">
            <w:pPr>
              <w:rPr>
                <w:rFonts w:cs="Tahoma"/>
                <w:b/>
                <w:szCs w:val="20"/>
                <w:lang w:val="fr-FR" w:eastAsia="en-US"/>
              </w:rPr>
            </w:pPr>
            <w:r w:rsidRPr="002C15BF">
              <w:rPr>
                <w:lang w:val="fr-FR"/>
              </w:rPr>
              <w:t>Les organisations de la société civile disposent des capacités techniques accrues pour renforcer leur offre juridique et leur collaboration avec les nouveaux BALs</w:t>
            </w:r>
            <w:r w:rsidRPr="005A6420">
              <w:rPr>
                <w:rFonts w:cs="Tahoma"/>
                <w:b/>
                <w:szCs w:val="20"/>
                <w:lang w:val="fr-FR" w:eastAsia="en-US"/>
              </w:rPr>
              <w:t xml:space="preserve"> </w:t>
            </w:r>
          </w:p>
        </w:tc>
        <w:tc>
          <w:tcPr>
            <w:tcW w:w="1800" w:type="dxa"/>
            <w:shd w:val="clear" w:color="auto" w:fill="EEECE1"/>
          </w:tcPr>
          <w:p w14:paraId="2B85A0E8" w14:textId="77777777" w:rsidR="007B62A5" w:rsidRPr="002C15BF" w:rsidRDefault="007B62A5" w:rsidP="0084166C">
            <w:pPr>
              <w:tabs>
                <w:tab w:val="left" w:pos="3105"/>
              </w:tabs>
              <w:ind w:hanging="2"/>
              <w:rPr>
                <w:b/>
                <w:lang w:val="fr-FR"/>
              </w:rPr>
            </w:pPr>
            <w:r w:rsidRPr="002C15BF">
              <w:rPr>
                <w:b/>
                <w:lang w:val="fr-FR"/>
              </w:rPr>
              <w:t>Indicateur 1.3.</w:t>
            </w:r>
          </w:p>
          <w:p w14:paraId="407A9ECD" w14:textId="77777777" w:rsidR="007B62A5" w:rsidRPr="005A6420" w:rsidRDefault="007B62A5" w:rsidP="0084166C">
            <w:pPr>
              <w:jc w:val="both"/>
              <w:rPr>
                <w:rFonts w:cs="Tahoma"/>
                <w:szCs w:val="20"/>
                <w:lang w:val="fr-FR" w:eastAsia="en-US"/>
              </w:rPr>
            </w:pPr>
            <w:r w:rsidRPr="002C15BF">
              <w:rPr>
                <w:bCs/>
                <w:lang w:val="fr-FR"/>
              </w:rPr>
              <w:t>Mesure dans laquelle les cliniques juridiques sont mises en place de manière durable et équitable</w:t>
            </w:r>
          </w:p>
        </w:tc>
        <w:tc>
          <w:tcPr>
            <w:tcW w:w="1103" w:type="dxa"/>
            <w:shd w:val="clear" w:color="auto" w:fill="EEECE1"/>
          </w:tcPr>
          <w:p w14:paraId="3B2AF2FE" w14:textId="77777777" w:rsidR="007B62A5" w:rsidRPr="005A6420" w:rsidRDefault="007B62A5" w:rsidP="0084166C">
            <w:pPr>
              <w:rPr>
                <w:lang w:val="fr-FR"/>
              </w:rPr>
            </w:pPr>
          </w:p>
        </w:tc>
        <w:tc>
          <w:tcPr>
            <w:tcW w:w="1327" w:type="dxa"/>
            <w:shd w:val="clear" w:color="auto" w:fill="EEECE1"/>
          </w:tcPr>
          <w:p w14:paraId="79B8CFEA" w14:textId="77777777" w:rsidR="007B62A5" w:rsidRPr="005A6420" w:rsidRDefault="007B62A5" w:rsidP="0084166C">
            <w:pPr>
              <w:rPr>
                <w:lang w:val="fr-FR"/>
              </w:rPr>
            </w:pPr>
            <w:r w:rsidRPr="002C15BF">
              <w:rPr>
                <w:b/>
                <w:lang w:val="fr-FR"/>
              </w:rPr>
              <w:t>Forte</w:t>
            </w:r>
          </w:p>
        </w:tc>
        <w:tc>
          <w:tcPr>
            <w:tcW w:w="2363" w:type="dxa"/>
          </w:tcPr>
          <w:p w14:paraId="420D3573" w14:textId="7487CB1D" w:rsidR="007B62A5" w:rsidRPr="005A6420" w:rsidRDefault="007B62A5" w:rsidP="0084166C">
            <w:pPr>
              <w:rPr>
                <w:lang w:val="fr-FR"/>
              </w:rPr>
            </w:pPr>
            <w:r w:rsidRPr="002C15BF">
              <w:rPr>
                <w:bCs/>
                <w:lang w:val="fr-FR"/>
              </w:rPr>
              <w:t>La stratégie des cliniques qui consiste à envahir les espaces des jeunes notamment via les écoles, les églises, et les centres culturels</w:t>
            </w:r>
            <w:r w:rsidR="00E6353D">
              <w:rPr>
                <w:bCs/>
                <w:lang w:val="fr-FR"/>
              </w:rPr>
              <w:t>,</w:t>
            </w:r>
            <w:r w:rsidRPr="002C15BF">
              <w:rPr>
                <w:bCs/>
                <w:lang w:val="fr-FR"/>
              </w:rPr>
              <w:t xml:space="preserve"> pour présenter des sujets de droit d’actualité</w:t>
            </w:r>
            <w:r w:rsidR="00E6353D">
              <w:rPr>
                <w:bCs/>
                <w:lang w:val="fr-FR"/>
              </w:rPr>
              <w:t xml:space="preserve"> et</w:t>
            </w:r>
            <w:r w:rsidRPr="002C15BF">
              <w:rPr>
                <w:bCs/>
                <w:lang w:val="fr-FR"/>
              </w:rPr>
              <w:t xml:space="preserve"> qui sont souvent source de conflit</w:t>
            </w:r>
            <w:r w:rsidR="00E6353D">
              <w:rPr>
                <w:bCs/>
                <w:lang w:val="fr-FR"/>
              </w:rPr>
              <w:t>,</w:t>
            </w:r>
            <w:r w:rsidRPr="002C15BF">
              <w:rPr>
                <w:bCs/>
                <w:lang w:val="fr-FR"/>
              </w:rPr>
              <w:t xml:space="preserve"> peut entrainer un effet à long terme du travail accompli. </w:t>
            </w:r>
          </w:p>
        </w:tc>
        <w:tc>
          <w:tcPr>
            <w:tcW w:w="2070" w:type="dxa"/>
          </w:tcPr>
          <w:p w14:paraId="0FC856EB" w14:textId="77777777" w:rsidR="007B62A5" w:rsidRPr="005A6420" w:rsidRDefault="007B62A5" w:rsidP="0084166C">
            <w:pPr>
              <w:rPr>
                <w:lang w:val="fr-FR"/>
              </w:rPr>
            </w:pPr>
            <w:r w:rsidRPr="002C15BF">
              <w:rPr>
                <w:lang w:val="fr-FR"/>
              </w:rPr>
              <w:t xml:space="preserve"> </w:t>
            </w:r>
          </w:p>
        </w:tc>
        <w:tc>
          <w:tcPr>
            <w:tcW w:w="4140" w:type="dxa"/>
          </w:tcPr>
          <w:p w14:paraId="13BB3C8E" w14:textId="77777777" w:rsidR="007B62A5" w:rsidRPr="005A6420" w:rsidRDefault="007B62A5" w:rsidP="0084166C">
            <w:pPr>
              <w:rPr>
                <w:lang w:val="fr-FR"/>
              </w:rPr>
            </w:pPr>
          </w:p>
        </w:tc>
      </w:tr>
      <w:tr w:rsidR="007B62A5" w:rsidRPr="0030235D" w14:paraId="6966FFA6" w14:textId="77777777" w:rsidTr="00FD2D7D">
        <w:trPr>
          <w:trHeight w:val="548"/>
        </w:trPr>
        <w:tc>
          <w:tcPr>
            <w:tcW w:w="2227" w:type="dxa"/>
            <w:vMerge/>
          </w:tcPr>
          <w:p w14:paraId="022D9D80" w14:textId="77777777" w:rsidR="007B62A5" w:rsidRPr="005A6420" w:rsidRDefault="007B62A5" w:rsidP="0084166C">
            <w:pPr>
              <w:rPr>
                <w:rFonts w:cs="Tahoma"/>
                <w:szCs w:val="20"/>
                <w:lang w:val="fr-FR" w:eastAsia="en-US"/>
              </w:rPr>
            </w:pPr>
          </w:p>
        </w:tc>
        <w:tc>
          <w:tcPr>
            <w:tcW w:w="1800" w:type="dxa"/>
            <w:shd w:val="clear" w:color="auto" w:fill="EEECE1"/>
          </w:tcPr>
          <w:p w14:paraId="2AFFF52B" w14:textId="77777777" w:rsidR="007B62A5" w:rsidRPr="002C15BF" w:rsidRDefault="007B62A5" w:rsidP="0084166C">
            <w:pPr>
              <w:ind w:hanging="2"/>
              <w:jc w:val="both"/>
              <w:rPr>
                <w:lang w:val="fr-FR"/>
              </w:rPr>
            </w:pPr>
            <w:r w:rsidRPr="002C15BF">
              <w:rPr>
                <w:lang w:val="fr-FR"/>
              </w:rPr>
              <w:t>Indicateur 1.3.1</w:t>
            </w:r>
          </w:p>
          <w:p w14:paraId="386D38E8" w14:textId="77777777" w:rsidR="007B62A5" w:rsidRPr="005A6420" w:rsidRDefault="007B62A5" w:rsidP="0084166C">
            <w:pPr>
              <w:jc w:val="both"/>
              <w:rPr>
                <w:rFonts w:cs="Tahoma"/>
                <w:szCs w:val="20"/>
                <w:lang w:val="fr-FR" w:eastAsia="en-US"/>
              </w:rPr>
            </w:pPr>
            <w:r w:rsidRPr="002C15BF">
              <w:rPr>
                <w:lang w:val="fr-FR"/>
              </w:rPr>
              <w:t>Nombre de cliniques juridiques opérationnelles mises en place</w:t>
            </w:r>
          </w:p>
        </w:tc>
        <w:tc>
          <w:tcPr>
            <w:tcW w:w="1103" w:type="dxa"/>
            <w:shd w:val="clear" w:color="auto" w:fill="EEECE1"/>
          </w:tcPr>
          <w:p w14:paraId="512CF54C" w14:textId="77777777" w:rsidR="007B62A5" w:rsidRPr="005A6420" w:rsidRDefault="007B62A5" w:rsidP="0084166C">
            <w:pPr>
              <w:rPr>
                <w:b/>
                <w:sz w:val="22"/>
                <w:szCs w:val="22"/>
                <w:lang w:val="fr-FR" w:eastAsia="en-US"/>
              </w:rPr>
            </w:pPr>
            <w:r w:rsidRPr="002C15BF">
              <w:rPr>
                <w:b/>
              </w:rPr>
              <w:t>0</w:t>
            </w:r>
          </w:p>
        </w:tc>
        <w:tc>
          <w:tcPr>
            <w:tcW w:w="1327" w:type="dxa"/>
            <w:shd w:val="clear" w:color="auto" w:fill="EEECE1"/>
          </w:tcPr>
          <w:p w14:paraId="44CB365B" w14:textId="77777777" w:rsidR="007B62A5" w:rsidRPr="005A6420" w:rsidRDefault="007B62A5" w:rsidP="0084166C">
            <w:pPr>
              <w:rPr>
                <w:b/>
                <w:sz w:val="22"/>
                <w:szCs w:val="22"/>
                <w:lang w:val="fr-FR" w:eastAsia="en-US"/>
              </w:rPr>
            </w:pPr>
            <w:r w:rsidRPr="002C15BF">
              <w:rPr>
                <w:b/>
              </w:rPr>
              <w:t>3</w:t>
            </w:r>
          </w:p>
        </w:tc>
        <w:tc>
          <w:tcPr>
            <w:tcW w:w="2363" w:type="dxa"/>
          </w:tcPr>
          <w:p w14:paraId="379BCFFA" w14:textId="4117B262" w:rsidR="007B62A5" w:rsidRPr="005A6420" w:rsidRDefault="00F74045" w:rsidP="0084166C">
            <w:pPr>
              <w:rPr>
                <w:b/>
                <w:sz w:val="22"/>
                <w:szCs w:val="22"/>
                <w:lang w:val="fr-FR" w:eastAsia="en-US"/>
              </w:rPr>
            </w:pPr>
            <w:r>
              <w:rPr>
                <w:lang w:val="fr-FR"/>
              </w:rPr>
              <w:t>1089</w:t>
            </w:r>
            <w:r w:rsidR="007B62A5" w:rsidRPr="002C15BF">
              <w:rPr>
                <w:lang w:val="fr-FR"/>
              </w:rPr>
              <w:t xml:space="preserve"> personnes (</w:t>
            </w:r>
            <w:r>
              <w:rPr>
                <w:lang w:val="fr-FR"/>
              </w:rPr>
              <w:t>605</w:t>
            </w:r>
            <w:r w:rsidR="00A35002" w:rsidRPr="002C15BF">
              <w:rPr>
                <w:lang w:val="fr-FR"/>
              </w:rPr>
              <w:t xml:space="preserve"> femmes</w:t>
            </w:r>
            <w:r w:rsidR="007B62A5" w:rsidRPr="002C15BF">
              <w:rPr>
                <w:lang w:val="fr-FR"/>
              </w:rPr>
              <w:t xml:space="preserve">, </w:t>
            </w:r>
            <w:r>
              <w:rPr>
                <w:lang w:val="fr-FR"/>
              </w:rPr>
              <w:t>484</w:t>
            </w:r>
            <w:r w:rsidR="007B62A5" w:rsidRPr="002C15BF">
              <w:rPr>
                <w:lang w:val="fr-FR"/>
              </w:rPr>
              <w:t xml:space="preserve"> hommes) ont reçu des consultations des différentes cliniques qui ont eu lieu.  (Un effectif de </w:t>
            </w:r>
            <w:r>
              <w:rPr>
                <w:lang w:val="fr-FR"/>
              </w:rPr>
              <w:t>2130</w:t>
            </w:r>
            <w:r w:rsidR="007B62A5" w:rsidRPr="002C15BF">
              <w:rPr>
                <w:lang w:val="fr-FR"/>
              </w:rPr>
              <w:t xml:space="preserve"> </w:t>
            </w:r>
            <w:r w:rsidR="007B62A5">
              <w:rPr>
                <w:lang w:val="fr-FR"/>
              </w:rPr>
              <w:t xml:space="preserve">personnes </w:t>
            </w:r>
            <w:r w:rsidR="007B62A5" w:rsidRPr="002C15BF">
              <w:rPr>
                <w:lang w:val="fr-FR"/>
              </w:rPr>
              <w:t>(</w:t>
            </w:r>
            <w:r>
              <w:rPr>
                <w:lang w:val="fr-FR"/>
              </w:rPr>
              <w:t>1145</w:t>
            </w:r>
            <w:r w:rsidR="007B62A5" w:rsidRPr="002C15BF">
              <w:rPr>
                <w:lang w:val="fr-FR"/>
              </w:rPr>
              <w:t xml:space="preserve"> femmes, </w:t>
            </w:r>
            <w:r>
              <w:rPr>
                <w:lang w:val="fr-FR"/>
              </w:rPr>
              <w:t>785</w:t>
            </w:r>
            <w:r w:rsidR="007B62A5" w:rsidRPr="002C15BF">
              <w:rPr>
                <w:lang w:val="fr-FR"/>
              </w:rPr>
              <w:t xml:space="preserve"> </w:t>
            </w:r>
            <w:r w:rsidR="007B62A5" w:rsidRPr="002C15BF">
              <w:rPr>
                <w:lang w:val="fr-FR"/>
              </w:rPr>
              <w:lastRenderedPageBreak/>
              <w:t>hommes) ont déjà atteint les sessions de formation des cliniques cette année. En effet, environ 40 cliniciens et cliniciennes travaillent toutes les semaines pour former et prodiguer des conseils à la population</w:t>
            </w:r>
          </w:p>
        </w:tc>
        <w:tc>
          <w:tcPr>
            <w:tcW w:w="2070" w:type="dxa"/>
          </w:tcPr>
          <w:p w14:paraId="6F8675F2" w14:textId="77777777" w:rsidR="007B62A5" w:rsidRPr="005A6420" w:rsidRDefault="007B62A5" w:rsidP="0084166C">
            <w:pPr>
              <w:rPr>
                <w:b/>
                <w:sz w:val="22"/>
                <w:szCs w:val="22"/>
                <w:lang w:val="fr-FR" w:eastAsia="en-US"/>
              </w:rPr>
            </w:pPr>
            <w:r w:rsidRPr="002C15BF">
              <w:rPr>
                <w:b/>
              </w:rPr>
              <w:lastRenderedPageBreak/>
              <w:t>2</w:t>
            </w:r>
          </w:p>
        </w:tc>
        <w:tc>
          <w:tcPr>
            <w:tcW w:w="4140" w:type="dxa"/>
          </w:tcPr>
          <w:p w14:paraId="1467B3BC" w14:textId="0F28707C" w:rsidR="007B62A5" w:rsidRPr="005A6420" w:rsidRDefault="007B62A5" w:rsidP="0084166C">
            <w:pPr>
              <w:rPr>
                <w:b/>
                <w:sz w:val="22"/>
                <w:szCs w:val="22"/>
                <w:lang w:val="fr-FR" w:eastAsia="en-US"/>
              </w:rPr>
            </w:pPr>
            <w:r w:rsidRPr="002C15BF">
              <w:rPr>
                <w:bCs/>
                <w:lang w:val="fr-FR"/>
              </w:rPr>
              <w:t>Les autres institutions avec lesquelles le projet comptait réaliser les cliniques additionnelles ont désisté à cause de la situation d’insécurité. En conséquence, le projet a prolongé le contrat d</w:t>
            </w:r>
            <w:r w:rsidR="00E6353D">
              <w:rPr>
                <w:bCs/>
                <w:lang w:val="fr-FR"/>
              </w:rPr>
              <w:t xml:space="preserve">e la </w:t>
            </w:r>
            <w:r w:rsidRPr="002C15BF">
              <w:rPr>
                <w:bCs/>
                <w:lang w:val="fr-FR"/>
              </w:rPr>
              <w:t>première</w:t>
            </w:r>
            <w:r w:rsidR="00E6353D">
              <w:rPr>
                <w:bCs/>
                <w:lang w:val="fr-FR"/>
              </w:rPr>
              <w:t xml:space="preserve"> </w:t>
            </w:r>
            <w:r w:rsidRPr="002C15BF">
              <w:rPr>
                <w:bCs/>
                <w:lang w:val="fr-FR"/>
              </w:rPr>
              <w:t>clinique</w:t>
            </w:r>
            <w:r w:rsidR="00E6353D">
              <w:rPr>
                <w:bCs/>
                <w:lang w:val="fr-FR"/>
              </w:rPr>
              <w:t xml:space="preserve"> du Barreau de P-au-P</w:t>
            </w:r>
            <w:r w:rsidRPr="002C15BF">
              <w:rPr>
                <w:bCs/>
                <w:lang w:val="fr-FR"/>
              </w:rPr>
              <w:t xml:space="preserve"> dans le but d’atteindre l’objectif </w:t>
            </w:r>
            <w:r w:rsidR="00E6353D">
              <w:rPr>
                <w:bCs/>
                <w:lang w:val="fr-FR"/>
              </w:rPr>
              <w:t>initial</w:t>
            </w:r>
          </w:p>
        </w:tc>
      </w:tr>
      <w:tr w:rsidR="007B62A5" w:rsidRPr="0030235D" w14:paraId="384F00D3" w14:textId="77777777" w:rsidTr="00FD2D7D">
        <w:trPr>
          <w:trHeight w:val="512"/>
        </w:trPr>
        <w:tc>
          <w:tcPr>
            <w:tcW w:w="2227" w:type="dxa"/>
            <w:vMerge/>
          </w:tcPr>
          <w:p w14:paraId="2F6A60AB" w14:textId="77777777" w:rsidR="007B62A5" w:rsidRPr="005A6420" w:rsidRDefault="007B62A5" w:rsidP="00936966">
            <w:pPr>
              <w:rPr>
                <w:rFonts w:cs="Tahoma"/>
                <w:b/>
                <w:szCs w:val="20"/>
                <w:lang w:val="fr-FR" w:eastAsia="en-US"/>
              </w:rPr>
            </w:pPr>
          </w:p>
        </w:tc>
        <w:tc>
          <w:tcPr>
            <w:tcW w:w="1800" w:type="dxa"/>
            <w:shd w:val="clear" w:color="auto" w:fill="EEECE1"/>
          </w:tcPr>
          <w:p w14:paraId="1F0B400A" w14:textId="77777777" w:rsidR="007B62A5" w:rsidRPr="002C15BF" w:rsidRDefault="007B62A5" w:rsidP="00936966">
            <w:pPr>
              <w:ind w:hanging="2"/>
              <w:rPr>
                <w:b/>
                <w:bCs/>
                <w:lang w:val="fr-FR"/>
              </w:rPr>
            </w:pPr>
            <w:r w:rsidRPr="002C15BF">
              <w:rPr>
                <w:b/>
                <w:bCs/>
                <w:lang w:val="fr-FR"/>
              </w:rPr>
              <w:t xml:space="preserve">Indicateur 1.3.2: </w:t>
            </w:r>
          </w:p>
          <w:p w14:paraId="0DA470CA" w14:textId="77777777" w:rsidR="007B62A5" w:rsidRPr="005A6420" w:rsidRDefault="007B62A5" w:rsidP="00936966">
            <w:pPr>
              <w:rPr>
                <w:rFonts w:cs="Tahoma"/>
                <w:szCs w:val="20"/>
                <w:lang w:val="fr-FR" w:eastAsia="en-US"/>
              </w:rPr>
            </w:pPr>
            <w:r w:rsidRPr="002C15BF">
              <w:rPr>
                <w:lang w:val="fr-FR"/>
              </w:rPr>
              <w:t>Nombre de personnes bénéficiant d’aide juridique et assistance légale par les organisations de la société civile (désagrégée par sexe)</w:t>
            </w:r>
          </w:p>
        </w:tc>
        <w:tc>
          <w:tcPr>
            <w:tcW w:w="1103" w:type="dxa"/>
            <w:shd w:val="clear" w:color="auto" w:fill="EEECE1"/>
          </w:tcPr>
          <w:p w14:paraId="7887AEDA" w14:textId="77777777" w:rsidR="007B62A5" w:rsidRPr="005A6420" w:rsidRDefault="007B62A5" w:rsidP="00936966">
            <w:pPr>
              <w:rPr>
                <w:lang w:val="fr-FR"/>
              </w:rPr>
            </w:pPr>
          </w:p>
        </w:tc>
        <w:tc>
          <w:tcPr>
            <w:tcW w:w="1327" w:type="dxa"/>
            <w:shd w:val="clear" w:color="auto" w:fill="EEECE1"/>
          </w:tcPr>
          <w:p w14:paraId="084BC740" w14:textId="77777777" w:rsidR="007B62A5" w:rsidRPr="005A6420" w:rsidRDefault="007B62A5" w:rsidP="00936966">
            <w:pPr>
              <w:rPr>
                <w:lang w:val="fr-FR"/>
              </w:rPr>
            </w:pPr>
            <w:r w:rsidRPr="002C15BF">
              <w:rPr>
                <w:b/>
                <w:lang w:val="fr-FR"/>
              </w:rPr>
              <w:t>50</w:t>
            </w:r>
          </w:p>
        </w:tc>
        <w:tc>
          <w:tcPr>
            <w:tcW w:w="2363" w:type="dxa"/>
          </w:tcPr>
          <w:p w14:paraId="5E27A502" w14:textId="77777777" w:rsidR="007B62A5" w:rsidRPr="005A6420" w:rsidRDefault="007B62A5" w:rsidP="00936966">
            <w:pPr>
              <w:rPr>
                <w:lang w:val="fr-FR"/>
              </w:rPr>
            </w:pPr>
            <w:r w:rsidRPr="002C15BF">
              <w:rPr>
                <w:lang w:val="fr-FR"/>
              </w:rPr>
              <w:t>OCNH, FTB, FJKL, et IMED appuient la population via des aides légales au cours de cette période</w:t>
            </w:r>
          </w:p>
        </w:tc>
        <w:tc>
          <w:tcPr>
            <w:tcW w:w="2070" w:type="dxa"/>
          </w:tcPr>
          <w:p w14:paraId="31F237DC" w14:textId="0EDAD70D" w:rsidR="007B62A5" w:rsidRPr="002C15BF" w:rsidRDefault="00597806" w:rsidP="00936966">
            <w:pPr>
              <w:ind w:hanging="2"/>
              <w:rPr>
                <w:b/>
                <w:lang w:val="fr-FR"/>
              </w:rPr>
            </w:pPr>
            <w:r>
              <w:rPr>
                <w:b/>
                <w:lang w:val="fr-FR"/>
              </w:rPr>
              <w:t>1139</w:t>
            </w:r>
          </w:p>
          <w:p w14:paraId="3455CF9C" w14:textId="7C416C63" w:rsidR="007B62A5" w:rsidRPr="005A6420" w:rsidRDefault="007B62A5" w:rsidP="00936966">
            <w:pPr>
              <w:rPr>
                <w:lang w:val="fr-FR"/>
              </w:rPr>
            </w:pPr>
            <w:r w:rsidRPr="002C15BF">
              <w:rPr>
                <w:bCs/>
                <w:lang w:val="fr-FR"/>
              </w:rPr>
              <w:t>Personnes dont 10</w:t>
            </w:r>
            <w:r w:rsidR="00597806">
              <w:rPr>
                <w:bCs/>
                <w:lang w:val="fr-FR"/>
              </w:rPr>
              <w:t>9</w:t>
            </w:r>
            <w:r w:rsidRPr="002C15BF">
              <w:rPr>
                <w:bCs/>
                <w:lang w:val="fr-FR"/>
              </w:rPr>
              <w:t xml:space="preserve"> femmes et </w:t>
            </w:r>
            <w:r w:rsidR="00597806">
              <w:rPr>
                <w:bCs/>
                <w:lang w:val="fr-FR"/>
              </w:rPr>
              <w:t xml:space="preserve">1030 </w:t>
            </w:r>
            <w:r w:rsidRPr="002C15BF">
              <w:rPr>
                <w:bCs/>
                <w:lang w:val="fr-FR"/>
              </w:rPr>
              <w:t xml:space="preserve">hommes ont déjà reçu du support à travers 4 organisations. Ces assistances ont déjà conduit à </w:t>
            </w:r>
            <w:r w:rsidR="00597806">
              <w:rPr>
                <w:bCs/>
                <w:lang w:val="fr-FR"/>
              </w:rPr>
              <w:t>546</w:t>
            </w:r>
            <w:r w:rsidRPr="002C15BF">
              <w:rPr>
                <w:bCs/>
                <w:lang w:val="fr-FR"/>
              </w:rPr>
              <w:t xml:space="preserve"> libérations (</w:t>
            </w:r>
            <w:r w:rsidR="00597806">
              <w:rPr>
                <w:bCs/>
                <w:lang w:val="fr-FR"/>
              </w:rPr>
              <w:t xml:space="preserve">31 </w:t>
            </w:r>
            <w:r w:rsidRPr="002C15BF">
              <w:rPr>
                <w:bCs/>
                <w:lang w:val="fr-FR"/>
              </w:rPr>
              <w:t xml:space="preserve">femmes et </w:t>
            </w:r>
            <w:r w:rsidR="00597806">
              <w:rPr>
                <w:bCs/>
                <w:lang w:val="fr-FR"/>
              </w:rPr>
              <w:t>515</w:t>
            </w:r>
            <w:r w:rsidR="004E3247">
              <w:rPr>
                <w:bCs/>
                <w:lang w:val="fr-FR"/>
              </w:rPr>
              <w:t xml:space="preserve"> </w:t>
            </w:r>
            <w:r w:rsidRPr="002C15BF">
              <w:rPr>
                <w:bCs/>
                <w:lang w:val="fr-FR"/>
              </w:rPr>
              <w:t>hommes)</w:t>
            </w:r>
          </w:p>
        </w:tc>
        <w:tc>
          <w:tcPr>
            <w:tcW w:w="4140" w:type="dxa"/>
          </w:tcPr>
          <w:p w14:paraId="5B0A6199" w14:textId="77777777" w:rsidR="007B62A5" w:rsidRPr="005A6420" w:rsidRDefault="007B62A5" w:rsidP="00936966">
            <w:pPr>
              <w:rPr>
                <w:lang w:val="fr-FR"/>
              </w:rPr>
            </w:pPr>
            <w:r w:rsidRPr="002C15BF">
              <w:rPr>
                <w:bCs/>
                <w:lang w:val="fr-FR"/>
              </w:rPr>
              <w:t xml:space="preserve">Il convient de souligner que pour obtenir ces résultats, les organisations ont travaillé dans 16 juridictions à travers le pays. </w:t>
            </w:r>
          </w:p>
        </w:tc>
      </w:tr>
      <w:tr w:rsidR="007B62A5" w:rsidRPr="009A4CC3" w14:paraId="6BC14697" w14:textId="77777777" w:rsidTr="00FD2D7D">
        <w:trPr>
          <w:trHeight w:val="512"/>
        </w:trPr>
        <w:tc>
          <w:tcPr>
            <w:tcW w:w="2227" w:type="dxa"/>
          </w:tcPr>
          <w:p w14:paraId="49DF7B1D" w14:textId="77777777" w:rsidR="007B62A5" w:rsidRPr="005A6420" w:rsidRDefault="007B62A5" w:rsidP="0084166C">
            <w:pPr>
              <w:rPr>
                <w:rFonts w:cs="Tahoma"/>
                <w:b/>
                <w:szCs w:val="20"/>
                <w:lang w:val="fr-FR" w:eastAsia="en-US"/>
              </w:rPr>
            </w:pPr>
            <w:r w:rsidRPr="002C15BF">
              <w:rPr>
                <w:bCs/>
                <w:lang w:val="fr-FR"/>
              </w:rPr>
              <w:t xml:space="preserve">Produit 1.4 Le personnel des nouveaux BAL, les parajuristes, les assistants juridiques et avocats stagiaires </w:t>
            </w:r>
            <w:r w:rsidRPr="002C15BF">
              <w:rPr>
                <w:bCs/>
                <w:lang w:val="fr-FR"/>
              </w:rPr>
              <w:lastRenderedPageBreak/>
              <w:t>disposent des compétences sociales et des capacités sur l’approche sociale pour offrir des services d'aide juridique et judiciaire</w:t>
            </w:r>
          </w:p>
        </w:tc>
        <w:tc>
          <w:tcPr>
            <w:tcW w:w="1800" w:type="dxa"/>
            <w:shd w:val="clear" w:color="auto" w:fill="EEECE1"/>
          </w:tcPr>
          <w:p w14:paraId="1D82E6EC" w14:textId="77777777" w:rsidR="007B62A5" w:rsidRPr="002C15BF" w:rsidRDefault="007B62A5" w:rsidP="0084166C">
            <w:pPr>
              <w:ind w:hanging="2"/>
              <w:jc w:val="both"/>
              <w:rPr>
                <w:lang w:val="fr-FR"/>
              </w:rPr>
            </w:pPr>
            <w:r w:rsidRPr="002C15BF">
              <w:rPr>
                <w:lang w:val="fr-FR"/>
              </w:rPr>
              <w:lastRenderedPageBreak/>
              <w:t>Indicateur 1.4.1</w:t>
            </w:r>
          </w:p>
          <w:p w14:paraId="41E1A7FA" w14:textId="77777777" w:rsidR="007B62A5" w:rsidRPr="005A6420" w:rsidRDefault="007B62A5" w:rsidP="0084166C">
            <w:pPr>
              <w:jc w:val="both"/>
              <w:rPr>
                <w:rFonts w:cs="Tahoma"/>
                <w:szCs w:val="20"/>
                <w:lang w:val="fr-FR" w:eastAsia="en-US"/>
              </w:rPr>
            </w:pPr>
            <w:r w:rsidRPr="002C15BF">
              <w:rPr>
                <w:lang w:val="fr-FR"/>
              </w:rPr>
              <w:t xml:space="preserve">Nombre de personnel des BALs, du CNAL, parajuristes, </w:t>
            </w:r>
            <w:r w:rsidRPr="002C15BF">
              <w:rPr>
                <w:lang w:val="fr-FR"/>
              </w:rPr>
              <w:lastRenderedPageBreak/>
              <w:t>assistants juridiques et avocats stagiaires, institutions sont formés sur les compétences sociales de prise en charge et la prestation de services et l'approche de protection des bénéficiaires</w:t>
            </w:r>
          </w:p>
        </w:tc>
        <w:tc>
          <w:tcPr>
            <w:tcW w:w="1103" w:type="dxa"/>
            <w:shd w:val="clear" w:color="auto" w:fill="EEECE1"/>
          </w:tcPr>
          <w:p w14:paraId="08F5FD29" w14:textId="77777777" w:rsidR="007B62A5" w:rsidRPr="005A6420" w:rsidRDefault="007B62A5" w:rsidP="0084166C">
            <w:pPr>
              <w:rPr>
                <w:b/>
                <w:sz w:val="22"/>
                <w:szCs w:val="22"/>
                <w:lang w:val="fr-FR" w:eastAsia="en-US"/>
              </w:rPr>
            </w:pPr>
          </w:p>
        </w:tc>
        <w:tc>
          <w:tcPr>
            <w:tcW w:w="1327" w:type="dxa"/>
            <w:shd w:val="clear" w:color="auto" w:fill="EEECE1"/>
          </w:tcPr>
          <w:p w14:paraId="5FFDD17A" w14:textId="1C28E872" w:rsidR="007B62A5" w:rsidRPr="005A6420" w:rsidRDefault="00FD2D7D" w:rsidP="0084166C">
            <w:pPr>
              <w:rPr>
                <w:b/>
                <w:sz w:val="22"/>
                <w:szCs w:val="22"/>
                <w:lang w:val="fr-FR" w:eastAsia="en-US"/>
              </w:rPr>
            </w:pPr>
            <w:r>
              <w:rPr>
                <w:b/>
                <w:sz w:val="22"/>
                <w:szCs w:val="22"/>
                <w:lang w:val="fr-FR" w:eastAsia="en-US"/>
              </w:rPr>
              <w:t>20</w:t>
            </w:r>
          </w:p>
        </w:tc>
        <w:tc>
          <w:tcPr>
            <w:tcW w:w="2363" w:type="dxa"/>
          </w:tcPr>
          <w:p w14:paraId="275A2F61" w14:textId="77777777" w:rsidR="007B62A5" w:rsidRPr="005A6420" w:rsidRDefault="007B62A5" w:rsidP="0084166C">
            <w:pPr>
              <w:rPr>
                <w:b/>
                <w:sz w:val="22"/>
                <w:szCs w:val="22"/>
                <w:lang w:val="fr-FR" w:eastAsia="en-US"/>
              </w:rPr>
            </w:pPr>
          </w:p>
        </w:tc>
        <w:tc>
          <w:tcPr>
            <w:tcW w:w="2070" w:type="dxa"/>
          </w:tcPr>
          <w:p w14:paraId="49D871F5" w14:textId="092C6ED2" w:rsidR="007B62A5" w:rsidRPr="005A6420" w:rsidRDefault="00FD2D7D" w:rsidP="0084166C">
            <w:pPr>
              <w:rPr>
                <w:b/>
                <w:sz w:val="22"/>
                <w:szCs w:val="22"/>
                <w:lang w:val="fr-FR" w:eastAsia="en-US"/>
              </w:rPr>
            </w:pPr>
            <w:r>
              <w:rPr>
                <w:b/>
                <w:sz w:val="22"/>
                <w:szCs w:val="22"/>
                <w:lang w:val="fr-FR" w:eastAsia="en-US"/>
              </w:rPr>
              <w:t>26 (9 femmes, 17 hommes)</w:t>
            </w:r>
          </w:p>
        </w:tc>
        <w:tc>
          <w:tcPr>
            <w:tcW w:w="4140" w:type="dxa"/>
          </w:tcPr>
          <w:p w14:paraId="0F98960E" w14:textId="77777777" w:rsidR="007B62A5" w:rsidRPr="005A6420" w:rsidRDefault="007B62A5" w:rsidP="0084166C">
            <w:pPr>
              <w:rPr>
                <w:b/>
                <w:sz w:val="22"/>
                <w:szCs w:val="22"/>
                <w:lang w:val="fr-FR" w:eastAsia="en-US"/>
              </w:rPr>
            </w:pPr>
          </w:p>
        </w:tc>
      </w:tr>
      <w:tr w:rsidR="007B62A5" w:rsidRPr="005A6420" w14:paraId="4DE7B2EF" w14:textId="77777777" w:rsidTr="00FD2D7D">
        <w:trPr>
          <w:trHeight w:val="422"/>
        </w:trPr>
        <w:tc>
          <w:tcPr>
            <w:tcW w:w="2227" w:type="dxa"/>
            <w:vMerge w:val="restart"/>
          </w:tcPr>
          <w:p w14:paraId="70BDEED6" w14:textId="77777777" w:rsidR="007B62A5" w:rsidRPr="002C15BF" w:rsidRDefault="007B62A5" w:rsidP="0084166C">
            <w:pPr>
              <w:ind w:hanging="2"/>
              <w:rPr>
                <w:lang w:val="fr-FR"/>
              </w:rPr>
            </w:pPr>
            <w:r w:rsidRPr="002C15BF">
              <w:rPr>
                <w:lang w:val="fr-FR"/>
              </w:rPr>
              <w:t>Produit 1.5</w:t>
            </w:r>
          </w:p>
          <w:p w14:paraId="41807BCE" w14:textId="77777777" w:rsidR="007B62A5" w:rsidRPr="005A6420" w:rsidRDefault="007B62A5" w:rsidP="0084166C">
            <w:pPr>
              <w:rPr>
                <w:rFonts w:cs="Tahoma"/>
                <w:szCs w:val="20"/>
                <w:lang w:val="fr-FR" w:eastAsia="en-US"/>
              </w:rPr>
            </w:pPr>
            <w:r w:rsidRPr="002C15BF">
              <w:rPr>
                <w:lang w:val="fr-FR"/>
              </w:rPr>
              <w:t>Les BALs disposent d’une base de données, des rapports d’analyse des données et des enquêtes de perception permettant un débat informé sur les besoins de la population au niveau des services de justice</w:t>
            </w:r>
          </w:p>
        </w:tc>
        <w:tc>
          <w:tcPr>
            <w:tcW w:w="1800" w:type="dxa"/>
            <w:shd w:val="clear" w:color="auto" w:fill="EEECE1"/>
          </w:tcPr>
          <w:p w14:paraId="791A759C" w14:textId="77777777" w:rsidR="007B62A5" w:rsidRPr="002C15BF" w:rsidRDefault="007B62A5" w:rsidP="0084166C">
            <w:pPr>
              <w:ind w:hanging="2"/>
              <w:jc w:val="both"/>
              <w:rPr>
                <w:lang w:val="fr-FR"/>
              </w:rPr>
            </w:pPr>
            <w:r w:rsidRPr="002C15BF">
              <w:rPr>
                <w:lang w:val="fr-FR"/>
              </w:rPr>
              <w:t>Indicateur 1.5.1</w:t>
            </w:r>
          </w:p>
          <w:p w14:paraId="071ED178" w14:textId="77777777" w:rsidR="007B62A5" w:rsidRPr="002C15BF" w:rsidRDefault="007B62A5" w:rsidP="0084166C">
            <w:pPr>
              <w:ind w:hanging="2"/>
              <w:jc w:val="both"/>
              <w:rPr>
                <w:lang w:val="fr-FR"/>
              </w:rPr>
            </w:pPr>
            <w:r w:rsidRPr="002C15BF">
              <w:rPr>
                <w:lang w:val="fr-FR"/>
              </w:rPr>
              <w:t>Nombre de base de données harmonisées et interconnectées mises en place et opérationnelles</w:t>
            </w:r>
          </w:p>
          <w:p w14:paraId="44569C5F" w14:textId="77777777" w:rsidR="007B62A5" w:rsidRPr="005A6420" w:rsidRDefault="007B62A5" w:rsidP="0084166C">
            <w:pPr>
              <w:jc w:val="both"/>
              <w:rPr>
                <w:rFonts w:cs="Tahoma"/>
                <w:szCs w:val="20"/>
                <w:lang w:val="fr-FR" w:eastAsia="en-US"/>
              </w:rPr>
            </w:pPr>
          </w:p>
        </w:tc>
        <w:tc>
          <w:tcPr>
            <w:tcW w:w="1103" w:type="dxa"/>
            <w:shd w:val="clear" w:color="auto" w:fill="EEECE1"/>
          </w:tcPr>
          <w:p w14:paraId="49B9AFB1" w14:textId="77777777" w:rsidR="007B62A5" w:rsidRPr="005A6420" w:rsidRDefault="007B62A5" w:rsidP="0084166C">
            <w:pPr>
              <w:rPr>
                <w:lang w:val="fr-FR"/>
              </w:rPr>
            </w:pPr>
            <w:r w:rsidRPr="002C15BF">
              <w:rPr>
                <w:b/>
              </w:rPr>
              <w:t>0</w:t>
            </w:r>
          </w:p>
        </w:tc>
        <w:tc>
          <w:tcPr>
            <w:tcW w:w="1327" w:type="dxa"/>
            <w:shd w:val="clear" w:color="auto" w:fill="EEECE1"/>
          </w:tcPr>
          <w:p w14:paraId="73960891" w14:textId="77777777" w:rsidR="007B62A5" w:rsidRPr="005A6420" w:rsidRDefault="007B62A5" w:rsidP="0084166C">
            <w:pPr>
              <w:rPr>
                <w:lang w:val="fr-FR"/>
              </w:rPr>
            </w:pPr>
            <w:r w:rsidRPr="002C15BF">
              <w:rPr>
                <w:b/>
              </w:rPr>
              <w:t>2</w:t>
            </w:r>
          </w:p>
        </w:tc>
        <w:tc>
          <w:tcPr>
            <w:tcW w:w="2363" w:type="dxa"/>
          </w:tcPr>
          <w:p w14:paraId="5DD398C3" w14:textId="77777777" w:rsidR="007B62A5" w:rsidRPr="002C15BF" w:rsidRDefault="007B62A5" w:rsidP="0084166C">
            <w:pPr>
              <w:ind w:hanging="2"/>
              <w:rPr>
                <w:lang w:val="fr-FR"/>
              </w:rPr>
            </w:pPr>
            <w:r w:rsidRPr="002C15BF">
              <w:rPr>
                <w:lang w:val="fr-FR"/>
              </w:rPr>
              <w:t>-Système informatisé des Tribunaux pour Enfants a déjà eu deux étapes.</w:t>
            </w:r>
          </w:p>
          <w:p w14:paraId="199854DF" w14:textId="77777777" w:rsidR="007B62A5" w:rsidRPr="002C15BF" w:rsidRDefault="007B62A5" w:rsidP="0084166C">
            <w:pPr>
              <w:ind w:hanging="2"/>
              <w:rPr>
                <w:lang w:val="fr-FR"/>
              </w:rPr>
            </w:pPr>
            <w:r w:rsidRPr="002C15BF">
              <w:rPr>
                <w:lang w:val="fr-FR"/>
              </w:rPr>
              <w:t>-On a une version pilote du système de gestion du CNAL et des BALs</w:t>
            </w:r>
          </w:p>
          <w:p w14:paraId="03FCB54C" w14:textId="77777777" w:rsidR="007B62A5" w:rsidRPr="005A6420" w:rsidRDefault="007B62A5" w:rsidP="0084166C">
            <w:pPr>
              <w:rPr>
                <w:lang w:val="fr-FR"/>
              </w:rPr>
            </w:pPr>
            <w:r w:rsidRPr="002C15BF">
              <w:rPr>
                <w:lang w:val="fr-FR"/>
              </w:rPr>
              <w:t xml:space="preserve">Les travaux de préparation pour l’installation de la base de données du CNAL est en cours. </w:t>
            </w:r>
          </w:p>
        </w:tc>
        <w:tc>
          <w:tcPr>
            <w:tcW w:w="2070" w:type="dxa"/>
          </w:tcPr>
          <w:p w14:paraId="10C3E6A0" w14:textId="77777777" w:rsidR="007B62A5" w:rsidRPr="005A6420" w:rsidRDefault="007B62A5" w:rsidP="0084166C">
            <w:pPr>
              <w:rPr>
                <w:lang w:val="fr-FR"/>
              </w:rPr>
            </w:pPr>
            <w:r w:rsidRPr="002C15BF">
              <w:rPr>
                <w:lang w:val="fr-FR"/>
              </w:rPr>
              <w:t>Les travaux déjà effectués sont évalués à environ 75% de la mise en place des deux bases de données.</w:t>
            </w:r>
          </w:p>
        </w:tc>
        <w:tc>
          <w:tcPr>
            <w:tcW w:w="4140" w:type="dxa"/>
          </w:tcPr>
          <w:p w14:paraId="46733C93" w14:textId="77777777" w:rsidR="007B62A5" w:rsidRPr="005A6420" w:rsidRDefault="007B62A5" w:rsidP="0084166C">
            <w:pPr>
              <w:rPr>
                <w:lang w:val="fr-FR"/>
              </w:rPr>
            </w:pPr>
            <w:r w:rsidRPr="002C15BF">
              <w:rPr>
                <w:b/>
              </w:rPr>
              <w:t>     </w:t>
            </w:r>
          </w:p>
        </w:tc>
      </w:tr>
      <w:tr w:rsidR="007B62A5" w:rsidRPr="0030235D" w14:paraId="2123D03B" w14:textId="77777777" w:rsidTr="00FD2D7D">
        <w:trPr>
          <w:trHeight w:val="422"/>
        </w:trPr>
        <w:tc>
          <w:tcPr>
            <w:tcW w:w="2227" w:type="dxa"/>
            <w:vMerge/>
          </w:tcPr>
          <w:p w14:paraId="4CC86B5E" w14:textId="77777777" w:rsidR="007B62A5" w:rsidRPr="005A6420" w:rsidRDefault="007B62A5" w:rsidP="0084166C">
            <w:pPr>
              <w:rPr>
                <w:rFonts w:cs="Tahoma"/>
                <w:b/>
                <w:szCs w:val="20"/>
                <w:lang w:val="fr-FR" w:eastAsia="en-US"/>
              </w:rPr>
            </w:pPr>
          </w:p>
        </w:tc>
        <w:tc>
          <w:tcPr>
            <w:tcW w:w="1800" w:type="dxa"/>
            <w:shd w:val="clear" w:color="auto" w:fill="EEECE1"/>
          </w:tcPr>
          <w:p w14:paraId="3FCBC83F" w14:textId="77777777" w:rsidR="007B62A5" w:rsidRPr="002C15BF" w:rsidRDefault="007B62A5" w:rsidP="0084166C">
            <w:pPr>
              <w:ind w:hanging="2"/>
              <w:jc w:val="both"/>
              <w:rPr>
                <w:lang w:val="fr-FR"/>
              </w:rPr>
            </w:pPr>
            <w:r w:rsidRPr="002C15BF">
              <w:rPr>
                <w:lang w:val="fr-FR"/>
              </w:rPr>
              <w:t>Indicateur 1.5.2:</w:t>
            </w:r>
          </w:p>
          <w:p w14:paraId="07CDDD3A" w14:textId="77777777" w:rsidR="007B62A5" w:rsidRPr="005A6420" w:rsidRDefault="007B62A5" w:rsidP="0084166C">
            <w:pPr>
              <w:jc w:val="both"/>
              <w:rPr>
                <w:rFonts w:cs="Tahoma"/>
                <w:szCs w:val="20"/>
                <w:lang w:val="fr-FR" w:eastAsia="en-US"/>
              </w:rPr>
            </w:pPr>
            <w:r w:rsidRPr="002C15BF">
              <w:rPr>
                <w:lang w:val="fr-FR"/>
              </w:rPr>
              <w:t xml:space="preserve">Nombre de personne </w:t>
            </w:r>
            <w:r w:rsidRPr="002C15BF">
              <w:rPr>
                <w:lang w:val="fr-FR"/>
              </w:rPr>
              <w:lastRenderedPageBreak/>
              <w:t>formées sur l'utilisation de la base des données mises en place, l’analyse des données et la production de rapports paramétrés</w:t>
            </w:r>
          </w:p>
        </w:tc>
        <w:tc>
          <w:tcPr>
            <w:tcW w:w="1103" w:type="dxa"/>
            <w:shd w:val="clear" w:color="auto" w:fill="EEECE1"/>
          </w:tcPr>
          <w:p w14:paraId="7FACA05B" w14:textId="77777777" w:rsidR="007B62A5" w:rsidRPr="005A6420" w:rsidRDefault="007B62A5" w:rsidP="0084166C">
            <w:pPr>
              <w:rPr>
                <w:lang w:val="fr-FR"/>
              </w:rPr>
            </w:pPr>
            <w:r w:rsidRPr="002C15BF">
              <w:rPr>
                <w:b/>
                <w:lang w:val="fr-FR"/>
              </w:rPr>
              <w:lastRenderedPageBreak/>
              <w:t>20</w:t>
            </w:r>
          </w:p>
        </w:tc>
        <w:tc>
          <w:tcPr>
            <w:tcW w:w="1327" w:type="dxa"/>
            <w:shd w:val="clear" w:color="auto" w:fill="EEECE1"/>
          </w:tcPr>
          <w:p w14:paraId="1C90BC4C" w14:textId="77777777" w:rsidR="007B62A5" w:rsidRPr="005A6420" w:rsidRDefault="007B62A5" w:rsidP="0084166C">
            <w:pPr>
              <w:rPr>
                <w:lang w:val="fr-FR"/>
              </w:rPr>
            </w:pPr>
          </w:p>
        </w:tc>
        <w:tc>
          <w:tcPr>
            <w:tcW w:w="2363" w:type="dxa"/>
          </w:tcPr>
          <w:p w14:paraId="77945F30" w14:textId="77777777" w:rsidR="007B62A5" w:rsidRPr="005A6420" w:rsidRDefault="007B62A5" w:rsidP="0084166C">
            <w:pPr>
              <w:rPr>
                <w:lang w:val="fr-FR"/>
              </w:rPr>
            </w:pPr>
            <w:r w:rsidRPr="002C15BF">
              <w:rPr>
                <w:lang w:val="fr-FR"/>
              </w:rPr>
              <w:t xml:space="preserve">Installation de la base de données de gestion des mineurs dans </w:t>
            </w:r>
            <w:r w:rsidRPr="002C15BF">
              <w:rPr>
                <w:lang w:val="fr-FR"/>
              </w:rPr>
              <w:lastRenderedPageBreak/>
              <w:t>deux Tribunaux pour Enfants.</w:t>
            </w:r>
          </w:p>
        </w:tc>
        <w:tc>
          <w:tcPr>
            <w:tcW w:w="2070" w:type="dxa"/>
          </w:tcPr>
          <w:p w14:paraId="12149B64" w14:textId="77777777" w:rsidR="007B62A5" w:rsidRPr="005A6420" w:rsidRDefault="007B62A5" w:rsidP="0084166C">
            <w:pPr>
              <w:rPr>
                <w:lang w:val="fr-FR"/>
              </w:rPr>
            </w:pPr>
            <w:r w:rsidRPr="002C15BF">
              <w:rPr>
                <w:lang w:val="fr-FR"/>
              </w:rPr>
              <w:lastRenderedPageBreak/>
              <w:t xml:space="preserve">35 (6 femmes, 29 hommes) personnes formées </w:t>
            </w:r>
            <w:r w:rsidRPr="002C15BF">
              <w:rPr>
                <w:lang w:val="fr-FR"/>
              </w:rPr>
              <w:lastRenderedPageBreak/>
              <w:t xml:space="preserve">sur la base de données des enfants. </w:t>
            </w:r>
          </w:p>
        </w:tc>
        <w:tc>
          <w:tcPr>
            <w:tcW w:w="4140" w:type="dxa"/>
          </w:tcPr>
          <w:p w14:paraId="3B9A14FC" w14:textId="77777777" w:rsidR="007B62A5" w:rsidRPr="005A6420" w:rsidRDefault="007B62A5" w:rsidP="0084166C">
            <w:pPr>
              <w:rPr>
                <w:lang w:val="fr-FR"/>
              </w:rPr>
            </w:pPr>
          </w:p>
        </w:tc>
      </w:tr>
      <w:tr w:rsidR="007B62A5" w:rsidRPr="0030235D" w14:paraId="34E2DDFC" w14:textId="77777777" w:rsidTr="00FD2D7D">
        <w:trPr>
          <w:trHeight w:val="422"/>
        </w:trPr>
        <w:tc>
          <w:tcPr>
            <w:tcW w:w="2227" w:type="dxa"/>
            <w:vMerge w:val="restart"/>
          </w:tcPr>
          <w:p w14:paraId="75F82240" w14:textId="77777777" w:rsidR="007B62A5" w:rsidRPr="002C15BF" w:rsidRDefault="007B62A5" w:rsidP="0084166C">
            <w:pPr>
              <w:ind w:hanging="2"/>
              <w:rPr>
                <w:lang w:val="fr-FR"/>
              </w:rPr>
            </w:pPr>
            <w:r w:rsidRPr="002C15BF">
              <w:rPr>
                <w:b/>
                <w:lang w:val="fr-FR"/>
              </w:rPr>
              <w:t>Résultat 2</w:t>
            </w:r>
          </w:p>
          <w:p w14:paraId="4B46E1A4" w14:textId="77777777" w:rsidR="007B62A5" w:rsidRPr="002C15BF" w:rsidRDefault="007B62A5" w:rsidP="0084166C">
            <w:pPr>
              <w:ind w:hanging="2"/>
              <w:rPr>
                <w:lang w:val="fr-FR"/>
              </w:rPr>
            </w:pPr>
            <w:r w:rsidRPr="002C15BF">
              <w:rPr>
                <w:lang w:val="fr-FR"/>
              </w:rPr>
              <w:t>La réduction du flux entrant de dossiers et le désengorgement du système judiciaire de la justice, associés à une capacité accrue des titulaires de droits à faire valoir leurs droits</w:t>
            </w:r>
          </w:p>
          <w:p w14:paraId="794B3C19" w14:textId="77777777" w:rsidR="007B62A5" w:rsidRPr="005A6420" w:rsidRDefault="007B62A5" w:rsidP="0084166C">
            <w:pPr>
              <w:rPr>
                <w:rFonts w:cs="Tahoma"/>
                <w:szCs w:val="20"/>
                <w:lang w:val="fr-FR" w:eastAsia="en-US"/>
              </w:rPr>
            </w:pPr>
          </w:p>
        </w:tc>
        <w:tc>
          <w:tcPr>
            <w:tcW w:w="1800" w:type="dxa"/>
            <w:shd w:val="clear" w:color="auto" w:fill="EEECE1"/>
          </w:tcPr>
          <w:p w14:paraId="564D7E05" w14:textId="77777777" w:rsidR="007B62A5" w:rsidRPr="002C15BF" w:rsidRDefault="007B62A5" w:rsidP="0084166C">
            <w:pPr>
              <w:ind w:hanging="2"/>
              <w:jc w:val="both"/>
              <w:rPr>
                <w:lang w:val="fr-FR"/>
              </w:rPr>
            </w:pPr>
            <w:r w:rsidRPr="002C15BF">
              <w:rPr>
                <w:b/>
                <w:lang w:val="fr-FR"/>
              </w:rPr>
              <w:t>Indicateur 2</w:t>
            </w:r>
          </w:p>
          <w:p w14:paraId="75E8783B" w14:textId="77777777" w:rsidR="007B62A5" w:rsidRPr="002C15BF" w:rsidRDefault="007B62A5" w:rsidP="0084166C">
            <w:pPr>
              <w:ind w:hanging="2"/>
              <w:jc w:val="both"/>
              <w:rPr>
                <w:lang w:val="fr-FR"/>
              </w:rPr>
            </w:pPr>
            <w:r w:rsidRPr="002C15BF">
              <w:rPr>
                <w:lang w:val="fr-FR"/>
              </w:rPr>
              <w:t>Mesure dans laquelle les acteurs de la chaine pénale évoluent positivement dans la problématique de la détention préventive prolongée</w:t>
            </w:r>
          </w:p>
          <w:p w14:paraId="72595748" w14:textId="77777777" w:rsidR="007B62A5" w:rsidRPr="005A6420" w:rsidRDefault="007B62A5" w:rsidP="0084166C">
            <w:pPr>
              <w:jc w:val="both"/>
              <w:rPr>
                <w:rFonts w:cs="Tahoma"/>
                <w:szCs w:val="20"/>
                <w:lang w:val="fr-FR" w:eastAsia="en-US"/>
              </w:rPr>
            </w:pPr>
            <w:r w:rsidRPr="002C15BF">
              <w:t>%(</w:t>
            </w:r>
          </w:p>
        </w:tc>
        <w:tc>
          <w:tcPr>
            <w:tcW w:w="1103" w:type="dxa"/>
            <w:shd w:val="clear" w:color="auto" w:fill="EEECE1"/>
          </w:tcPr>
          <w:p w14:paraId="68765C11" w14:textId="77777777" w:rsidR="007B62A5" w:rsidRPr="005A6420" w:rsidRDefault="007B62A5" w:rsidP="0084166C">
            <w:pPr>
              <w:rPr>
                <w:lang w:val="fr-FR"/>
              </w:rPr>
            </w:pPr>
            <w:r w:rsidRPr="002C15BF">
              <w:rPr>
                <w:b/>
              </w:rPr>
              <w:t>     </w:t>
            </w:r>
          </w:p>
        </w:tc>
        <w:tc>
          <w:tcPr>
            <w:tcW w:w="1327" w:type="dxa"/>
            <w:shd w:val="clear" w:color="auto" w:fill="EEECE1"/>
          </w:tcPr>
          <w:p w14:paraId="1FB6DC35" w14:textId="77777777" w:rsidR="007B62A5" w:rsidRPr="005A6420" w:rsidRDefault="007B62A5" w:rsidP="0084166C">
            <w:pPr>
              <w:rPr>
                <w:lang w:val="fr-FR"/>
              </w:rPr>
            </w:pPr>
            <w:r w:rsidRPr="002C15BF">
              <w:rPr>
                <w:lang w:val="fr-FR"/>
              </w:rPr>
              <w:t>Constat appréciable de la détention préventive prolongée</w:t>
            </w:r>
          </w:p>
        </w:tc>
        <w:tc>
          <w:tcPr>
            <w:tcW w:w="2363" w:type="dxa"/>
          </w:tcPr>
          <w:p w14:paraId="452AA389" w14:textId="77777777" w:rsidR="007B62A5" w:rsidRPr="005A6420" w:rsidRDefault="007B62A5" w:rsidP="0084166C">
            <w:pPr>
              <w:rPr>
                <w:lang w:val="fr-FR"/>
              </w:rPr>
            </w:pPr>
            <w:r w:rsidRPr="002C15BF">
              <w:rPr>
                <w:lang w:val="fr-FR"/>
              </w:rPr>
              <w:t>Aménagement d’une salle d’audience dans l’enceinte de la prison des Cayes pour faciliter la tenue des audiences</w:t>
            </w:r>
          </w:p>
        </w:tc>
        <w:tc>
          <w:tcPr>
            <w:tcW w:w="2070" w:type="dxa"/>
          </w:tcPr>
          <w:p w14:paraId="0FD0A726" w14:textId="77777777" w:rsidR="007B62A5" w:rsidRPr="002C15BF" w:rsidRDefault="007B62A5" w:rsidP="0084166C">
            <w:pPr>
              <w:ind w:hanging="2"/>
              <w:rPr>
                <w:lang w:val="fr-FR"/>
              </w:rPr>
            </w:pPr>
            <w:r w:rsidRPr="002C15BF">
              <w:rPr>
                <w:lang w:val="fr-FR"/>
              </w:rPr>
              <w:t>Absence de progrès significatif dans ce domaine</w:t>
            </w:r>
          </w:p>
          <w:p w14:paraId="52A91141" w14:textId="77777777" w:rsidR="007B62A5" w:rsidRPr="005A6420" w:rsidRDefault="007B62A5" w:rsidP="0084166C">
            <w:pPr>
              <w:rPr>
                <w:lang w:val="fr-FR"/>
              </w:rPr>
            </w:pPr>
            <w:r w:rsidRPr="002C15BF">
              <w:rPr>
                <w:lang w:val="fr-FR"/>
              </w:rPr>
              <w:t>Le taux de DPP dans les principaux centres carcéraux de la zone du projet est de 85.7 %</w:t>
            </w:r>
          </w:p>
        </w:tc>
        <w:tc>
          <w:tcPr>
            <w:tcW w:w="4140" w:type="dxa"/>
          </w:tcPr>
          <w:p w14:paraId="3B07CA26" w14:textId="77777777" w:rsidR="007B62A5" w:rsidRPr="005A6420" w:rsidRDefault="007B62A5" w:rsidP="0084166C">
            <w:pPr>
              <w:rPr>
                <w:lang w:val="fr-FR"/>
              </w:rPr>
            </w:pPr>
            <w:r w:rsidRPr="002C15BF">
              <w:rPr>
                <w:lang w:val="fr-FR"/>
              </w:rPr>
              <w:t>Impact négatif de la crise politique prolongée et l’insécurité galopante sur le système judiciaire</w:t>
            </w:r>
          </w:p>
        </w:tc>
      </w:tr>
      <w:tr w:rsidR="007B62A5" w:rsidRPr="005A6420" w14:paraId="0156B83C" w14:textId="77777777" w:rsidTr="00FD2D7D">
        <w:trPr>
          <w:trHeight w:val="422"/>
        </w:trPr>
        <w:tc>
          <w:tcPr>
            <w:tcW w:w="2227" w:type="dxa"/>
            <w:vMerge/>
          </w:tcPr>
          <w:p w14:paraId="7E6ADFA4" w14:textId="77777777" w:rsidR="007B62A5" w:rsidRPr="005A6420" w:rsidRDefault="007B62A5" w:rsidP="0084166C">
            <w:pPr>
              <w:rPr>
                <w:rFonts w:cs="Tahoma"/>
                <w:b/>
                <w:szCs w:val="20"/>
                <w:lang w:val="fr-FR" w:eastAsia="en-US"/>
              </w:rPr>
            </w:pPr>
          </w:p>
        </w:tc>
        <w:tc>
          <w:tcPr>
            <w:tcW w:w="1800" w:type="dxa"/>
            <w:shd w:val="clear" w:color="auto" w:fill="EEECE1"/>
          </w:tcPr>
          <w:p w14:paraId="65128146" w14:textId="77777777" w:rsidR="007B62A5" w:rsidRPr="002C15BF" w:rsidRDefault="007B62A5" w:rsidP="0084166C">
            <w:pPr>
              <w:ind w:hanging="2"/>
              <w:jc w:val="both"/>
              <w:rPr>
                <w:lang w:val="fr-FR"/>
              </w:rPr>
            </w:pPr>
            <w:r w:rsidRPr="002C15BF">
              <w:rPr>
                <w:b/>
                <w:lang w:val="fr-FR"/>
              </w:rPr>
              <w:t>Indicateur 2.1</w:t>
            </w:r>
          </w:p>
          <w:p w14:paraId="11F64D73" w14:textId="440B85B2" w:rsidR="007B62A5" w:rsidRPr="002C15BF" w:rsidRDefault="007B62A5" w:rsidP="0084166C">
            <w:pPr>
              <w:ind w:hanging="2"/>
              <w:jc w:val="both"/>
              <w:rPr>
                <w:lang w:val="fr-FR"/>
              </w:rPr>
            </w:pPr>
            <w:r w:rsidRPr="002C15BF">
              <w:rPr>
                <w:lang w:val="fr-FR"/>
              </w:rPr>
              <w:t xml:space="preserve">Nombre </w:t>
            </w:r>
            <w:r w:rsidR="00B47747" w:rsidRPr="002C15BF">
              <w:rPr>
                <w:lang w:val="fr-FR"/>
              </w:rPr>
              <w:t>de personnes</w:t>
            </w:r>
            <w:r w:rsidRPr="002C15BF">
              <w:rPr>
                <w:lang w:val="fr-FR"/>
              </w:rPr>
              <w:t xml:space="preserve"> (d’acteurs) de la chaîne pénale et de la société civile formés sur </w:t>
            </w:r>
            <w:r w:rsidRPr="002C15BF">
              <w:rPr>
                <w:lang w:val="fr-FR"/>
              </w:rPr>
              <w:lastRenderedPageBreak/>
              <w:t>les mesures alternatives à la détention</w:t>
            </w:r>
          </w:p>
          <w:p w14:paraId="3105E149" w14:textId="77777777" w:rsidR="007B62A5" w:rsidRPr="005A6420" w:rsidRDefault="007B62A5" w:rsidP="0084166C">
            <w:pPr>
              <w:jc w:val="both"/>
              <w:rPr>
                <w:rFonts w:cs="Tahoma"/>
                <w:szCs w:val="20"/>
                <w:lang w:val="fr-FR" w:eastAsia="en-US"/>
              </w:rPr>
            </w:pPr>
          </w:p>
        </w:tc>
        <w:tc>
          <w:tcPr>
            <w:tcW w:w="1103" w:type="dxa"/>
            <w:shd w:val="clear" w:color="auto" w:fill="EEECE1"/>
          </w:tcPr>
          <w:p w14:paraId="49A08350" w14:textId="77777777" w:rsidR="007B62A5" w:rsidRPr="005A6420" w:rsidRDefault="007B62A5" w:rsidP="0084166C">
            <w:pPr>
              <w:rPr>
                <w:b/>
                <w:sz w:val="22"/>
                <w:szCs w:val="22"/>
                <w:lang w:val="fr-FR" w:eastAsia="en-US"/>
              </w:rPr>
            </w:pPr>
            <w:r w:rsidRPr="002C15BF">
              <w:rPr>
                <w:b/>
              </w:rPr>
              <w:lastRenderedPageBreak/>
              <w:t>     </w:t>
            </w:r>
          </w:p>
        </w:tc>
        <w:tc>
          <w:tcPr>
            <w:tcW w:w="1327" w:type="dxa"/>
            <w:shd w:val="clear" w:color="auto" w:fill="EEECE1"/>
          </w:tcPr>
          <w:p w14:paraId="2DDA6D14" w14:textId="77777777" w:rsidR="007B62A5" w:rsidRPr="005A6420" w:rsidRDefault="007B62A5" w:rsidP="0084166C">
            <w:pPr>
              <w:rPr>
                <w:b/>
                <w:sz w:val="22"/>
                <w:szCs w:val="22"/>
                <w:lang w:val="fr-FR" w:eastAsia="en-US"/>
              </w:rPr>
            </w:pPr>
            <w:r w:rsidRPr="002C15BF">
              <w:rPr>
                <w:b/>
              </w:rPr>
              <w:t>120</w:t>
            </w:r>
          </w:p>
        </w:tc>
        <w:tc>
          <w:tcPr>
            <w:tcW w:w="2363" w:type="dxa"/>
          </w:tcPr>
          <w:p w14:paraId="2F976A04" w14:textId="77777777" w:rsidR="007B62A5" w:rsidRPr="005A6420" w:rsidRDefault="007B62A5" w:rsidP="0084166C">
            <w:pPr>
              <w:rPr>
                <w:b/>
                <w:sz w:val="22"/>
                <w:szCs w:val="22"/>
                <w:lang w:val="fr-FR" w:eastAsia="en-US"/>
              </w:rPr>
            </w:pPr>
            <w:r w:rsidRPr="002C15BF">
              <w:rPr>
                <w:lang w:val="fr-FR"/>
              </w:rPr>
              <w:t xml:space="preserve">Disponibilité de deux modules de formation validé sur la justice des mineurs et des alternatives à la détention. </w:t>
            </w:r>
          </w:p>
        </w:tc>
        <w:tc>
          <w:tcPr>
            <w:tcW w:w="2070" w:type="dxa"/>
          </w:tcPr>
          <w:p w14:paraId="5ECAD572" w14:textId="77777777" w:rsidR="007B62A5" w:rsidRPr="005A6420" w:rsidRDefault="007B62A5" w:rsidP="0084166C">
            <w:pPr>
              <w:rPr>
                <w:b/>
                <w:sz w:val="22"/>
                <w:szCs w:val="22"/>
                <w:lang w:val="fr-FR" w:eastAsia="en-US"/>
              </w:rPr>
            </w:pPr>
            <w:r w:rsidRPr="002C15BF">
              <w:rPr>
                <w:lang w:val="fr-FR"/>
              </w:rPr>
              <w:t xml:space="preserve">93 (21 femmes, 72 hommes) personnes formées, notamment des magistrats, des avocats et des acteurs sociaux. </w:t>
            </w:r>
          </w:p>
        </w:tc>
        <w:tc>
          <w:tcPr>
            <w:tcW w:w="4140" w:type="dxa"/>
          </w:tcPr>
          <w:p w14:paraId="266B66E2" w14:textId="77777777" w:rsidR="007B62A5" w:rsidRPr="005A6420" w:rsidRDefault="007B62A5" w:rsidP="0084166C">
            <w:pPr>
              <w:rPr>
                <w:b/>
                <w:sz w:val="22"/>
                <w:szCs w:val="22"/>
                <w:lang w:val="fr-FR" w:eastAsia="en-US"/>
              </w:rPr>
            </w:pPr>
            <w:r w:rsidRPr="002C15BF">
              <w:rPr>
                <w:b/>
              </w:rPr>
              <w:t>     </w:t>
            </w:r>
          </w:p>
        </w:tc>
      </w:tr>
      <w:tr w:rsidR="007B62A5" w:rsidRPr="0030235D" w14:paraId="0991E000" w14:textId="77777777" w:rsidTr="00FD2D7D">
        <w:trPr>
          <w:trHeight w:val="422"/>
        </w:trPr>
        <w:tc>
          <w:tcPr>
            <w:tcW w:w="2227" w:type="dxa"/>
            <w:vMerge w:val="restart"/>
          </w:tcPr>
          <w:p w14:paraId="76E677E3" w14:textId="77777777" w:rsidR="007B62A5" w:rsidRPr="002C15BF" w:rsidRDefault="007B62A5" w:rsidP="0084166C">
            <w:pPr>
              <w:ind w:hanging="2"/>
              <w:rPr>
                <w:lang w:val="fr-FR"/>
              </w:rPr>
            </w:pPr>
            <w:r w:rsidRPr="002C15BF">
              <w:rPr>
                <w:b/>
                <w:lang w:val="fr-FR"/>
              </w:rPr>
              <w:t>Produit 2.1</w:t>
            </w:r>
          </w:p>
          <w:p w14:paraId="0292321C" w14:textId="77777777" w:rsidR="007B62A5" w:rsidRPr="005A6420" w:rsidRDefault="007B62A5" w:rsidP="0084166C">
            <w:pPr>
              <w:rPr>
                <w:rFonts w:cs="Tahoma"/>
                <w:b/>
                <w:szCs w:val="20"/>
                <w:lang w:val="fr-FR" w:eastAsia="en-US"/>
              </w:rPr>
            </w:pPr>
            <w:r w:rsidRPr="002C15BF">
              <w:rPr>
                <w:lang w:val="fr-FR"/>
              </w:rPr>
              <w:t>L’ensemble des acteurs de la chaîne pénale et les organisations de la société civile sont mieux outillés et formés pour limiter le flux entrant de personnes placées en détention préventive par l’utilisation de mesures alternatives</w:t>
            </w:r>
          </w:p>
        </w:tc>
        <w:tc>
          <w:tcPr>
            <w:tcW w:w="1800" w:type="dxa"/>
            <w:shd w:val="clear" w:color="auto" w:fill="EEECE1"/>
          </w:tcPr>
          <w:p w14:paraId="3D9917BE" w14:textId="77777777" w:rsidR="007B62A5" w:rsidRPr="002C15BF" w:rsidRDefault="007B62A5" w:rsidP="0084166C">
            <w:pPr>
              <w:ind w:hanging="2"/>
              <w:jc w:val="both"/>
              <w:rPr>
                <w:b/>
                <w:bCs/>
                <w:lang w:val="fr-FR"/>
              </w:rPr>
            </w:pPr>
            <w:r w:rsidRPr="002C15BF">
              <w:rPr>
                <w:b/>
                <w:bCs/>
                <w:lang w:val="fr-FR"/>
              </w:rPr>
              <w:t xml:space="preserve">Indicateur 2.1.2: </w:t>
            </w:r>
          </w:p>
          <w:p w14:paraId="35309703" w14:textId="77777777" w:rsidR="007B62A5" w:rsidRPr="005A6420" w:rsidRDefault="007B62A5" w:rsidP="0084166C">
            <w:pPr>
              <w:jc w:val="both"/>
              <w:rPr>
                <w:rFonts w:cs="Tahoma"/>
                <w:szCs w:val="20"/>
                <w:lang w:val="fr-FR" w:eastAsia="en-US"/>
              </w:rPr>
            </w:pPr>
            <w:r w:rsidRPr="002C15BF">
              <w:rPr>
                <w:lang w:val="fr-FR"/>
              </w:rPr>
              <w:t>Nombre de session de sensibilisations aux droits des populations ciblées en rapport à l'accès à l'assistance légale</w:t>
            </w:r>
          </w:p>
        </w:tc>
        <w:tc>
          <w:tcPr>
            <w:tcW w:w="1103" w:type="dxa"/>
            <w:shd w:val="clear" w:color="auto" w:fill="EEECE1"/>
          </w:tcPr>
          <w:p w14:paraId="241E2768" w14:textId="77777777" w:rsidR="007B62A5" w:rsidRPr="005A6420" w:rsidRDefault="007B62A5" w:rsidP="0084166C">
            <w:pPr>
              <w:rPr>
                <w:lang w:val="fr-FR"/>
              </w:rPr>
            </w:pPr>
          </w:p>
        </w:tc>
        <w:tc>
          <w:tcPr>
            <w:tcW w:w="1327" w:type="dxa"/>
            <w:shd w:val="clear" w:color="auto" w:fill="EEECE1"/>
          </w:tcPr>
          <w:p w14:paraId="33DA880A" w14:textId="77777777" w:rsidR="007B62A5" w:rsidRPr="005A6420" w:rsidRDefault="007B62A5" w:rsidP="0084166C">
            <w:pPr>
              <w:rPr>
                <w:lang w:val="fr-FR"/>
              </w:rPr>
            </w:pPr>
            <w:r w:rsidRPr="002C15BF">
              <w:rPr>
                <w:lang w:val="fr-FR"/>
              </w:rPr>
              <w:t>3</w:t>
            </w:r>
          </w:p>
        </w:tc>
        <w:tc>
          <w:tcPr>
            <w:tcW w:w="2363" w:type="dxa"/>
          </w:tcPr>
          <w:p w14:paraId="61A1B781" w14:textId="77777777" w:rsidR="007B62A5" w:rsidRPr="005A6420" w:rsidRDefault="007B62A5" w:rsidP="0084166C">
            <w:pPr>
              <w:rPr>
                <w:lang w:val="fr-FR"/>
              </w:rPr>
            </w:pPr>
            <w:r w:rsidRPr="002C15BF">
              <w:rPr>
                <w:lang w:val="fr-FR"/>
              </w:rPr>
              <w:t>Les travaux sont réalisés de concert avec l’OPC et les OSCs partenaires du projet.</w:t>
            </w:r>
          </w:p>
        </w:tc>
        <w:tc>
          <w:tcPr>
            <w:tcW w:w="2070" w:type="dxa"/>
          </w:tcPr>
          <w:p w14:paraId="1409C1D5" w14:textId="77777777" w:rsidR="007B62A5" w:rsidRPr="005A6420" w:rsidRDefault="007B62A5" w:rsidP="0084166C">
            <w:pPr>
              <w:rPr>
                <w:lang w:val="fr-FR"/>
              </w:rPr>
            </w:pPr>
            <w:r w:rsidRPr="002C15BF">
              <w:rPr>
                <w:lang w:val="fr-FR"/>
              </w:rPr>
              <w:t>4 sessions avec 2 dans les régions (Cap Haïtien, Les Cayes)</w:t>
            </w:r>
          </w:p>
        </w:tc>
        <w:tc>
          <w:tcPr>
            <w:tcW w:w="4140" w:type="dxa"/>
          </w:tcPr>
          <w:p w14:paraId="555DC66B" w14:textId="77777777" w:rsidR="007B62A5" w:rsidRPr="005A6420" w:rsidRDefault="007B62A5" w:rsidP="0084166C">
            <w:pPr>
              <w:rPr>
                <w:lang w:val="fr-FR"/>
              </w:rPr>
            </w:pPr>
          </w:p>
        </w:tc>
      </w:tr>
      <w:tr w:rsidR="007B62A5" w:rsidRPr="005A6420" w14:paraId="758C74AE" w14:textId="77777777" w:rsidTr="00FD2D7D">
        <w:trPr>
          <w:trHeight w:val="422"/>
        </w:trPr>
        <w:tc>
          <w:tcPr>
            <w:tcW w:w="2227" w:type="dxa"/>
            <w:vMerge/>
          </w:tcPr>
          <w:p w14:paraId="3C4B0D68" w14:textId="77777777" w:rsidR="007B62A5" w:rsidRPr="005A6420" w:rsidRDefault="007B62A5" w:rsidP="0084166C">
            <w:pPr>
              <w:rPr>
                <w:rFonts w:cs="Tahoma"/>
                <w:szCs w:val="20"/>
                <w:lang w:val="fr-FR" w:eastAsia="en-US"/>
              </w:rPr>
            </w:pPr>
          </w:p>
        </w:tc>
        <w:tc>
          <w:tcPr>
            <w:tcW w:w="1800" w:type="dxa"/>
            <w:shd w:val="clear" w:color="auto" w:fill="EEECE1"/>
          </w:tcPr>
          <w:p w14:paraId="264E2B78" w14:textId="77777777" w:rsidR="007B62A5" w:rsidRPr="002C15BF" w:rsidRDefault="007B62A5" w:rsidP="0084166C">
            <w:pPr>
              <w:ind w:hanging="2"/>
              <w:jc w:val="both"/>
              <w:rPr>
                <w:b/>
                <w:bCs/>
                <w:lang w:val="fr-FR"/>
              </w:rPr>
            </w:pPr>
            <w:r w:rsidRPr="002C15BF">
              <w:rPr>
                <w:b/>
                <w:bCs/>
                <w:lang w:val="fr-FR"/>
              </w:rPr>
              <w:t>Indicateur 2.1.3</w:t>
            </w:r>
          </w:p>
          <w:p w14:paraId="1FE66885" w14:textId="77777777" w:rsidR="007B62A5" w:rsidRPr="005A6420" w:rsidRDefault="007B62A5" w:rsidP="0084166C">
            <w:pPr>
              <w:jc w:val="both"/>
              <w:rPr>
                <w:rFonts w:cs="Tahoma"/>
                <w:szCs w:val="20"/>
                <w:lang w:val="fr-FR" w:eastAsia="en-US"/>
              </w:rPr>
            </w:pPr>
            <w:r w:rsidRPr="002C15BF">
              <w:rPr>
                <w:lang w:val="fr-FR"/>
              </w:rPr>
              <w:t>Nombre de personnes formées sur la formation spécifique pour la PNH (initiale et continue) sur les compétences techniques et sociales, qualification des cas, déjudiciarisatio</w:t>
            </w:r>
            <w:r w:rsidRPr="002C15BF">
              <w:rPr>
                <w:lang w:val="fr-FR"/>
              </w:rPr>
              <w:lastRenderedPageBreak/>
              <w:t>n, prise en charge et suivi des cas de VBG etc.</w:t>
            </w:r>
          </w:p>
        </w:tc>
        <w:tc>
          <w:tcPr>
            <w:tcW w:w="1103" w:type="dxa"/>
            <w:shd w:val="clear" w:color="auto" w:fill="EEECE1"/>
          </w:tcPr>
          <w:p w14:paraId="65448C8F" w14:textId="77777777" w:rsidR="007B62A5" w:rsidRPr="005A6420" w:rsidRDefault="007B62A5" w:rsidP="0084166C">
            <w:pPr>
              <w:rPr>
                <w:lang w:val="fr-FR"/>
              </w:rPr>
            </w:pPr>
          </w:p>
        </w:tc>
        <w:tc>
          <w:tcPr>
            <w:tcW w:w="1327" w:type="dxa"/>
            <w:shd w:val="clear" w:color="auto" w:fill="EEECE1"/>
          </w:tcPr>
          <w:p w14:paraId="11D1266A" w14:textId="77777777" w:rsidR="007B62A5" w:rsidRPr="005A6420" w:rsidRDefault="007B62A5" w:rsidP="0084166C">
            <w:pPr>
              <w:rPr>
                <w:lang w:val="fr-FR"/>
              </w:rPr>
            </w:pPr>
            <w:r w:rsidRPr="002C15BF">
              <w:rPr>
                <w:lang w:val="fr-FR"/>
              </w:rPr>
              <w:t>50</w:t>
            </w:r>
          </w:p>
        </w:tc>
        <w:tc>
          <w:tcPr>
            <w:tcW w:w="2363" w:type="dxa"/>
          </w:tcPr>
          <w:p w14:paraId="1FBB6988" w14:textId="67B94838" w:rsidR="007B62A5" w:rsidRPr="005A6420" w:rsidRDefault="007B62A5" w:rsidP="0084166C">
            <w:pPr>
              <w:rPr>
                <w:lang w:val="fr-FR"/>
              </w:rPr>
            </w:pPr>
            <w:r w:rsidRPr="002C15BF">
              <w:rPr>
                <w:lang w:val="fr-FR"/>
              </w:rPr>
              <w:t xml:space="preserve">Planification des séances </w:t>
            </w:r>
            <w:r w:rsidR="00FD2D7D">
              <w:rPr>
                <w:lang w:val="fr-FR"/>
              </w:rPr>
              <w:t>en</w:t>
            </w:r>
            <w:r w:rsidRPr="002C15BF">
              <w:rPr>
                <w:lang w:val="fr-FR"/>
              </w:rPr>
              <w:t xml:space="preserve"> juin pour un effectif d’environ 30 personnes additionnelles. </w:t>
            </w:r>
          </w:p>
        </w:tc>
        <w:tc>
          <w:tcPr>
            <w:tcW w:w="2070" w:type="dxa"/>
          </w:tcPr>
          <w:p w14:paraId="73CC42A5" w14:textId="77777777" w:rsidR="007B62A5" w:rsidRPr="002C15BF" w:rsidRDefault="007B62A5" w:rsidP="0084166C">
            <w:pPr>
              <w:ind w:hanging="2"/>
              <w:rPr>
                <w:lang w:val="fr-FR"/>
              </w:rPr>
            </w:pPr>
            <w:r w:rsidRPr="002C15BF">
              <w:rPr>
                <w:lang w:val="fr-FR"/>
              </w:rPr>
              <w:t>24</w:t>
            </w:r>
          </w:p>
          <w:p w14:paraId="7E25B5A4" w14:textId="77777777" w:rsidR="007B62A5" w:rsidRPr="005A6420" w:rsidRDefault="007B62A5" w:rsidP="0084166C">
            <w:pPr>
              <w:rPr>
                <w:lang w:val="fr-FR"/>
              </w:rPr>
            </w:pPr>
            <w:r w:rsidRPr="002C15BF">
              <w:rPr>
                <w:lang w:val="fr-FR"/>
              </w:rPr>
              <w:t>(5F, 19H).</w:t>
            </w:r>
          </w:p>
        </w:tc>
        <w:tc>
          <w:tcPr>
            <w:tcW w:w="4140" w:type="dxa"/>
          </w:tcPr>
          <w:p w14:paraId="07B63E9B" w14:textId="77777777" w:rsidR="007B62A5" w:rsidRPr="005A6420" w:rsidRDefault="007B62A5" w:rsidP="0084166C">
            <w:pPr>
              <w:rPr>
                <w:lang w:val="fr-FR"/>
              </w:rPr>
            </w:pPr>
          </w:p>
        </w:tc>
      </w:tr>
      <w:tr w:rsidR="007B62A5" w:rsidRPr="005A6420" w14:paraId="5DECE6A6" w14:textId="77777777" w:rsidTr="00FD2D7D">
        <w:trPr>
          <w:trHeight w:val="422"/>
        </w:trPr>
        <w:tc>
          <w:tcPr>
            <w:tcW w:w="2227" w:type="dxa"/>
            <w:vMerge/>
          </w:tcPr>
          <w:p w14:paraId="28653624" w14:textId="77777777" w:rsidR="007B62A5" w:rsidRPr="005A6420" w:rsidRDefault="007B62A5" w:rsidP="0084166C">
            <w:pPr>
              <w:rPr>
                <w:rFonts w:cs="Tahoma"/>
                <w:szCs w:val="20"/>
                <w:lang w:val="fr-FR" w:eastAsia="en-US"/>
              </w:rPr>
            </w:pPr>
          </w:p>
        </w:tc>
        <w:tc>
          <w:tcPr>
            <w:tcW w:w="1800" w:type="dxa"/>
            <w:shd w:val="clear" w:color="auto" w:fill="EEECE1"/>
          </w:tcPr>
          <w:p w14:paraId="4DDAD187" w14:textId="77777777" w:rsidR="007B62A5" w:rsidRPr="002C15BF" w:rsidRDefault="007B62A5" w:rsidP="0084166C">
            <w:pPr>
              <w:ind w:hanging="2"/>
              <w:jc w:val="both"/>
              <w:rPr>
                <w:b/>
                <w:bCs/>
                <w:lang w:val="fr-FR"/>
              </w:rPr>
            </w:pPr>
            <w:r w:rsidRPr="002C15BF">
              <w:rPr>
                <w:b/>
                <w:bCs/>
                <w:lang w:val="fr-FR"/>
              </w:rPr>
              <w:t>Indicateur 2.1.4</w:t>
            </w:r>
          </w:p>
          <w:p w14:paraId="5EA508B3" w14:textId="77777777" w:rsidR="007B62A5" w:rsidRPr="002C15BF" w:rsidRDefault="007B62A5" w:rsidP="0084166C">
            <w:pPr>
              <w:ind w:hanging="2"/>
              <w:jc w:val="both"/>
              <w:rPr>
                <w:lang w:val="fr-FR"/>
              </w:rPr>
            </w:pPr>
            <w:r w:rsidRPr="002C15BF">
              <w:rPr>
                <w:lang w:val="fr-FR"/>
              </w:rPr>
              <w:t xml:space="preserve">Nombre d'acteurs (judiciaire, policiers, et </w:t>
            </w:r>
            <w:proofErr w:type="gramStart"/>
            <w:r w:rsidRPr="002C15BF">
              <w:rPr>
                <w:lang w:val="fr-FR"/>
              </w:rPr>
              <w:t>sociaux)  formés</w:t>
            </w:r>
            <w:proofErr w:type="gramEnd"/>
            <w:r w:rsidRPr="002C15BF">
              <w:rPr>
                <w:lang w:val="fr-FR"/>
              </w:rPr>
              <w:t xml:space="preserve"> sur les modules de formation techniques et sociales</w:t>
            </w:r>
          </w:p>
          <w:p w14:paraId="7C4BA100" w14:textId="77777777" w:rsidR="007B62A5" w:rsidRPr="005A6420" w:rsidRDefault="007B62A5" w:rsidP="0084166C">
            <w:pPr>
              <w:jc w:val="both"/>
              <w:rPr>
                <w:rFonts w:cs="Tahoma"/>
                <w:szCs w:val="20"/>
                <w:lang w:val="fr-FR" w:eastAsia="en-US"/>
              </w:rPr>
            </w:pPr>
            <w:r w:rsidRPr="002C15BF">
              <w:rPr>
                <w:lang w:val="fr-FR"/>
              </w:rPr>
              <w:t>UNICEF</w:t>
            </w:r>
          </w:p>
        </w:tc>
        <w:tc>
          <w:tcPr>
            <w:tcW w:w="1103" w:type="dxa"/>
            <w:shd w:val="clear" w:color="auto" w:fill="EEECE1"/>
          </w:tcPr>
          <w:p w14:paraId="7C6C855E" w14:textId="77777777" w:rsidR="007B62A5" w:rsidRPr="005A6420" w:rsidRDefault="007B62A5" w:rsidP="0084166C">
            <w:pPr>
              <w:rPr>
                <w:lang w:val="fr-FR"/>
              </w:rPr>
            </w:pPr>
          </w:p>
        </w:tc>
        <w:tc>
          <w:tcPr>
            <w:tcW w:w="1327" w:type="dxa"/>
            <w:shd w:val="clear" w:color="auto" w:fill="EEECE1"/>
          </w:tcPr>
          <w:p w14:paraId="6A455777" w14:textId="77777777" w:rsidR="007B62A5" w:rsidRPr="005A6420" w:rsidRDefault="007B62A5" w:rsidP="0084166C">
            <w:pPr>
              <w:rPr>
                <w:lang w:val="fr-FR"/>
              </w:rPr>
            </w:pPr>
          </w:p>
        </w:tc>
        <w:tc>
          <w:tcPr>
            <w:tcW w:w="2363" w:type="dxa"/>
          </w:tcPr>
          <w:p w14:paraId="013954DD" w14:textId="77777777" w:rsidR="007B62A5" w:rsidRPr="005A6420" w:rsidRDefault="007B62A5" w:rsidP="0084166C">
            <w:pPr>
              <w:rPr>
                <w:lang w:val="fr-FR"/>
              </w:rPr>
            </w:pPr>
          </w:p>
        </w:tc>
        <w:tc>
          <w:tcPr>
            <w:tcW w:w="2070" w:type="dxa"/>
          </w:tcPr>
          <w:p w14:paraId="0F795397" w14:textId="77777777" w:rsidR="007B62A5" w:rsidRPr="005A6420" w:rsidRDefault="007B62A5" w:rsidP="0084166C">
            <w:pPr>
              <w:rPr>
                <w:lang w:val="fr-FR"/>
              </w:rPr>
            </w:pPr>
            <w:r w:rsidRPr="002C15BF">
              <w:rPr>
                <w:lang w:val="fr-FR"/>
              </w:rPr>
              <w:t>93 (21 femmes, 72 hommes)</w:t>
            </w:r>
          </w:p>
        </w:tc>
        <w:tc>
          <w:tcPr>
            <w:tcW w:w="4140" w:type="dxa"/>
          </w:tcPr>
          <w:p w14:paraId="3C888F44" w14:textId="77777777" w:rsidR="007B62A5" w:rsidRPr="005A6420" w:rsidRDefault="007B62A5" w:rsidP="0084166C">
            <w:pPr>
              <w:rPr>
                <w:lang w:val="fr-FR"/>
              </w:rPr>
            </w:pPr>
          </w:p>
        </w:tc>
      </w:tr>
      <w:tr w:rsidR="007B62A5" w:rsidRPr="005A6420" w14:paraId="71240852" w14:textId="77777777" w:rsidTr="00FD2D7D">
        <w:trPr>
          <w:trHeight w:val="422"/>
        </w:trPr>
        <w:tc>
          <w:tcPr>
            <w:tcW w:w="2227" w:type="dxa"/>
          </w:tcPr>
          <w:p w14:paraId="645966A3" w14:textId="77777777" w:rsidR="007B62A5" w:rsidRPr="005A6420" w:rsidRDefault="007B62A5" w:rsidP="0084166C">
            <w:pPr>
              <w:rPr>
                <w:rFonts w:cs="Tahoma"/>
                <w:szCs w:val="20"/>
                <w:lang w:val="fr-FR" w:eastAsia="en-US"/>
              </w:rPr>
            </w:pPr>
          </w:p>
        </w:tc>
        <w:tc>
          <w:tcPr>
            <w:tcW w:w="1800" w:type="dxa"/>
            <w:shd w:val="clear" w:color="auto" w:fill="EEECE1"/>
          </w:tcPr>
          <w:p w14:paraId="54C3707A" w14:textId="77777777" w:rsidR="007B62A5" w:rsidRPr="002C15BF" w:rsidRDefault="007B62A5" w:rsidP="0084166C">
            <w:pPr>
              <w:ind w:hanging="2"/>
              <w:jc w:val="both"/>
              <w:rPr>
                <w:lang w:val="fr-FR"/>
              </w:rPr>
            </w:pPr>
            <w:r w:rsidRPr="002C15BF">
              <w:rPr>
                <w:lang w:val="fr-FR"/>
              </w:rPr>
              <w:t>Indicateur 2.1.5 :</w:t>
            </w:r>
          </w:p>
          <w:p w14:paraId="68BEDC6C" w14:textId="77777777" w:rsidR="007B62A5" w:rsidRPr="002C15BF" w:rsidRDefault="007B62A5" w:rsidP="0084166C">
            <w:pPr>
              <w:ind w:hanging="2"/>
              <w:jc w:val="both"/>
              <w:rPr>
                <w:lang w:val="fr-FR"/>
              </w:rPr>
            </w:pPr>
            <w:r w:rsidRPr="002C15BF">
              <w:rPr>
                <w:lang w:val="fr-FR"/>
              </w:rPr>
              <w:t>Nombre d’acteurs (personnes) judiciaires, policiers et sociaux formés sur les alternatives en matière de justice des mineurs</w:t>
            </w:r>
          </w:p>
          <w:p w14:paraId="7D1B0ED8" w14:textId="77777777" w:rsidR="007B62A5" w:rsidRPr="005A6420" w:rsidRDefault="007B62A5" w:rsidP="0084166C">
            <w:pPr>
              <w:jc w:val="both"/>
              <w:rPr>
                <w:rFonts w:cs="Tahoma"/>
                <w:szCs w:val="20"/>
                <w:lang w:val="fr-FR" w:eastAsia="en-US"/>
              </w:rPr>
            </w:pPr>
            <w:r w:rsidRPr="002C15BF">
              <w:rPr>
                <w:lang w:val="fr-FR"/>
              </w:rPr>
              <w:t>UNICEF</w:t>
            </w:r>
          </w:p>
        </w:tc>
        <w:tc>
          <w:tcPr>
            <w:tcW w:w="1103" w:type="dxa"/>
            <w:shd w:val="clear" w:color="auto" w:fill="EEECE1"/>
          </w:tcPr>
          <w:p w14:paraId="12157F17" w14:textId="77777777" w:rsidR="007B62A5" w:rsidRPr="005A6420" w:rsidRDefault="007B62A5" w:rsidP="0084166C">
            <w:pPr>
              <w:rPr>
                <w:b/>
                <w:sz w:val="22"/>
                <w:szCs w:val="22"/>
                <w:lang w:val="fr-FR" w:eastAsia="en-US"/>
              </w:rPr>
            </w:pPr>
          </w:p>
        </w:tc>
        <w:tc>
          <w:tcPr>
            <w:tcW w:w="1327" w:type="dxa"/>
            <w:shd w:val="clear" w:color="auto" w:fill="EEECE1"/>
          </w:tcPr>
          <w:p w14:paraId="5DB94A54" w14:textId="77777777" w:rsidR="007B62A5" w:rsidRPr="005A6420" w:rsidRDefault="007B62A5" w:rsidP="0084166C">
            <w:pPr>
              <w:rPr>
                <w:b/>
                <w:sz w:val="22"/>
                <w:szCs w:val="22"/>
                <w:lang w:val="fr-FR" w:eastAsia="en-US"/>
              </w:rPr>
            </w:pPr>
            <w:r w:rsidRPr="002C15BF">
              <w:t>30</w:t>
            </w:r>
          </w:p>
        </w:tc>
        <w:tc>
          <w:tcPr>
            <w:tcW w:w="2363" w:type="dxa"/>
          </w:tcPr>
          <w:p w14:paraId="28656277" w14:textId="77777777" w:rsidR="007B62A5" w:rsidRPr="002C15BF" w:rsidRDefault="007B62A5" w:rsidP="0084166C">
            <w:pPr>
              <w:ind w:hanging="2"/>
              <w:rPr>
                <w:lang w:val="fr-FR"/>
              </w:rPr>
            </w:pPr>
            <w:r w:rsidRPr="002C15BF">
              <w:rPr>
                <w:lang w:val="fr-FR"/>
              </w:rPr>
              <w:t>Disponibilité du module de formation ;</w:t>
            </w:r>
          </w:p>
          <w:p w14:paraId="547F42ED" w14:textId="77777777" w:rsidR="007B62A5" w:rsidRPr="005A6420" w:rsidRDefault="007B62A5" w:rsidP="0084166C">
            <w:pPr>
              <w:rPr>
                <w:b/>
                <w:sz w:val="22"/>
                <w:szCs w:val="22"/>
                <w:lang w:val="fr-FR" w:eastAsia="en-US"/>
              </w:rPr>
            </w:pPr>
          </w:p>
        </w:tc>
        <w:tc>
          <w:tcPr>
            <w:tcW w:w="2070" w:type="dxa"/>
          </w:tcPr>
          <w:p w14:paraId="313753D1" w14:textId="77777777" w:rsidR="007B62A5" w:rsidRPr="005A6420" w:rsidRDefault="007B62A5" w:rsidP="0084166C">
            <w:pPr>
              <w:rPr>
                <w:b/>
                <w:sz w:val="22"/>
                <w:szCs w:val="22"/>
                <w:lang w:val="fr-FR" w:eastAsia="en-US"/>
              </w:rPr>
            </w:pPr>
            <w:r w:rsidRPr="002C15BF">
              <w:t>156 (106 femmes, 50 hommes)</w:t>
            </w:r>
          </w:p>
        </w:tc>
        <w:tc>
          <w:tcPr>
            <w:tcW w:w="4140" w:type="dxa"/>
          </w:tcPr>
          <w:p w14:paraId="32974AF9" w14:textId="77777777" w:rsidR="007B62A5" w:rsidRPr="005A6420" w:rsidRDefault="007B62A5" w:rsidP="0084166C">
            <w:pPr>
              <w:rPr>
                <w:b/>
                <w:sz w:val="22"/>
                <w:szCs w:val="22"/>
                <w:lang w:val="fr-FR" w:eastAsia="en-US"/>
              </w:rPr>
            </w:pPr>
            <w:r w:rsidRPr="002C15BF">
              <w:t>NA</w:t>
            </w:r>
          </w:p>
        </w:tc>
      </w:tr>
      <w:tr w:rsidR="007B62A5" w:rsidRPr="005A6420" w14:paraId="6CBF7E44" w14:textId="77777777" w:rsidTr="00FD2D7D">
        <w:trPr>
          <w:trHeight w:val="422"/>
        </w:trPr>
        <w:tc>
          <w:tcPr>
            <w:tcW w:w="2227" w:type="dxa"/>
          </w:tcPr>
          <w:p w14:paraId="0E603824" w14:textId="77777777" w:rsidR="007B62A5" w:rsidRPr="005A6420" w:rsidRDefault="007B62A5" w:rsidP="0084166C">
            <w:pPr>
              <w:rPr>
                <w:rFonts w:cs="Tahoma"/>
                <w:szCs w:val="20"/>
                <w:lang w:val="fr-FR" w:eastAsia="en-US"/>
              </w:rPr>
            </w:pPr>
          </w:p>
        </w:tc>
        <w:tc>
          <w:tcPr>
            <w:tcW w:w="1800" w:type="dxa"/>
            <w:shd w:val="clear" w:color="auto" w:fill="EEECE1"/>
          </w:tcPr>
          <w:p w14:paraId="1C56646B" w14:textId="77777777" w:rsidR="007B62A5" w:rsidRPr="002C15BF" w:rsidRDefault="007B62A5" w:rsidP="0084166C">
            <w:pPr>
              <w:ind w:hanging="2"/>
              <w:jc w:val="both"/>
              <w:rPr>
                <w:lang w:val="fr-FR"/>
              </w:rPr>
            </w:pPr>
            <w:r w:rsidRPr="002C15BF">
              <w:rPr>
                <w:b/>
                <w:lang w:val="fr-FR"/>
              </w:rPr>
              <w:t>Indicateur 2.1.7</w:t>
            </w:r>
          </w:p>
          <w:p w14:paraId="39571E36" w14:textId="77777777" w:rsidR="007B62A5" w:rsidRPr="002C15BF" w:rsidRDefault="007B62A5" w:rsidP="0084166C">
            <w:pPr>
              <w:ind w:hanging="2"/>
              <w:jc w:val="both"/>
              <w:rPr>
                <w:lang w:val="fr-FR"/>
              </w:rPr>
            </w:pPr>
            <w:r w:rsidRPr="002C15BF">
              <w:rPr>
                <w:lang w:val="fr-FR"/>
              </w:rPr>
              <w:t>Nombre d'enfant en conflit avec la loi placés dans des familles d'accueil</w:t>
            </w:r>
          </w:p>
          <w:p w14:paraId="5E2EC014" w14:textId="77777777" w:rsidR="007B62A5" w:rsidRPr="005A6420" w:rsidRDefault="007B62A5" w:rsidP="0084166C">
            <w:pPr>
              <w:jc w:val="both"/>
              <w:rPr>
                <w:rFonts w:cs="Tahoma"/>
                <w:szCs w:val="20"/>
                <w:lang w:val="fr-FR" w:eastAsia="en-US"/>
              </w:rPr>
            </w:pPr>
            <w:r w:rsidRPr="002C15BF">
              <w:t>(UNICEF)</w:t>
            </w:r>
          </w:p>
        </w:tc>
        <w:tc>
          <w:tcPr>
            <w:tcW w:w="1103" w:type="dxa"/>
            <w:shd w:val="clear" w:color="auto" w:fill="EEECE1"/>
          </w:tcPr>
          <w:p w14:paraId="428B9D87" w14:textId="77777777" w:rsidR="007B62A5" w:rsidRPr="005A6420" w:rsidRDefault="007B62A5" w:rsidP="0084166C">
            <w:pPr>
              <w:rPr>
                <w:b/>
                <w:sz w:val="22"/>
                <w:szCs w:val="22"/>
                <w:lang w:val="fr-FR" w:eastAsia="en-US"/>
              </w:rPr>
            </w:pPr>
            <w:r w:rsidRPr="002C15BF">
              <w:rPr>
                <w:b/>
              </w:rPr>
              <w:t>     </w:t>
            </w:r>
          </w:p>
        </w:tc>
        <w:tc>
          <w:tcPr>
            <w:tcW w:w="1327" w:type="dxa"/>
            <w:shd w:val="clear" w:color="auto" w:fill="EEECE1"/>
          </w:tcPr>
          <w:p w14:paraId="01270ADB" w14:textId="77777777" w:rsidR="007B62A5" w:rsidRPr="005A6420" w:rsidRDefault="007B62A5" w:rsidP="0084166C">
            <w:pPr>
              <w:rPr>
                <w:b/>
                <w:sz w:val="22"/>
                <w:szCs w:val="22"/>
                <w:lang w:val="fr-FR" w:eastAsia="en-US"/>
              </w:rPr>
            </w:pPr>
            <w:r w:rsidRPr="002C15BF">
              <w:rPr>
                <w:b/>
              </w:rPr>
              <w:t>15</w:t>
            </w:r>
          </w:p>
        </w:tc>
        <w:tc>
          <w:tcPr>
            <w:tcW w:w="2363" w:type="dxa"/>
          </w:tcPr>
          <w:p w14:paraId="51D8199F" w14:textId="77777777" w:rsidR="007B62A5" w:rsidRPr="002C15BF" w:rsidRDefault="007B62A5" w:rsidP="0084166C">
            <w:pPr>
              <w:ind w:hanging="2"/>
              <w:rPr>
                <w:lang w:val="fr-FR"/>
              </w:rPr>
            </w:pPr>
            <w:r w:rsidRPr="002C15BF">
              <w:rPr>
                <w:lang w:val="fr-FR"/>
              </w:rPr>
              <w:t>Formation pour 18 familles d’accueil</w:t>
            </w:r>
          </w:p>
          <w:p w14:paraId="6A5BCD17" w14:textId="77777777" w:rsidR="007B62A5" w:rsidRPr="005A6420" w:rsidRDefault="007B62A5" w:rsidP="0084166C">
            <w:pPr>
              <w:rPr>
                <w:b/>
                <w:sz w:val="22"/>
                <w:szCs w:val="22"/>
                <w:lang w:val="fr-FR" w:eastAsia="en-US"/>
              </w:rPr>
            </w:pPr>
            <w:r w:rsidRPr="002C15BF">
              <w:rPr>
                <w:lang w:val="fr-FR"/>
              </w:rPr>
              <w:t>Disponibilité d’une étude sur la prise en charge par les familles d’accueil</w:t>
            </w:r>
          </w:p>
        </w:tc>
        <w:tc>
          <w:tcPr>
            <w:tcW w:w="2070" w:type="dxa"/>
          </w:tcPr>
          <w:p w14:paraId="5ED7D8F9" w14:textId="77777777" w:rsidR="007B62A5" w:rsidRPr="005A6420" w:rsidRDefault="007B62A5" w:rsidP="0084166C">
            <w:pPr>
              <w:rPr>
                <w:b/>
                <w:sz w:val="22"/>
                <w:szCs w:val="22"/>
                <w:lang w:val="fr-FR" w:eastAsia="en-US"/>
              </w:rPr>
            </w:pPr>
            <w:r w:rsidRPr="002C15BF">
              <w:rPr>
                <w:b/>
              </w:rPr>
              <w:t>120 (103 garcons, 17 filles)</w:t>
            </w:r>
          </w:p>
        </w:tc>
        <w:tc>
          <w:tcPr>
            <w:tcW w:w="4140" w:type="dxa"/>
          </w:tcPr>
          <w:p w14:paraId="19ABBEB2" w14:textId="77777777" w:rsidR="007B62A5" w:rsidRPr="005A6420" w:rsidRDefault="007B62A5" w:rsidP="0084166C">
            <w:pPr>
              <w:rPr>
                <w:b/>
                <w:sz w:val="22"/>
                <w:szCs w:val="22"/>
                <w:lang w:val="fr-FR" w:eastAsia="en-US"/>
              </w:rPr>
            </w:pPr>
          </w:p>
        </w:tc>
      </w:tr>
      <w:tr w:rsidR="007B62A5" w:rsidRPr="005A6420" w14:paraId="75E0A22C" w14:textId="77777777" w:rsidTr="00CE2278">
        <w:trPr>
          <w:trHeight w:val="2602"/>
        </w:trPr>
        <w:tc>
          <w:tcPr>
            <w:tcW w:w="2227" w:type="dxa"/>
          </w:tcPr>
          <w:p w14:paraId="095BDB1C" w14:textId="77777777" w:rsidR="007B62A5" w:rsidRPr="005A6420" w:rsidRDefault="007B62A5" w:rsidP="0084166C">
            <w:pPr>
              <w:rPr>
                <w:rFonts w:cs="Tahoma"/>
                <w:szCs w:val="20"/>
                <w:lang w:val="fr-FR" w:eastAsia="en-US"/>
              </w:rPr>
            </w:pPr>
          </w:p>
        </w:tc>
        <w:tc>
          <w:tcPr>
            <w:tcW w:w="1800" w:type="dxa"/>
            <w:shd w:val="clear" w:color="auto" w:fill="EEECE1"/>
          </w:tcPr>
          <w:p w14:paraId="23F183EF" w14:textId="77777777" w:rsidR="007B62A5" w:rsidRPr="002C15BF" w:rsidRDefault="007B62A5" w:rsidP="0084166C">
            <w:pPr>
              <w:ind w:hanging="2"/>
              <w:jc w:val="both"/>
              <w:rPr>
                <w:b/>
                <w:bCs/>
                <w:lang w:val="fr-FR"/>
              </w:rPr>
            </w:pPr>
            <w:r w:rsidRPr="002C15BF">
              <w:rPr>
                <w:b/>
                <w:bCs/>
                <w:lang w:val="fr-FR"/>
              </w:rPr>
              <w:t>Indicateur 2.1.8</w:t>
            </w:r>
          </w:p>
          <w:p w14:paraId="777E12E7" w14:textId="30F0E9BC" w:rsidR="007B62A5" w:rsidRPr="005A6420" w:rsidRDefault="007B62A5" w:rsidP="00CE2278">
            <w:pPr>
              <w:ind w:hanging="2"/>
              <w:jc w:val="both"/>
              <w:rPr>
                <w:rFonts w:cs="Tahoma"/>
                <w:szCs w:val="20"/>
                <w:lang w:val="fr-FR" w:eastAsia="en-US"/>
              </w:rPr>
            </w:pPr>
            <w:r w:rsidRPr="002C15BF">
              <w:rPr>
                <w:lang w:val="fr-FR"/>
              </w:rPr>
              <w:t>Nombre de victimes bénéficiant un appui psychosocial à travers une organisation</w:t>
            </w:r>
          </w:p>
        </w:tc>
        <w:tc>
          <w:tcPr>
            <w:tcW w:w="1103" w:type="dxa"/>
            <w:shd w:val="clear" w:color="auto" w:fill="EEECE1"/>
          </w:tcPr>
          <w:p w14:paraId="3AA81C35" w14:textId="77777777" w:rsidR="007B62A5" w:rsidRPr="005A6420" w:rsidRDefault="007B62A5" w:rsidP="0084166C">
            <w:pPr>
              <w:rPr>
                <w:b/>
                <w:sz w:val="22"/>
                <w:szCs w:val="22"/>
                <w:lang w:val="fr-FR" w:eastAsia="en-US"/>
              </w:rPr>
            </w:pPr>
          </w:p>
        </w:tc>
        <w:tc>
          <w:tcPr>
            <w:tcW w:w="1327" w:type="dxa"/>
            <w:shd w:val="clear" w:color="auto" w:fill="EEECE1"/>
          </w:tcPr>
          <w:p w14:paraId="5E4EF37F" w14:textId="77777777" w:rsidR="007B62A5" w:rsidRPr="005A6420" w:rsidRDefault="007B62A5" w:rsidP="0084166C">
            <w:pPr>
              <w:rPr>
                <w:b/>
                <w:sz w:val="22"/>
                <w:szCs w:val="22"/>
                <w:lang w:val="fr-FR" w:eastAsia="en-US"/>
              </w:rPr>
            </w:pPr>
            <w:r w:rsidRPr="002C15BF">
              <w:t>50</w:t>
            </w:r>
          </w:p>
        </w:tc>
        <w:tc>
          <w:tcPr>
            <w:tcW w:w="2363" w:type="dxa"/>
          </w:tcPr>
          <w:p w14:paraId="15E02B9A" w14:textId="77777777" w:rsidR="007B62A5" w:rsidRPr="002C15BF" w:rsidRDefault="007B62A5" w:rsidP="0084166C">
            <w:pPr>
              <w:ind w:hanging="2"/>
              <w:rPr>
                <w:lang w:val="fr-FR"/>
              </w:rPr>
            </w:pPr>
            <w:r w:rsidRPr="002C15BF">
              <w:rPr>
                <w:lang w:val="fr-FR"/>
              </w:rPr>
              <w:t xml:space="preserve">Développement de module de prise en charge des appuis psychosocial. </w:t>
            </w:r>
          </w:p>
          <w:p w14:paraId="53F56BF7" w14:textId="77777777" w:rsidR="007B62A5" w:rsidRPr="005A6420" w:rsidRDefault="007B62A5" w:rsidP="0084166C">
            <w:pPr>
              <w:rPr>
                <w:b/>
                <w:sz w:val="22"/>
                <w:szCs w:val="22"/>
                <w:lang w:val="fr-FR" w:eastAsia="en-US"/>
              </w:rPr>
            </w:pPr>
          </w:p>
        </w:tc>
        <w:tc>
          <w:tcPr>
            <w:tcW w:w="2070" w:type="dxa"/>
          </w:tcPr>
          <w:p w14:paraId="093BC557" w14:textId="77777777" w:rsidR="007B62A5" w:rsidRPr="002C15BF" w:rsidRDefault="007B62A5" w:rsidP="0084166C">
            <w:pPr>
              <w:ind w:hanging="2"/>
            </w:pPr>
            <w:r w:rsidRPr="002C15BF">
              <w:t>386</w:t>
            </w:r>
          </w:p>
          <w:p w14:paraId="550E4F94" w14:textId="77777777" w:rsidR="007B62A5" w:rsidRPr="005A6420" w:rsidRDefault="007B62A5" w:rsidP="0084166C">
            <w:pPr>
              <w:rPr>
                <w:b/>
                <w:sz w:val="22"/>
                <w:szCs w:val="22"/>
                <w:lang w:val="fr-FR" w:eastAsia="en-US"/>
              </w:rPr>
            </w:pPr>
            <w:r w:rsidRPr="002C15BF">
              <w:t>(72 femmes, 314 hommes)</w:t>
            </w:r>
          </w:p>
        </w:tc>
        <w:tc>
          <w:tcPr>
            <w:tcW w:w="4140" w:type="dxa"/>
          </w:tcPr>
          <w:p w14:paraId="210FCAB7" w14:textId="77777777" w:rsidR="007B62A5" w:rsidRPr="005A6420" w:rsidRDefault="007B62A5" w:rsidP="0084166C">
            <w:pPr>
              <w:rPr>
                <w:b/>
                <w:sz w:val="22"/>
                <w:szCs w:val="22"/>
                <w:lang w:val="fr-FR" w:eastAsia="en-US"/>
              </w:rPr>
            </w:pPr>
          </w:p>
        </w:tc>
      </w:tr>
      <w:tr w:rsidR="007B62A5" w:rsidRPr="005A6420" w14:paraId="343CA466" w14:textId="77777777" w:rsidTr="00FD2D7D">
        <w:trPr>
          <w:trHeight w:val="422"/>
        </w:trPr>
        <w:tc>
          <w:tcPr>
            <w:tcW w:w="2227" w:type="dxa"/>
          </w:tcPr>
          <w:p w14:paraId="45BA6E11" w14:textId="77777777" w:rsidR="007B62A5" w:rsidRPr="005A6420" w:rsidRDefault="007B62A5" w:rsidP="0084166C">
            <w:pPr>
              <w:rPr>
                <w:rFonts w:cs="Tahoma"/>
                <w:szCs w:val="20"/>
                <w:lang w:val="fr-FR" w:eastAsia="en-US"/>
              </w:rPr>
            </w:pPr>
          </w:p>
        </w:tc>
        <w:tc>
          <w:tcPr>
            <w:tcW w:w="1800" w:type="dxa"/>
            <w:shd w:val="clear" w:color="auto" w:fill="EEECE1"/>
          </w:tcPr>
          <w:p w14:paraId="1C1D543A" w14:textId="77777777" w:rsidR="007B62A5" w:rsidRPr="002C15BF" w:rsidRDefault="007B62A5" w:rsidP="0084166C">
            <w:pPr>
              <w:ind w:hanging="2"/>
              <w:jc w:val="both"/>
              <w:rPr>
                <w:lang w:val="fr-FR"/>
              </w:rPr>
            </w:pPr>
            <w:r w:rsidRPr="002C15BF">
              <w:rPr>
                <w:b/>
                <w:lang w:val="fr-FR"/>
              </w:rPr>
              <w:t xml:space="preserve">Indicateur 2.1.9 </w:t>
            </w:r>
          </w:p>
          <w:p w14:paraId="2C34E494" w14:textId="77777777" w:rsidR="007B62A5" w:rsidRPr="002C15BF" w:rsidRDefault="007B62A5" w:rsidP="0084166C">
            <w:pPr>
              <w:ind w:hanging="2"/>
              <w:jc w:val="both"/>
              <w:rPr>
                <w:lang w:val="fr-FR"/>
              </w:rPr>
            </w:pPr>
            <w:r w:rsidRPr="002C15BF">
              <w:rPr>
                <w:lang w:val="fr-FR"/>
              </w:rPr>
              <w:t>Nombre d'enfant en conflit avec la loi qui bénéficie un programme de réinsertion</w:t>
            </w:r>
          </w:p>
          <w:p w14:paraId="0431BB64" w14:textId="77777777" w:rsidR="007B62A5" w:rsidRPr="005A6420" w:rsidRDefault="007B62A5" w:rsidP="0084166C">
            <w:pPr>
              <w:jc w:val="both"/>
              <w:rPr>
                <w:rFonts w:cs="Tahoma"/>
                <w:szCs w:val="20"/>
                <w:lang w:val="fr-FR" w:eastAsia="en-US"/>
              </w:rPr>
            </w:pPr>
            <w:r w:rsidRPr="002C15BF">
              <w:t>(UNICEF)</w:t>
            </w:r>
          </w:p>
        </w:tc>
        <w:tc>
          <w:tcPr>
            <w:tcW w:w="1103" w:type="dxa"/>
            <w:shd w:val="clear" w:color="auto" w:fill="EEECE1"/>
          </w:tcPr>
          <w:p w14:paraId="02EE9298" w14:textId="77777777" w:rsidR="007B62A5" w:rsidRPr="005A6420" w:rsidRDefault="007B62A5" w:rsidP="0084166C">
            <w:pPr>
              <w:rPr>
                <w:b/>
                <w:sz w:val="22"/>
                <w:szCs w:val="22"/>
                <w:lang w:val="fr-FR" w:eastAsia="en-US"/>
              </w:rPr>
            </w:pPr>
          </w:p>
        </w:tc>
        <w:tc>
          <w:tcPr>
            <w:tcW w:w="1327" w:type="dxa"/>
            <w:shd w:val="clear" w:color="auto" w:fill="EEECE1"/>
          </w:tcPr>
          <w:p w14:paraId="157A8B97" w14:textId="77777777" w:rsidR="007B62A5" w:rsidRPr="005A6420" w:rsidRDefault="007B62A5" w:rsidP="0084166C">
            <w:pPr>
              <w:rPr>
                <w:b/>
                <w:sz w:val="22"/>
                <w:szCs w:val="22"/>
                <w:lang w:val="fr-FR" w:eastAsia="en-US"/>
              </w:rPr>
            </w:pPr>
            <w:r w:rsidRPr="002C15BF">
              <w:rPr>
                <w:b/>
              </w:rPr>
              <w:t>50</w:t>
            </w:r>
          </w:p>
        </w:tc>
        <w:tc>
          <w:tcPr>
            <w:tcW w:w="2363" w:type="dxa"/>
          </w:tcPr>
          <w:p w14:paraId="1949E671" w14:textId="77777777" w:rsidR="007B62A5" w:rsidRPr="005A6420" w:rsidRDefault="007B62A5" w:rsidP="0084166C">
            <w:pPr>
              <w:rPr>
                <w:b/>
                <w:sz w:val="22"/>
                <w:szCs w:val="22"/>
                <w:lang w:val="fr-FR" w:eastAsia="en-US"/>
              </w:rPr>
            </w:pPr>
            <w:r w:rsidRPr="002C15BF">
              <w:t>35</w:t>
            </w:r>
          </w:p>
        </w:tc>
        <w:tc>
          <w:tcPr>
            <w:tcW w:w="2070" w:type="dxa"/>
          </w:tcPr>
          <w:p w14:paraId="431A4B93" w14:textId="77777777" w:rsidR="007B62A5" w:rsidRPr="005A6420" w:rsidRDefault="007B62A5" w:rsidP="0084166C">
            <w:pPr>
              <w:rPr>
                <w:b/>
                <w:sz w:val="22"/>
                <w:szCs w:val="22"/>
                <w:lang w:val="fr-FR" w:eastAsia="en-US"/>
              </w:rPr>
            </w:pPr>
            <w:r w:rsidRPr="002C15BF">
              <w:rPr>
                <w:b/>
              </w:rPr>
              <w:t>90 (73 garcons, 17 filles)</w:t>
            </w:r>
          </w:p>
        </w:tc>
        <w:tc>
          <w:tcPr>
            <w:tcW w:w="4140" w:type="dxa"/>
          </w:tcPr>
          <w:p w14:paraId="62D22E07" w14:textId="77777777" w:rsidR="007B62A5" w:rsidRPr="005A6420" w:rsidRDefault="007B62A5" w:rsidP="0084166C">
            <w:pPr>
              <w:rPr>
                <w:b/>
                <w:sz w:val="22"/>
                <w:szCs w:val="22"/>
                <w:lang w:val="fr-FR" w:eastAsia="en-US"/>
              </w:rPr>
            </w:pPr>
          </w:p>
        </w:tc>
      </w:tr>
      <w:tr w:rsidR="007B62A5" w:rsidRPr="005A6420" w14:paraId="5165A79E" w14:textId="77777777" w:rsidTr="00FD2D7D">
        <w:trPr>
          <w:trHeight w:val="422"/>
        </w:trPr>
        <w:tc>
          <w:tcPr>
            <w:tcW w:w="2227" w:type="dxa"/>
            <w:vMerge w:val="restart"/>
          </w:tcPr>
          <w:p w14:paraId="157BBF70" w14:textId="77777777" w:rsidR="007B62A5" w:rsidRPr="002C15BF" w:rsidRDefault="007B62A5" w:rsidP="0084166C">
            <w:pPr>
              <w:ind w:hanging="2"/>
              <w:rPr>
                <w:lang w:val="fr-FR"/>
              </w:rPr>
            </w:pPr>
            <w:r w:rsidRPr="002C15BF">
              <w:rPr>
                <w:lang w:val="fr-FR"/>
              </w:rPr>
              <w:t>Produit 2.2</w:t>
            </w:r>
          </w:p>
          <w:p w14:paraId="476BF21F" w14:textId="77777777" w:rsidR="007B62A5" w:rsidRPr="005A6420" w:rsidRDefault="007B62A5" w:rsidP="0084166C">
            <w:pPr>
              <w:rPr>
                <w:rFonts w:cs="Tahoma"/>
                <w:b/>
                <w:szCs w:val="20"/>
                <w:lang w:val="fr-FR" w:eastAsia="en-US"/>
              </w:rPr>
            </w:pPr>
            <w:r w:rsidRPr="002C15BF">
              <w:rPr>
                <w:lang w:val="fr-FR"/>
              </w:rPr>
              <w:lastRenderedPageBreak/>
              <w:t>Les populations les plus vulnérables bénéficient d’un accès accru au dépôt et d’un traitement renforcé des plaintes sensible au genre</w:t>
            </w:r>
            <w:r w:rsidRPr="005A6420">
              <w:rPr>
                <w:rFonts w:cs="Tahoma"/>
                <w:b/>
                <w:szCs w:val="20"/>
                <w:lang w:val="fr-FR" w:eastAsia="en-US"/>
              </w:rPr>
              <w:t xml:space="preserve"> </w:t>
            </w:r>
          </w:p>
        </w:tc>
        <w:tc>
          <w:tcPr>
            <w:tcW w:w="1800" w:type="dxa"/>
            <w:vMerge w:val="restart"/>
            <w:shd w:val="clear" w:color="auto" w:fill="EEECE1"/>
          </w:tcPr>
          <w:p w14:paraId="13345F37" w14:textId="77777777" w:rsidR="007B62A5" w:rsidRPr="002C15BF" w:rsidRDefault="007B62A5" w:rsidP="0084166C">
            <w:pPr>
              <w:ind w:hanging="2"/>
              <w:jc w:val="both"/>
              <w:rPr>
                <w:lang w:val="fr-FR"/>
              </w:rPr>
            </w:pPr>
            <w:r w:rsidRPr="002C15BF">
              <w:rPr>
                <w:b/>
                <w:lang w:val="fr-FR"/>
              </w:rPr>
              <w:lastRenderedPageBreak/>
              <w:t>Indicateur 2.2.3</w:t>
            </w:r>
          </w:p>
          <w:p w14:paraId="5B356D30" w14:textId="77777777" w:rsidR="007B62A5" w:rsidRPr="002C15BF" w:rsidRDefault="007B62A5" w:rsidP="0084166C">
            <w:pPr>
              <w:ind w:hanging="2"/>
              <w:jc w:val="both"/>
              <w:rPr>
                <w:lang w:val="fr-FR"/>
              </w:rPr>
            </w:pPr>
            <w:r w:rsidRPr="002C15BF">
              <w:rPr>
                <w:lang w:val="fr-FR"/>
              </w:rPr>
              <w:lastRenderedPageBreak/>
              <w:t>Nombre de mineurs en conflits avec la loi ayant reçu un accompagnement (scolaire, apprentissage de métier) via IBESR et OSC</w:t>
            </w:r>
          </w:p>
          <w:p w14:paraId="2BAAAAB9" w14:textId="77777777" w:rsidR="007B62A5" w:rsidRPr="005A6420" w:rsidRDefault="007B62A5" w:rsidP="0084166C">
            <w:pPr>
              <w:jc w:val="both"/>
              <w:rPr>
                <w:rFonts w:cs="Tahoma"/>
                <w:szCs w:val="20"/>
                <w:lang w:val="fr-FR" w:eastAsia="en-US"/>
              </w:rPr>
            </w:pPr>
            <w:r w:rsidRPr="002C15BF">
              <w:t>(UNICEF)</w:t>
            </w:r>
          </w:p>
          <w:p w14:paraId="4D643E58" w14:textId="77777777" w:rsidR="007B62A5" w:rsidRPr="005A6420" w:rsidRDefault="007B62A5" w:rsidP="0084166C">
            <w:pPr>
              <w:jc w:val="both"/>
              <w:rPr>
                <w:rFonts w:cs="Tahoma"/>
                <w:szCs w:val="20"/>
                <w:lang w:val="fr-FR" w:eastAsia="en-US"/>
              </w:rPr>
            </w:pPr>
          </w:p>
        </w:tc>
        <w:tc>
          <w:tcPr>
            <w:tcW w:w="1103" w:type="dxa"/>
            <w:shd w:val="clear" w:color="auto" w:fill="EEECE1"/>
          </w:tcPr>
          <w:p w14:paraId="19B88638" w14:textId="77777777" w:rsidR="007B62A5" w:rsidRPr="005A6420" w:rsidRDefault="007B62A5" w:rsidP="0084166C">
            <w:pPr>
              <w:rPr>
                <w:lang w:val="fr-FR"/>
              </w:rPr>
            </w:pPr>
          </w:p>
        </w:tc>
        <w:tc>
          <w:tcPr>
            <w:tcW w:w="1327" w:type="dxa"/>
            <w:shd w:val="clear" w:color="auto" w:fill="EEECE1"/>
          </w:tcPr>
          <w:p w14:paraId="5701DA6C" w14:textId="77777777" w:rsidR="007B62A5" w:rsidRPr="005A6420" w:rsidRDefault="007B62A5" w:rsidP="0084166C">
            <w:pPr>
              <w:rPr>
                <w:lang w:val="fr-FR"/>
              </w:rPr>
            </w:pPr>
            <w:r w:rsidRPr="002C15BF">
              <w:rPr>
                <w:b/>
              </w:rPr>
              <w:t>50</w:t>
            </w:r>
          </w:p>
        </w:tc>
        <w:tc>
          <w:tcPr>
            <w:tcW w:w="2363" w:type="dxa"/>
          </w:tcPr>
          <w:p w14:paraId="7D255765" w14:textId="77777777" w:rsidR="007B62A5" w:rsidRPr="005A6420" w:rsidRDefault="007B62A5" w:rsidP="0084166C">
            <w:pPr>
              <w:rPr>
                <w:lang w:val="fr-FR"/>
              </w:rPr>
            </w:pPr>
            <w:proofErr w:type="spellStart"/>
            <w:r w:rsidRPr="002C15BF">
              <w:rPr>
                <w:b/>
              </w:rPr>
              <w:t>Cible</w:t>
            </w:r>
            <w:proofErr w:type="spellEnd"/>
            <w:r w:rsidRPr="002C15BF">
              <w:rPr>
                <w:b/>
              </w:rPr>
              <w:t xml:space="preserve"> </w:t>
            </w:r>
            <w:proofErr w:type="spellStart"/>
            <w:r w:rsidRPr="002C15BF">
              <w:rPr>
                <w:b/>
              </w:rPr>
              <w:t>atteinte</w:t>
            </w:r>
            <w:proofErr w:type="spellEnd"/>
          </w:p>
        </w:tc>
        <w:tc>
          <w:tcPr>
            <w:tcW w:w="2070" w:type="dxa"/>
          </w:tcPr>
          <w:p w14:paraId="1C96A8B1" w14:textId="77777777" w:rsidR="007B62A5" w:rsidRPr="005A6420" w:rsidRDefault="007B62A5" w:rsidP="0084166C">
            <w:pPr>
              <w:rPr>
                <w:lang w:val="fr-FR"/>
              </w:rPr>
            </w:pPr>
            <w:r w:rsidRPr="002C15BF">
              <w:rPr>
                <w:b/>
              </w:rPr>
              <w:t>90 (73 garcons, 17 filles)</w:t>
            </w:r>
          </w:p>
        </w:tc>
        <w:tc>
          <w:tcPr>
            <w:tcW w:w="4140" w:type="dxa"/>
          </w:tcPr>
          <w:p w14:paraId="5AD25076" w14:textId="77777777" w:rsidR="007B62A5" w:rsidRPr="005A6420" w:rsidRDefault="007B62A5" w:rsidP="0084166C">
            <w:pPr>
              <w:rPr>
                <w:lang w:val="fr-FR"/>
              </w:rPr>
            </w:pPr>
            <w:r w:rsidRPr="002C15BF">
              <w:rPr>
                <w:b/>
              </w:rPr>
              <w:t>     </w:t>
            </w:r>
          </w:p>
        </w:tc>
      </w:tr>
      <w:tr w:rsidR="007B62A5" w:rsidRPr="005A6420" w14:paraId="508CFF64" w14:textId="77777777" w:rsidTr="00FD2D7D">
        <w:trPr>
          <w:trHeight w:val="458"/>
        </w:trPr>
        <w:tc>
          <w:tcPr>
            <w:tcW w:w="2227" w:type="dxa"/>
            <w:vMerge/>
          </w:tcPr>
          <w:p w14:paraId="43DC2FB1" w14:textId="77777777" w:rsidR="007B62A5" w:rsidRPr="005A6420" w:rsidRDefault="007B62A5" w:rsidP="0084166C">
            <w:pPr>
              <w:rPr>
                <w:rFonts w:cs="Tahoma"/>
                <w:b/>
                <w:szCs w:val="20"/>
                <w:lang w:val="fr-FR" w:eastAsia="en-US"/>
              </w:rPr>
            </w:pPr>
          </w:p>
        </w:tc>
        <w:tc>
          <w:tcPr>
            <w:tcW w:w="1800" w:type="dxa"/>
            <w:vMerge/>
            <w:shd w:val="clear" w:color="auto" w:fill="EEECE1"/>
          </w:tcPr>
          <w:p w14:paraId="711E643A" w14:textId="77777777" w:rsidR="007B62A5" w:rsidRPr="005A6420" w:rsidRDefault="007B62A5" w:rsidP="0084166C">
            <w:pPr>
              <w:jc w:val="both"/>
              <w:rPr>
                <w:rFonts w:cs="Tahoma"/>
                <w:szCs w:val="20"/>
                <w:lang w:val="fr-FR" w:eastAsia="en-US"/>
              </w:rPr>
            </w:pPr>
          </w:p>
        </w:tc>
        <w:tc>
          <w:tcPr>
            <w:tcW w:w="1103" w:type="dxa"/>
            <w:shd w:val="clear" w:color="auto" w:fill="EEECE1"/>
          </w:tcPr>
          <w:p w14:paraId="35F7F77D" w14:textId="77777777" w:rsidR="007B62A5" w:rsidRPr="005A6420" w:rsidRDefault="007B62A5" w:rsidP="0084166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327" w:type="dxa"/>
            <w:shd w:val="clear" w:color="auto" w:fill="EEECE1"/>
          </w:tcPr>
          <w:p w14:paraId="04DE37FA" w14:textId="77777777" w:rsidR="007B62A5" w:rsidRPr="005A6420" w:rsidRDefault="007B62A5" w:rsidP="0084166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363" w:type="dxa"/>
          </w:tcPr>
          <w:p w14:paraId="5C1622D2" w14:textId="77777777" w:rsidR="007B62A5" w:rsidRPr="005A6420" w:rsidRDefault="007B62A5" w:rsidP="0084166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842CA8C" w14:textId="77777777" w:rsidR="007B62A5" w:rsidRPr="005A6420" w:rsidRDefault="007B62A5" w:rsidP="0084166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5614B28" w14:textId="77777777" w:rsidR="007B62A5" w:rsidRPr="005A6420" w:rsidRDefault="007B62A5" w:rsidP="0084166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B62A5" w:rsidRPr="0030235D" w14:paraId="24EDDD71" w14:textId="77777777" w:rsidTr="00FD2D7D">
        <w:trPr>
          <w:trHeight w:val="512"/>
        </w:trPr>
        <w:tc>
          <w:tcPr>
            <w:tcW w:w="2227" w:type="dxa"/>
            <w:vMerge w:val="restart"/>
          </w:tcPr>
          <w:p w14:paraId="4C2E9291" w14:textId="77777777" w:rsidR="007B62A5" w:rsidRPr="005A6420" w:rsidRDefault="007B62A5" w:rsidP="0084166C">
            <w:pPr>
              <w:rPr>
                <w:rFonts w:cs="Tahoma"/>
                <w:b/>
                <w:szCs w:val="20"/>
                <w:lang w:val="fr-FR" w:eastAsia="en-US"/>
              </w:rPr>
            </w:pPr>
          </w:p>
          <w:p w14:paraId="31B9AC74" w14:textId="77777777" w:rsidR="007B62A5" w:rsidRPr="002C15BF" w:rsidRDefault="007B62A5" w:rsidP="0084166C">
            <w:pPr>
              <w:ind w:hanging="2"/>
              <w:rPr>
                <w:lang w:val="fr-FR"/>
              </w:rPr>
            </w:pPr>
            <w:r w:rsidRPr="002C15BF">
              <w:rPr>
                <w:lang w:val="fr-FR"/>
              </w:rPr>
              <w:t>Produit 2.3</w:t>
            </w:r>
          </w:p>
          <w:p w14:paraId="3B19A792" w14:textId="77777777" w:rsidR="007B62A5" w:rsidRPr="005A6420" w:rsidRDefault="007B62A5" w:rsidP="0084166C">
            <w:pPr>
              <w:rPr>
                <w:rFonts w:cs="Tahoma"/>
                <w:szCs w:val="20"/>
                <w:lang w:val="fr-FR" w:eastAsia="en-US"/>
              </w:rPr>
            </w:pPr>
            <w:r w:rsidRPr="002C15BF">
              <w:rPr>
                <w:lang w:val="fr-FR"/>
              </w:rPr>
              <w:t>Les populations vulnérables sont informées et sensibilisées sur leurs droits, la nouvelle loi sur l'assistance légale, et la disponibilité et l’accès aux services d’aide légale</w:t>
            </w:r>
          </w:p>
        </w:tc>
        <w:tc>
          <w:tcPr>
            <w:tcW w:w="1800" w:type="dxa"/>
            <w:shd w:val="clear" w:color="auto" w:fill="EEECE1"/>
          </w:tcPr>
          <w:p w14:paraId="623E662D" w14:textId="77777777" w:rsidR="007B62A5" w:rsidRPr="002C15BF" w:rsidRDefault="007B62A5" w:rsidP="0084166C">
            <w:pPr>
              <w:ind w:hanging="2"/>
              <w:jc w:val="both"/>
              <w:rPr>
                <w:lang w:val="fr-FR"/>
              </w:rPr>
            </w:pPr>
            <w:r w:rsidRPr="002C15BF">
              <w:rPr>
                <w:b/>
                <w:lang w:val="fr-FR"/>
              </w:rPr>
              <w:t xml:space="preserve">Indicateur 2.3.1 </w:t>
            </w:r>
          </w:p>
          <w:p w14:paraId="0EE2B9E5" w14:textId="77777777" w:rsidR="007B62A5" w:rsidRPr="005A6420" w:rsidRDefault="007B62A5" w:rsidP="0084166C">
            <w:pPr>
              <w:jc w:val="both"/>
              <w:rPr>
                <w:rFonts w:cs="Tahoma"/>
                <w:szCs w:val="20"/>
                <w:lang w:val="fr-FR" w:eastAsia="en-US"/>
              </w:rPr>
            </w:pPr>
            <w:r w:rsidRPr="002C15BF">
              <w:rPr>
                <w:lang w:val="fr-FR"/>
              </w:rPr>
              <w:t>Nombre d’exemplaire de brochure et autres matériels de sensibilisation sur la nouvelle loi de l’assistance légale et l’accès au service d’aide légale, ... diffusé et vulgarisé par l'OPC</w:t>
            </w:r>
          </w:p>
        </w:tc>
        <w:tc>
          <w:tcPr>
            <w:tcW w:w="1103" w:type="dxa"/>
            <w:shd w:val="clear" w:color="auto" w:fill="EEECE1"/>
          </w:tcPr>
          <w:p w14:paraId="2B024F19" w14:textId="77777777" w:rsidR="007B62A5" w:rsidRPr="005A6420" w:rsidRDefault="007B62A5" w:rsidP="0084166C">
            <w:pPr>
              <w:rPr>
                <w:lang w:val="fr-FR"/>
              </w:rPr>
            </w:pPr>
            <w:r w:rsidRPr="002C15BF">
              <w:rPr>
                <w:b/>
              </w:rPr>
              <w:t>     </w:t>
            </w:r>
          </w:p>
        </w:tc>
        <w:tc>
          <w:tcPr>
            <w:tcW w:w="1327" w:type="dxa"/>
            <w:shd w:val="clear" w:color="auto" w:fill="EEECE1"/>
          </w:tcPr>
          <w:p w14:paraId="12A141CF" w14:textId="77777777" w:rsidR="007B62A5" w:rsidRPr="005A6420" w:rsidRDefault="007B62A5" w:rsidP="0084166C">
            <w:pPr>
              <w:rPr>
                <w:lang w:val="fr-FR"/>
              </w:rPr>
            </w:pPr>
            <w:r w:rsidRPr="002C15BF">
              <w:rPr>
                <w:b/>
              </w:rPr>
              <w:t>1500</w:t>
            </w:r>
          </w:p>
        </w:tc>
        <w:tc>
          <w:tcPr>
            <w:tcW w:w="2363" w:type="dxa"/>
          </w:tcPr>
          <w:p w14:paraId="4F665FDD" w14:textId="77777777" w:rsidR="007B62A5" w:rsidRPr="002C15BF" w:rsidRDefault="007B62A5" w:rsidP="0084166C">
            <w:pPr>
              <w:ind w:hanging="2"/>
              <w:rPr>
                <w:lang w:val="fr-FR"/>
              </w:rPr>
            </w:pPr>
            <w:r w:rsidRPr="002C15BF">
              <w:rPr>
                <w:lang w:val="fr-FR"/>
              </w:rPr>
              <w:t>-Mise en place d’un bureau de vulgarisation de la loi par l’OPC</w:t>
            </w:r>
          </w:p>
          <w:p w14:paraId="25788DEF" w14:textId="77777777" w:rsidR="007B62A5" w:rsidRPr="002C15BF" w:rsidRDefault="007B62A5" w:rsidP="0084166C">
            <w:pPr>
              <w:ind w:hanging="2"/>
              <w:rPr>
                <w:lang w:val="fr-FR"/>
              </w:rPr>
            </w:pPr>
            <w:r w:rsidRPr="002C15BF">
              <w:rPr>
                <w:lang w:val="fr-FR"/>
              </w:rPr>
              <w:t>-Processus d’impression des matériels de communication en cours</w:t>
            </w:r>
          </w:p>
          <w:p w14:paraId="1CE9CBD7" w14:textId="77777777" w:rsidR="007B62A5" w:rsidRPr="005A6420" w:rsidRDefault="007B62A5" w:rsidP="0084166C">
            <w:pPr>
              <w:rPr>
                <w:lang w:val="fr-FR"/>
              </w:rPr>
            </w:pPr>
            <w:r w:rsidRPr="002C15BF">
              <w:rPr>
                <w:lang w:val="fr-FR"/>
              </w:rPr>
              <w:t>-Contractualisation en cours avec des média pour la diffusion des sports de vulgarisation</w:t>
            </w:r>
          </w:p>
        </w:tc>
        <w:tc>
          <w:tcPr>
            <w:tcW w:w="2070" w:type="dxa"/>
          </w:tcPr>
          <w:p w14:paraId="503DAB8E" w14:textId="77777777" w:rsidR="007B62A5" w:rsidRPr="005A6420" w:rsidRDefault="007B62A5" w:rsidP="0084166C">
            <w:pPr>
              <w:rPr>
                <w:lang w:val="fr-FR"/>
              </w:rPr>
            </w:pPr>
            <w:r w:rsidRPr="002C15BF">
              <w:rPr>
                <w:b/>
              </w:rPr>
              <w:t>     </w:t>
            </w:r>
          </w:p>
        </w:tc>
        <w:tc>
          <w:tcPr>
            <w:tcW w:w="4140" w:type="dxa"/>
          </w:tcPr>
          <w:p w14:paraId="68EB461E" w14:textId="74F52DA5" w:rsidR="007B62A5" w:rsidRPr="005A6420" w:rsidRDefault="007B62A5" w:rsidP="0084166C">
            <w:pPr>
              <w:rPr>
                <w:lang w:val="fr-FR"/>
              </w:rPr>
            </w:pPr>
            <w:r w:rsidRPr="002C15BF">
              <w:rPr>
                <w:bCs/>
                <w:lang w:val="fr-FR"/>
              </w:rPr>
              <w:t xml:space="preserve">En dépit du fait que la vulgarisation </w:t>
            </w:r>
            <w:r w:rsidR="00CE2278">
              <w:rPr>
                <w:bCs/>
                <w:lang w:val="fr-FR"/>
              </w:rPr>
              <w:t xml:space="preserve">de masse avec l’OPC </w:t>
            </w:r>
            <w:r w:rsidRPr="002C15BF">
              <w:rPr>
                <w:bCs/>
                <w:lang w:val="fr-FR"/>
              </w:rPr>
              <w:t xml:space="preserve">n’est pas encore effective, presque toutes les préparations sont quasiment terminées pour avancer avec le processus de vulgarisation qui sera fait via plusieurs techniques à travers plusieurs plateformes dont les canaux traditionnels et les réseaux sociaux. </w:t>
            </w:r>
          </w:p>
        </w:tc>
      </w:tr>
      <w:tr w:rsidR="007B62A5" w:rsidRPr="0030235D" w14:paraId="023EB204" w14:textId="77777777" w:rsidTr="00FD2D7D">
        <w:trPr>
          <w:trHeight w:val="458"/>
        </w:trPr>
        <w:tc>
          <w:tcPr>
            <w:tcW w:w="2227" w:type="dxa"/>
            <w:vMerge/>
          </w:tcPr>
          <w:p w14:paraId="54550B25" w14:textId="77777777" w:rsidR="007B62A5" w:rsidRPr="005A6420" w:rsidRDefault="007B62A5" w:rsidP="0084166C">
            <w:pPr>
              <w:rPr>
                <w:rFonts w:cs="Tahoma"/>
                <w:b/>
                <w:szCs w:val="20"/>
                <w:lang w:val="fr-FR" w:eastAsia="en-US"/>
              </w:rPr>
            </w:pPr>
          </w:p>
        </w:tc>
        <w:tc>
          <w:tcPr>
            <w:tcW w:w="1800" w:type="dxa"/>
            <w:shd w:val="clear" w:color="auto" w:fill="EEECE1"/>
          </w:tcPr>
          <w:p w14:paraId="5D997523" w14:textId="77777777" w:rsidR="007B62A5" w:rsidRPr="002C15BF" w:rsidRDefault="007B62A5" w:rsidP="0084166C">
            <w:pPr>
              <w:ind w:hanging="2"/>
              <w:jc w:val="both"/>
              <w:rPr>
                <w:lang w:val="fr-FR"/>
              </w:rPr>
            </w:pPr>
            <w:r w:rsidRPr="002C15BF">
              <w:rPr>
                <w:b/>
                <w:lang w:val="fr-FR"/>
              </w:rPr>
              <w:t>Indicateur 2.3.2</w:t>
            </w:r>
          </w:p>
          <w:p w14:paraId="632FB2BA" w14:textId="77777777" w:rsidR="007B62A5" w:rsidRPr="005A6420" w:rsidRDefault="007B62A5" w:rsidP="0084166C">
            <w:pPr>
              <w:jc w:val="both"/>
              <w:rPr>
                <w:rFonts w:cs="Tahoma"/>
                <w:szCs w:val="20"/>
                <w:lang w:val="fr-FR" w:eastAsia="en-US"/>
              </w:rPr>
            </w:pPr>
            <w:r w:rsidRPr="002C15BF">
              <w:rPr>
                <w:lang w:val="fr-FR"/>
              </w:rPr>
              <w:t>Pourcentage de la population de la zone du projet qui est au courant de l'existence de la loi sur l'assistance légale.</w:t>
            </w:r>
          </w:p>
        </w:tc>
        <w:tc>
          <w:tcPr>
            <w:tcW w:w="1103" w:type="dxa"/>
            <w:shd w:val="clear" w:color="auto" w:fill="EEECE1"/>
          </w:tcPr>
          <w:p w14:paraId="37E882CE" w14:textId="77777777" w:rsidR="007B62A5" w:rsidRPr="005A6420" w:rsidRDefault="007B62A5" w:rsidP="0084166C">
            <w:pPr>
              <w:rPr>
                <w:lang w:val="fr-FR"/>
              </w:rPr>
            </w:pPr>
            <w:r w:rsidRPr="002C15BF">
              <w:rPr>
                <w:b/>
              </w:rPr>
              <w:t>     </w:t>
            </w:r>
          </w:p>
        </w:tc>
        <w:tc>
          <w:tcPr>
            <w:tcW w:w="1327" w:type="dxa"/>
            <w:shd w:val="clear" w:color="auto" w:fill="EEECE1"/>
          </w:tcPr>
          <w:p w14:paraId="6DEEEEA0" w14:textId="77777777" w:rsidR="007B62A5" w:rsidRPr="005A6420" w:rsidRDefault="007B62A5" w:rsidP="0084166C">
            <w:pPr>
              <w:rPr>
                <w:lang w:val="fr-FR"/>
              </w:rPr>
            </w:pPr>
            <w:r w:rsidRPr="002C15BF">
              <w:rPr>
                <w:b/>
              </w:rPr>
              <w:t>30%</w:t>
            </w:r>
          </w:p>
        </w:tc>
        <w:tc>
          <w:tcPr>
            <w:tcW w:w="2363" w:type="dxa"/>
          </w:tcPr>
          <w:p w14:paraId="02456F82" w14:textId="77777777" w:rsidR="007B62A5" w:rsidRPr="005A6420" w:rsidRDefault="007B62A5" w:rsidP="0084166C">
            <w:pPr>
              <w:rPr>
                <w:lang w:val="fr-FR"/>
              </w:rPr>
            </w:pPr>
            <w:r w:rsidRPr="002C15BF">
              <w:rPr>
                <w:lang w:val="fr-FR"/>
              </w:rPr>
              <w:t>A la suite du démarrage des activités de l’OPC, il peut y avoir une variation.</w:t>
            </w:r>
          </w:p>
        </w:tc>
        <w:tc>
          <w:tcPr>
            <w:tcW w:w="2070" w:type="dxa"/>
          </w:tcPr>
          <w:p w14:paraId="3CD3799C" w14:textId="77777777" w:rsidR="007B62A5" w:rsidRPr="005A6420" w:rsidRDefault="007B62A5" w:rsidP="0084166C">
            <w:pPr>
              <w:rPr>
                <w:lang w:val="fr-FR"/>
              </w:rPr>
            </w:pPr>
            <w:r w:rsidRPr="002C15BF">
              <w:rPr>
                <w:b/>
              </w:rPr>
              <w:t>17%</w:t>
            </w:r>
          </w:p>
        </w:tc>
        <w:tc>
          <w:tcPr>
            <w:tcW w:w="4140" w:type="dxa"/>
          </w:tcPr>
          <w:p w14:paraId="17ED3609" w14:textId="77777777" w:rsidR="007B62A5" w:rsidRPr="005A6420" w:rsidRDefault="007B62A5" w:rsidP="0084166C">
            <w:pPr>
              <w:rPr>
                <w:lang w:val="fr-FR"/>
              </w:rPr>
            </w:pPr>
            <w:r w:rsidRPr="002C15BF">
              <w:rPr>
                <w:lang w:val="fr-FR"/>
              </w:rPr>
              <w:t xml:space="preserve">On aura besoin de réaliser un sondage à la fin du projet pour mettre cet indicateur à jour. </w:t>
            </w:r>
          </w:p>
        </w:tc>
      </w:tr>
      <w:tr w:rsidR="007B62A5" w:rsidRPr="004D44D2" w14:paraId="18B90579" w14:textId="77777777" w:rsidTr="00FD2D7D">
        <w:trPr>
          <w:trHeight w:val="458"/>
        </w:trPr>
        <w:tc>
          <w:tcPr>
            <w:tcW w:w="2227" w:type="dxa"/>
          </w:tcPr>
          <w:p w14:paraId="3A400684" w14:textId="77777777" w:rsidR="007B62A5" w:rsidRPr="005A6420" w:rsidRDefault="007B62A5" w:rsidP="0084166C">
            <w:pPr>
              <w:rPr>
                <w:rFonts w:cs="Tahoma"/>
                <w:b/>
                <w:szCs w:val="20"/>
                <w:lang w:val="fr-FR" w:eastAsia="en-US"/>
              </w:rPr>
            </w:pPr>
          </w:p>
        </w:tc>
        <w:tc>
          <w:tcPr>
            <w:tcW w:w="1800" w:type="dxa"/>
            <w:shd w:val="clear" w:color="auto" w:fill="EEECE1"/>
          </w:tcPr>
          <w:p w14:paraId="4546BF3C" w14:textId="77777777" w:rsidR="007B62A5" w:rsidRPr="002C15BF" w:rsidRDefault="007B62A5" w:rsidP="0084166C">
            <w:pPr>
              <w:ind w:hanging="2"/>
              <w:jc w:val="both"/>
              <w:rPr>
                <w:lang w:val="fr-FR"/>
              </w:rPr>
            </w:pPr>
            <w:r w:rsidRPr="002C15BF">
              <w:rPr>
                <w:b/>
                <w:lang w:val="fr-FR"/>
              </w:rPr>
              <w:t xml:space="preserve">Indicateur 2.3.3 </w:t>
            </w:r>
          </w:p>
          <w:p w14:paraId="46234400" w14:textId="77777777" w:rsidR="007B62A5" w:rsidRPr="005A6420" w:rsidRDefault="007B62A5" w:rsidP="0084166C">
            <w:pPr>
              <w:jc w:val="both"/>
              <w:rPr>
                <w:rFonts w:cs="Tahoma"/>
                <w:szCs w:val="20"/>
                <w:lang w:val="fr-FR" w:eastAsia="en-US"/>
              </w:rPr>
            </w:pPr>
            <w:r w:rsidRPr="002C15BF">
              <w:rPr>
                <w:lang w:val="fr-FR"/>
              </w:rPr>
              <w:t>Pourcentage de la population vulnérables indiquant qu’elle est prête à adresser les BALS pour des aides juridiques et judiciaires</w:t>
            </w:r>
          </w:p>
        </w:tc>
        <w:tc>
          <w:tcPr>
            <w:tcW w:w="1103" w:type="dxa"/>
            <w:shd w:val="clear" w:color="auto" w:fill="EEECE1"/>
          </w:tcPr>
          <w:p w14:paraId="51F4A0B8" w14:textId="77777777" w:rsidR="007B62A5" w:rsidRPr="005A6420" w:rsidRDefault="007B62A5" w:rsidP="0084166C">
            <w:pPr>
              <w:rPr>
                <w:b/>
                <w:sz w:val="22"/>
                <w:szCs w:val="22"/>
                <w:lang w:val="fr-FR" w:eastAsia="en-US"/>
              </w:rPr>
            </w:pPr>
          </w:p>
        </w:tc>
        <w:tc>
          <w:tcPr>
            <w:tcW w:w="1327" w:type="dxa"/>
            <w:shd w:val="clear" w:color="auto" w:fill="EEECE1"/>
          </w:tcPr>
          <w:p w14:paraId="30C6A230" w14:textId="77777777" w:rsidR="007B62A5" w:rsidRPr="005A6420" w:rsidRDefault="007B62A5" w:rsidP="0084166C">
            <w:pPr>
              <w:rPr>
                <w:b/>
                <w:sz w:val="22"/>
                <w:szCs w:val="22"/>
                <w:lang w:val="fr-FR" w:eastAsia="en-US"/>
              </w:rPr>
            </w:pPr>
            <w:r w:rsidRPr="002C15BF">
              <w:rPr>
                <w:b/>
              </w:rPr>
              <w:t>50%</w:t>
            </w:r>
          </w:p>
        </w:tc>
        <w:tc>
          <w:tcPr>
            <w:tcW w:w="2363" w:type="dxa"/>
          </w:tcPr>
          <w:p w14:paraId="4F48E221" w14:textId="77777777" w:rsidR="007B62A5" w:rsidRPr="005A6420" w:rsidRDefault="007B62A5" w:rsidP="0084166C">
            <w:pPr>
              <w:rPr>
                <w:b/>
                <w:sz w:val="22"/>
                <w:szCs w:val="22"/>
                <w:lang w:val="fr-FR" w:eastAsia="en-US"/>
              </w:rPr>
            </w:pPr>
          </w:p>
        </w:tc>
        <w:tc>
          <w:tcPr>
            <w:tcW w:w="2070" w:type="dxa"/>
          </w:tcPr>
          <w:p w14:paraId="3A17EBE6" w14:textId="77777777" w:rsidR="007B62A5" w:rsidRPr="005A6420" w:rsidRDefault="007B62A5" w:rsidP="0084166C">
            <w:pPr>
              <w:rPr>
                <w:b/>
                <w:sz w:val="22"/>
                <w:szCs w:val="22"/>
                <w:lang w:val="fr-FR" w:eastAsia="en-US"/>
              </w:rPr>
            </w:pPr>
            <w:r w:rsidRPr="002C15BF">
              <w:t>91%</w:t>
            </w:r>
          </w:p>
        </w:tc>
        <w:tc>
          <w:tcPr>
            <w:tcW w:w="4140" w:type="dxa"/>
          </w:tcPr>
          <w:p w14:paraId="42C19D36" w14:textId="77777777" w:rsidR="007B62A5" w:rsidRPr="005A6420" w:rsidRDefault="007B62A5" w:rsidP="0084166C">
            <w:pPr>
              <w:rPr>
                <w:b/>
                <w:sz w:val="22"/>
                <w:szCs w:val="22"/>
                <w:lang w:val="fr-FR" w:eastAsia="en-US"/>
              </w:rPr>
            </w:pPr>
          </w:p>
        </w:tc>
      </w:tr>
      <w:tr w:rsidR="007B62A5" w:rsidRPr="005A6420" w14:paraId="60F58748" w14:textId="77777777" w:rsidTr="00FD2D7D">
        <w:trPr>
          <w:trHeight w:val="458"/>
        </w:trPr>
        <w:tc>
          <w:tcPr>
            <w:tcW w:w="2227" w:type="dxa"/>
            <w:vMerge w:val="restart"/>
          </w:tcPr>
          <w:p w14:paraId="0D13B92B" w14:textId="77777777" w:rsidR="007B62A5" w:rsidRPr="004D44D2" w:rsidRDefault="007B62A5" w:rsidP="0084166C">
            <w:pPr>
              <w:ind w:hanging="2"/>
              <w:rPr>
                <w:b/>
                <w:bCs/>
                <w:lang w:val="fr-FR"/>
              </w:rPr>
            </w:pPr>
            <w:r w:rsidRPr="004D44D2">
              <w:rPr>
                <w:b/>
                <w:bCs/>
                <w:lang w:val="fr-FR"/>
              </w:rPr>
              <w:t>Résultat 3 :</w:t>
            </w:r>
          </w:p>
          <w:p w14:paraId="48B361AA" w14:textId="77777777" w:rsidR="007B62A5" w:rsidRPr="005A6420" w:rsidRDefault="007B62A5" w:rsidP="0084166C">
            <w:pPr>
              <w:rPr>
                <w:rFonts w:cs="Tahoma"/>
                <w:szCs w:val="20"/>
                <w:lang w:val="fr-FR" w:eastAsia="en-US"/>
              </w:rPr>
            </w:pPr>
            <w:r w:rsidRPr="002C15BF">
              <w:rPr>
                <w:lang w:val="fr-FR"/>
              </w:rPr>
              <w:t xml:space="preserve">Le renforcement du secteur carcéral et judiciaire dans la réponse au COVID-19 contribue à l’effort de cohésion sociale et de </w:t>
            </w:r>
            <w:r w:rsidRPr="002C15BF">
              <w:rPr>
                <w:lang w:val="fr-FR"/>
              </w:rPr>
              <w:lastRenderedPageBreak/>
              <w:t>consolidation de la paix</w:t>
            </w:r>
          </w:p>
        </w:tc>
        <w:tc>
          <w:tcPr>
            <w:tcW w:w="1800" w:type="dxa"/>
            <w:shd w:val="clear" w:color="auto" w:fill="EEECE1"/>
          </w:tcPr>
          <w:p w14:paraId="24B695B2" w14:textId="77777777" w:rsidR="007B62A5" w:rsidRPr="002C15BF" w:rsidRDefault="007B62A5" w:rsidP="0084166C">
            <w:pPr>
              <w:ind w:hanging="2"/>
              <w:jc w:val="both"/>
              <w:rPr>
                <w:lang w:val="fr-FR"/>
              </w:rPr>
            </w:pPr>
            <w:r w:rsidRPr="002C15BF">
              <w:rPr>
                <w:b/>
                <w:lang w:val="fr-FR"/>
              </w:rPr>
              <w:lastRenderedPageBreak/>
              <w:t>Indicateur 3.1</w:t>
            </w:r>
          </w:p>
          <w:p w14:paraId="0B998677" w14:textId="77777777" w:rsidR="007B62A5" w:rsidRPr="005A6420" w:rsidRDefault="007B62A5" w:rsidP="0084166C">
            <w:pPr>
              <w:jc w:val="both"/>
              <w:rPr>
                <w:rFonts w:cs="Tahoma"/>
                <w:szCs w:val="20"/>
                <w:lang w:val="fr-FR" w:eastAsia="en-US"/>
              </w:rPr>
            </w:pPr>
            <w:r w:rsidRPr="002C15BF">
              <w:rPr>
                <w:lang w:val="fr-FR"/>
              </w:rPr>
              <w:t xml:space="preserve">Pourcentage de bénéficiaires (secteur carcéral) des campagnes de sensibilisation déclarant </w:t>
            </w:r>
            <w:r w:rsidRPr="002C15BF">
              <w:rPr>
                <w:lang w:val="fr-FR"/>
              </w:rPr>
              <w:lastRenderedPageBreak/>
              <w:t>améliorer leur connaissance sur la COVID-19</w:t>
            </w:r>
          </w:p>
        </w:tc>
        <w:tc>
          <w:tcPr>
            <w:tcW w:w="1103" w:type="dxa"/>
            <w:shd w:val="clear" w:color="auto" w:fill="EEECE1"/>
          </w:tcPr>
          <w:p w14:paraId="1BC82A92" w14:textId="77777777" w:rsidR="007B62A5" w:rsidRPr="005A6420" w:rsidRDefault="007B62A5" w:rsidP="0084166C">
            <w:pPr>
              <w:rPr>
                <w:lang w:val="fr-FR"/>
              </w:rPr>
            </w:pPr>
            <w:r w:rsidRPr="002C15BF">
              <w:rPr>
                <w:b/>
              </w:rPr>
              <w:lastRenderedPageBreak/>
              <w:t>     </w:t>
            </w:r>
          </w:p>
        </w:tc>
        <w:tc>
          <w:tcPr>
            <w:tcW w:w="1327" w:type="dxa"/>
            <w:shd w:val="clear" w:color="auto" w:fill="EEECE1"/>
          </w:tcPr>
          <w:p w14:paraId="6915E460" w14:textId="77777777" w:rsidR="007B62A5" w:rsidRPr="002C15BF" w:rsidRDefault="007B62A5" w:rsidP="0084166C">
            <w:pPr>
              <w:ind w:hanging="2"/>
            </w:pPr>
            <w:r w:rsidRPr="002C15BF">
              <w:rPr>
                <w:b/>
              </w:rPr>
              <w:t>     </w:t>
            </w:r>
          </w:p>
          <w:p w14:paraId="07E71FB4" w14:textId="77777777" w:rsidR="007B62A5" w:rsidRPr="002C15BF" w:rsidRDefault="007B62A5" w:rsidP="0084166C">
            <w:pPr>
              <w:ind w:hanging="2"/>
            </w:pPr>
          </w:p>
          <w:p w14:paraId="48B7F449" w14:textId="77777777" w:rsidR="007B62A5" w:rsidRPr="002C15BF" w:rsidRDefault="007B62A5" w:rsidP="0084166C">
            <w:pPr>
              <w:ind w:hanging="2"/>
            </w:pPr>
          </w:p>
          <w:p w14:paraId="542381B0" w14:textId="77777777" w:rsidR="007B62A5" w:rsidRPr="002C15BF" w:rsidRDefault="007B62A5" w:rsidP="0084166C">
            <w:pPr>
              <w:ind w:hanging="2"/>
            </w:pPr>
          </w:p>
          <w:p w14:paraId="71332FBA" w14:textId="77777777" w:rsidR="007B62A5" w:rsidRPr="005A6420" w:rsidRDefault="007B62A5" w:rsidP="0084166C">
            <w:pPr>
              <w:rPr>
                <w:lang w:val="fr-FR"/>
              </w:rPr>
            </w:pPr>
            <w:r w:rsidRPr="002C15BF">
              <w:t>70%</w:t>
            </w:r>
          </w:p>
        </w:tc>
        <w:tc>
          <w:tcPr>
            <w:tcW w:w="2363" w:type="dxa"/>
          </w:tcPr>
          <w:p w14:paraId="53BAD6E6" w14:textId="77777777" w:rsidR="007B62A5" w:rsidRPr="002C15BF" w:rsidRDefault="007B62A5" w:rsidP="0084166C">
            <w:pPr>
              <w:ind w:hanging="2"/>
              <w:rPr>
                <w:lang w:val="fr-FR"/>
              </w:rPr>
            </w:pPr>
            <w:r w:rsidRPr="002C15BF">
              <w:rPr>
                <w:b/>
                <w:lang w:val="fr-FR"/>
              </w:rPr>
              <w:t>-</w:t>
            </w:r>
            <w:r w:rsidRPr="002C15BF">
              <w:rPr>
                <w:lang w:val="fr-FR"/>
              </w:rPr>
              <w:t>Sensibilisation de 35 mineurs sur la COVID</w:t>
            </w:r>
          </w:p>
          <w:p w14:paraId="41D317C9" w14:textId="77777777" w:rsidR="007B62A5" w:rsidRPr="005A6420" w:rsidRDefault="007B62A5" w:rsidP="0084166C">
            <w:pPr>
              <w:rPr>
                <w:lang w:val="fr-FR"/>
              </w:rPr>
            </w:pPr>
            <w:r w:rsidRPr="002C15BF">
              <w:rPr>
                <w:lang w:val="fr-FR"/>
              </w:rPr>
              <w:t xml:space="preserve">-Engagement de sensibilisation du personnel et des détenus de 8 centres </w:t>
            </w:r>
            <w:r w:rsidRPr="002C15BF">
              <w:rPr>
                <w:lang w:val="fr-FR"/>
              </w:rPr>
              <w:lastRenderedPageBreak/>
              <w:t>via des organisation de la société civile</w:t>
            </w:r>
          </w:p>
        </w:tc>
        <w:tc>
          <w:tcPr>
            <w:tcW w:w="2070" w:type="dxa"/>
          </w:tcPr>
          <w:p w14:paraId="5A4458E1" w14:textId="77777777" w:rsidR="007B62A5" w:rsidRPr="005A6420" w:rsidRDefault="007B62A5" w:rsidP="0084166C">
            <w:pPr>
              <w:rPr>
                <w:lang w:val="fr-FR"/>
              </w:rPr>
            </w:pPr>
            <w:r w:rsidRPr="002C15BF">
              <w:rPr>
                <w:b/>
              </w:rPr>
              <w:lastRenderedPageBreak/>
              <w:t>50%</w:t>
            </w:r>
          </w:p>
        </w:tc>
        <w:tc>
          <w:tcPr>
            <w:tcW w:w="4140" w:type="dxa"/>
          </w:tcPr>
          <w:p w14:paraId="0B1287EF" w14:textId="77777777" w:rsidR="007B62A5" w:rsidRPr="005A6420" w:rsidRDefault="007B62A5" w:rsidP="0084166C">
            <w:pPr>
              <w:rPr>
                <w:lang w:val="fr-FR"/>
              </w:rPr>
            </w:pPr>
          </w:p>
        </w:tc>
      </w:tr>
      <w:tr w:rsidR="007B62A5" w:rsidRPr="0030235D" w14:paraId="1D4B8E68" w14:textId="77777777" w:rsidTr="00FD2D7D">
        <w:trPr>
          <w:trHeight w:val="458"/>
        </w:trPr>
        <w:tc>
          <w:tcPr>
            <w:tcW w:w="2227" w:type="dxa"/>
            <w:vMerge/>
          </w:tcPr>
          <w:p w14:paraId="4653BC7B" w14:textId="77777777" w:rsidR="007B62A5" w:rsidRPr="004D44D2" w:rsidRDefault="007B62A5" w:rsidP="0084166C">
            <w:pPr>
              <w:ind w:hanging="2"/>
              <w:rPr>
                <w:b/>
                <w:bCs/>
                <w:lang w:val="fr-FR"/>
              </w:rPr>
            </w:pPr>
          </w:p>
        </w:tc>
        <w:tc>
          <w:tcPr>
            <w:tcW w:w="1800" w:type="dxa"/>
            <w:shd w:val="clear" w:color="auto" w:fill="EEECE1"/>
          </w:tcPr>
          <w:p w14:paraId="1572A708" w14:textId="77777777" w:rsidR="007B62A5" w:rsidRPr="002C15BF" w:rsidRDefault="007B62A5" w:rsidP="0084166C">
            <w:pPr>
              <w:ind w:hanging="2"/>
              <w:jc w:val="both"/>
              <w:rPr>
                <w:lang w:val="fr-FR"/>
              </w:rPr>
            </w:pPr>
            <w:r w:rsidRPr="002C15BF">
              <w:rPr>
                <w:b/>
                <w:lang w:val="fr-FR"/>
              </w:rPr>
              <w:t>Indicateur 3.</w:t>
            </w:r>
            <w:r>
              <w:rPr>
                <w:b/>
                <w:lang w:val="fr-FR"/>
              </w:rPr>
              <w:t>2</w:t>
            </w:r>
          </w:p>
          <w:p w14:paraId="6A7EAA68" w14:textId="77777777" w:rsidR="007B62A5" w:rsidRPr="005A6420" w:rsidRDefault="007B62A5" w:rsidP="0084166C">
            <w:pPr>
              <w:jc w:val="both"/>
              <w:rPr>
                <w:rFonts w:cs="Tahoma"/>
                <w:szCs w:val="20"/>
                <w:lang w:val="fr-FR" w:eastAsia="en-US"/>
              </w:rPr>
            </w:pPr>
            <w:r w:rsidRPr="002C15BF">
              <w:rPr>
                <w:lang w:val="fr-FR"/>
              </w:rPr>
              <w:t>Pourcentage de personnes participant à l’enquête de perception sur la libération des prisonniers déclarant comprendre les critères de libération</w:t>
            </w:r>
          </w:p>
        </w:tc>
        <w:tc>
          <w:tcPr>
            <w:tcW w:w="1103" w:type="dxa"/>
            <w:shd w:val="clear" w:color="auto" w:fill="EEECE1"/>
          </w:tcPr>
          <w:p w14:paraId="185C4315" w14:textId="77777777" w:rsidR="007B62A5" w:rsidRPr="005A6420" w:rsidRDefault="007B62A5" w:rsidP="0084166C">
            <w:pPr>
              <w:rPr>
                <w:b/>
                <w:sz w:val="22"/>
                <w:szCs w:val="22"/>
                <w:lang w:val="fr-FR" w:eastAsia="en-US"/>
              </w:rPr>
            </w:pPr>
          </w:p>
        </w:tc>
        <w:tc>
          <w:tcPr>
            <w:tcW w:w="1327" w:type="dxa"/>
            <w:shd w:val="clear" w:color="auto" w:fill="EEECE1"/>
          </w:tcPr>
          <w:p w14:paraId="2686344D" w14:textId="77777777" w:rsidR="007B62A5" w:rsidRPr="005A6420" w:rsidRDefault="007B62A5" w:rsidP="0084166C">
            <w:pPr>
              <w:rPr>
                <w:b/>
                <w:sz w:val="22"/>
                <w:szCs w:val="22"/>
                <w:lang w:val="fr-FR" w:eastAsia="en-US"/>
              </w:rPr>
            </w:pPr>
            <w:r w:rsidRPr="002C15BF">
              <w:rPr>
                <w:b/>
              </w:rPr>
              <w:t>75%</w:t>
            </w:r>
          </w:p>
        </w:tc>
        <w:tc>
          <w:tcPr>
            <w:tcW w:w="2363" w:type="dxa"/>
          </w:tcPr>
          <w:p w14:paraId="0591463E" w14:textId="77777777" w:rsidR="007B62A5" w:rsidRPr="005A6420" w:rsidRDefault="007B62A5" w:rsidP="0084166C">
            <w:pPr>
              <w:rPr>
                <w:b/>
                <w:sz w:val="22"/>
                <w:szCs w:val="22"/>
                <w:lang w:val="fr-FR" w:eastAsia="en-US"/>
              </w:rPr>
            </w:pPr>
            <w:r w:rsidRPr="002C15BF">
              <w:rPr>
                <w:lang w:val="fr-FR"/>
              </w:rPr>
              <w:t xml:space="preserve">Les activités de monitoring de droit humains dans les prisons et de sensibilisation sur la situation des prisonniers, notamment leur droit en situation de crise dont la COVID-19 ont permis à une plus grande partie de la population de comprendre davantage les problèmes de la DPP. </w:t>
            </w:r>
          </w:p>
        </w:tc>
        <w:tc>
          <w:tcPr>
            <w:tcW w:w="2070" w:type="dxa"/>
          </w:tcPr>
          <w:p w14:paraId="31406AF4" w14:textId="77777777" w:rsidR="007B62A5" w:rsidRPr="005A6420" w:rsidRDefault="007B62A5" w:rsidP="0084166C">
            <w:pPr>
              <w:rPr>
                <w:b/>
                <w:sz w:val="22"/>
                <w:szCs w:val="22"/>
                <w:lang w:val="fr-FR" w:eastAsia="en-US"/>
              </w:rPr>
            </w:pPr>
            <w:r w:rsidRPr="002C15BF">
              <w:rPr>
                <w:b/>
              </w:rPr>
              <w:t>28%</w:t>
            </w:r>
          </w:p>
        </w:tc>
        <w:tc>
          <w:tcPr>
            <w:tcW w:w="4140" w:type="dxa"/>
          </w:tcPr>
          <w:p w14:paraId="0F53CF7C" w14:textId="77777777" w:rsidR="007B62A5" w:rsidRPr="005A6420" w:rsidRDefault="007B62A5" w:rsidP="0084166C">
            <w:pPr>
              <w:rPr>
                <w:b/>
                <w:sz w:val="22"/>
                <w:szCs w:val="22"/>
                <w:lang w:val="fr-FR" w:eastAsia="en-US"/>
              </w:rPr>
            </w:pPr>
            <w:r w:rsidRPr="002C15BF">
              <w:rPr>
                <w:lang w:val="fr-FR"/>
              </w:rPr>
              <w:t xml:space="preserve">A la lumière des explications données dans les différentes activités de lancement des activités des OSCs financées par le projet une plus grande part de la population comprend la nécessité de désengorger les prisons notamment via des libérations de groupes pour les personnes éligibles. </w:t>
            </w:r>
          </w:p>
        </w:tc>
      </w:tr>
      <w:tr w:rsidR="007B62A5" w:rsidRPr="005A6420" w14:paraId="784ADB28" w14:textId="77777777" w:rsidTr="00FD2D7D">
        <w:trPr>
          <w:trHeight w:val="458"/>
        </w:trPr>
        <w:tc>
          <w:tcPr>
            <w:tcW w:w="2227" w:type="dxa"/>
            <w:vMerge/>
          </w:tcPr>
          <w:p w14:paraId="76A2F4C2" w14:textId="77777777" w:rsidR="007B62A5" w:rsidRPr="005A6420" w:rsidRDefault="007B62A5" w:rsidP="0084166C">
            <w:pPr>
              <w:rPr>
                <w:rFonts w:cs="Tahoma"/>
                <w:b/>
                <w:szCs w:val="20"/>
                <w:lang w:val="fr-FR" w:eastAsia="en-US"/>
              </w:rPr>
            </w:pPr>
          </w:p>
        </w:tc>
        <w:tc>
          <w:tcPr>
            <w:tcW w:w="1800" w:type="dxa"/>
            <w:shd w:val="clear" w:color="auto" w:fill="EEECE1"/>
          </w:tcPr>
          <w:p w14:paraId="6494B388" w14:textId="77777777" w:rsidR="007B62A5" w:rsidRPr="002C15BF" w:rsidRDefault="007B62A5" w:rsidP="0084166C">
            <w:pPr>
              <w:ind w:hanging="2"/>
              <w:jc w:val="both"/>
              <w:rPr>
                <w:lang w:val="fr-FR"/>
              </w:rPr>
            </w:pPr>
            <w:r w:rsidRPr="002C15BF">
              <w:rPr>
                <w:b/>
                <w:lang w:val="fr-FR"/>
              </w:rPr>
              <w:t>Indicateur 3.3</w:t>
            </w:r>
          </w:p>
          <w:p w14:paraId="37B84864" w14:textId="77777777" w:rsidR="007B62A5" w:rsidRPr="005A6420" w:rsidRDefault="007B62A5" w:rsidP="0084166C">
            <w:pPr>
              <w:jc w:val="both"/>
              <w:rPr>
                <w:rFonts w:cs="Tahoma"/>
                <w:szCs w:val="20"/>
                <w:lang w:val="fr-FR" w:eastAsia="en-US"/>
              </w:rPr>
            </w:pPr>
            <w:r w:rsidRPr="002C15BF">
              <w:rPr>
                <w:lang w:val="fr-FR"/>
              </w:rPr>
              <w:t xml:space="preserve">Nombre d'audience présentielle tenue dans les centres carcéraux </w:t>
            </w:r>
            <w:r w:rsidRPr="002C15BF">
              <w:rPr>
                <w:b/>
                <w:lang w:val="fr-FR"/>
              </w:rPr>
              <w:t>     </w:t>
            </w:r>
          </w:p>
        </w:tc>
        <w:tc>
          <w:tcPr>
            <w:tcW w:w="1103" w:type="dxa"/>
            <w:shd w:val="clear" w:color="auto" w:fill="EEECE1"/>
          </w:tcPr>
          <w:p w14:paraId="33BDF1F4" w14:textId="77777777" w:rsidR="007B62A5" w:rsidRPr="005A6420" w:rsidRDefault="007B62A5" w:rsidP="0084166C">
            <w:pPr>
              <w:rPr>
                <w:lang w:val="fr-FR"/>
              </w:rPr>
            </w:pPr>
            <w:r w:rsidRPr="002C15BF">
              <w:rPr>
                <w:b/>
              </w:rPr>
              <w:t>     </w:t>
            </w:r>
          </w:p>
        </w:tc>
        <w:tc>
          <w:tcPr>
            <w:tcW w:w="1327" w:type="dxa"/>
            <w:shd w:val="clear" w:color="auto" w:fill="EEECE1"/>
          </w:tcPr>
          <w:p w14:paraId="18F7FE60" w14:textId="77777777" w:rsidR="007B62A5" w:rsidRPr="005A6420" w:rsidRDefault="007B62A5" w:rsidP="0084166C">
            <w:pPr>
              <w:rPr>
                <w:lang w:val="fr-FR"/>
              </w:rPr>
            </w:pPr>
            <w:r w:rsidRPr="002C15BF">
              <w:rPr>
                <w:b/>
              </w:rPr>
              <w:t>10</w:t>
            </w:r>
          </w:p>
        </w:tc>
        <w:tc>
          <w:tcPr>
            <w:tcW w:w="2363" w:type="dxa"/>
          </w:tcPr>
          <w:p w14:paraId="7CE66F74" w14:textId="77777777" w:rsidR="007B62A5" w:rsidRPr="002C15BF" w:rsidRDefault="007B62A5" w:rsidP="0084166C">
            <w:pPr>
              <w:ind w:hanging="2"/>
              <w:rPr>
                <w:b/>
                <w:lang w:val="fr-FR"/>
              </w:rPr>
            </w:pPr>
            <w:r w:rsidRPr="002C15BF">
              <w:rPr>
                <w:b/>
                <w:lang w:val="fr-FR"/>
              </w:rPr>
              <w:t>-</w:t>
            </w:r>
            <w:r w:rsidRPr="002C15BF">
              <w:rPr>
                <w:bCs/>
                <w:lang w:val="fr-FR"/>
              </w:rPr>
              <w:t xml:space="preserve"> L’aménagement de la salle d’audience des Cayes a permis l’organisation des séances au sein de ladite prison.</w:t>
            </w:r>
            <w:r w:rsidRPr="002C15BF">
              <w:rPr>
                <w:b/>
                <w:lang w:val="fr-FR"/>
              </w:rPr>
              <w:t xml:space="preserve"> </w:t>
            </w:r>
          </w:p>
          <w:p w14:paraId="2F4EB964" w14:textId="77777777" w:rsidR="007B62A5" w:rsidRPr="005A6420" w:rsidRDefault="007B62A5" w:rsidP="0084166C">
            <w:pPr>
              <w:rPr>
                <w:lang w:val="fr-FR"/>
              </w:rPr>
            </w:pPr>
          </w:p>
        </w:tc>
        <w:tc>
          <w:tcPr>
            <w:tcW w:w="2070" w:type="dxa"/>
          </w:tcPr>
          <w:p w14:paraId="7A2AFBBB" w14:textId="77777777" w:rsidR="007B62A5" w:rsidRPr="005A6420" w:rsidRDefault="007B62A5" w:rsidP="0084166C">
            <w:pPr>
              <w:rPr>
                <w:lang w:val="fr-FR"/>
              </w:rPr>
            </w:pPr>
            <w:r w:rsidRPr="002C15BF">
              <w:rPr>
                <w:b/>
              </w:rPr>
              <w:t>3</w:t>
            </w:r>
          </w:p>
        </w:tc>
        <w:tc>
          <w:tcPr>
            <w:tcW w:w="4140" w:type="dxa"/>
          </w:tcPr>
          <w:p w14:paraId="5E081CEF" w14:textId="77777777" w:rsidR="007B62A5" w:rsidRPr="005A6420" w:rsidRDefault="007B62A5" w:rsidP="0084166C">
            <w:pPr>
              <w:rPr>
                <w:lang w:val="fr-FR"/>
              </w:rPr>
            </w:pPr>
            <w:r w:rsidRPr="002C15BF">
              <w:rPr>
                <w:bCs/>
                <w:lang w:val="fr-FR"/>
              </w:rPr>
              <w:t xml:space="preserve">  </w:t>
            </w:r>
          </w:p>
        </w:tc>
      </w:tr>
    </w:tbl>
    <w:p w14:paraId="2691E7AF" w14:textId="77777777" w:rsidR="00117EE7" w:rsidRDefault="00117EE7" w:rsidP="003758E5">
      <w:pPr>
        <w:rPr>
          <w:b/>
          <w:u w:val="single"/>
          <w:lang w:val="fr-FR"/>
        </w:rPr>
      </w:pPr>
    </w:p>
    <w:p w14:paraId="43567D88" w14:textId="77777777" w:rsidR="00535AE6" w:rsidRDefault="00535AE6" w:rsidP="003758E5">
      <w:pPr>
        <w:rPr>
          <w:b/>
          <w:u w:val="single"/>
          <w:lang w:val="fr-FR"/>
        </w:rPr>
      </w:pPr>
    </w:p>
    <w:p w14:paraId="5FDCC4EA" w14:textId="77777777" w:rsidR="00535AE6" w:rsidRDefault="00535AE6" w:rsidP="003758E5">
      <w:pPr>
        <w:rPr>
          <w:b/>
          <w:u w:val="single"/>
          <w:lang w:val="fr-FR"/>
        </w:rPr>
      </w:pPr>
    </w:p>
    <w:p w14:paraId="713B4306" w14:textId="77777777" w:rsidR="00535AE6" w:rsidRPr="002C15BF" w:rsidRDefault="00535AE6" w:rsidP="00535AE6">
      <w:pPr>
        <w:rPr>
          <w:b/>
          <w:bCs/>
          <w:lang w:val="fr-FR"/>
        </w:rPr>
      </w:pPr>
      <w:r w:rsidRPr="002C15BF">
        <w:rPr>
          <w:b/>
          <w:bCs/>
          <w:lang w:val="fr-FR"/>
        </w:rPr>
        <w:lastRenderedPageBreak/>
        <w:t>Leçons apprises</w:t>
      </w:r>
    </w:p>
    <w:p w14:paraId="09873C09" w14:textId="77777777" w:rsidR="00535AE6" w:rsidRPr="002C15BF" w:rsidRDefault="00535AE6" w:rsidP="00535AE6">
      <w:pPr>
        <w:pStyle w:val="ListParagraph"/>
        <w:numPr>
          <w:ilvl w:val="0"/>
          <w:numId w:val="5"/>
        </w:numPr>
        <w:spacing w:after="160" w:line="259" w:lineRule="auto"/>
        <w:jc w:val="both"/>
        <w:rPr>
          <w:lang w:val="fr-FR"/>
        </w:rPr>
      </w:pPr>
      <w:r w:rsidRPr="002C15BF">
        <w:rPr>
          <w:lang w:val="fr-FR"/>
        </w:rPr>
        <w:t xml:space="preserve">Avec la situation sécuritaire qui prévaut à travers le pays, surtout dans la région métropolitaine, les centres de détention sont souvent en alerte. Par conséquent, leur accès devient de plus en plus difficile. Les travaux d’assistance légale pour les détenues ainsi que les activités de sensibilisation aux droits des détenus deviennent compliqués. </w:t>
      </w:r>
    </w:p>
    <w:p w14:paraId="2416ECAE" w14:textId="77777777" w:rsidR="00535AE6" w:rsidRPr="002C15BF" w:rsidRDefault="00535AE6" w:rsidP="00535AE6">
      <w:pPr>
        <w:pStyle w:val="ListParagraph"/>
        <w:numPr>
          <w:ilvl w:val="0"/>
          <w:numId w:val="5"/>
        </w:numPr>
        <w:spacing w:after="160" w:line="259" w:lineRule="auto"/>
        <w:jc w:val="both"/>
        <w:rPr>
          <w:lang w:val="fr-FR"/>
        </w:rPr>
      </w:pPr>
      <w:r w:rsidRPr="002C15BF">
        <w:rPr>
          <w:lang w:val="fr-FR"/>
        </w:rPr>
        <w:t>Parmi les autorités judiciaires et carcérales, les responsables des centres de détention sont plus compréhensifs par rapport aux questions des droits humains, notamment les droits des détenus, et de la nécessité de faire fonctionner le système judiciaire pour tacler la problématique de la détention préventive prolongée.</w:t>
      </w:r>
    </w:p>
    <w:p w14:paraId="1E8286A9" w14:textId="6B719C90" w:rsidR="00535AE6" w:rsidRPr="002C15BF" w:rsidRDefault="00535AE6" w:rsidP="00535AE6">
      <w:pPr>
        <w:pStyle w:val="ListParagraph"/>
        <w:numPr>
          <w:ilvl w:val="0"/>
          <w:numId w:val="5"/>
        </w:numPr>
        <w:spacing w:after="160" w:line="259" w:lineRule="auto"/>
        <w:jc w:val="both"/>
        <w:rPr>
          <w:lang w:val="fr-FR"/>
        </w:rPr>
      </w:pPr>
      <w:r w:rsidRPr="002C15BF">
        <w:rPr>
          <w:lang w:val="fr-FR"/>
        </w:rPr>
        <w:t>Une partie importante des agents de la police n’a aucun souci des questions de droits humains, et surtout quand il s’agit des droits des détenus. Cependant, les agents qui ont reçus une formation de la DAP, sont amplement bien imbu</w:t>
      </w:r>
      <w:r>
        <w:rPr>
          <w:lang w:val="fr-FR"/>
        </w:rPr>
        <w:t>s</w:t>
      </w:r>
      <w:r w:rsidRPr="002C15BF">
        <w:rPr>
          <w:lang w:val="fr-FR"/>
        </w:rPr>
        <w:t xml:space="preserve"> des questions des droits des détenus et s’apprêtent à les prendre en compte quand cela est possible. En effet, confier des détenus sous la garde des policiers sans aucune formation en DAP risque d’aggraver les violences aux personnes privées de liberté. </w:t>
      </w:r>
    </w:p>
    <w:p w14:paraId="1074C4C2" w14:textId="5FE121DD" w:rsidR="00535AE6" w:rsidRPr="002C15BF" w:rsidRDefault="00535AE6" w:rsidP="00535AE6">
      <w:pPr>
        <w:pStyle w:val="ListParagraph"/>
        <w:numPr>
          <w:ilvl w:val="0"/>
          <w:numId w:val="5"/>
        </w:numPr>
        <w:spacing w:after="160" w:line="259" w:lineRule="auto"/>
        <w:jc w:val="both"/>
        <w:rPr>
          <w:lang w:val="fr-FR"/>
        </w:rPr>
      </w:pPr>
      <w:r w:rsidRPr="002C15BF">
        <w:rPr>
          <w:lang w:val="fr-FR"/>
        </w:rPr>
        <w:t xml:space="preserve">Il existe une situation d’incompréhension de la majorité des agents policiers à l’égard des organisations de défense des droits humains qui luttent pour le respect d’un certain nombre de droits des détenus. L’amélioration de cette situation nécessite un effort considérable de la part des organisations de défense des droits humains qui devraient dans une large mesure se pencher aussi sur les cas d’abus que subissent les policiers dans l’exercice de leur fonction. Certaines organisations, notamment la VHDH et l’OCNH qui travaillent dans des centres de détention commencent à développer des stratégies pouvant permettre une meilleure collaboration entre ces deux entités </w:t>
      </w:r>
    </w:p>
    <w:p w14:paraId="0AAFE3CA" w14:textId="4CBBD7F5" w:rsidR="00535AE6" w:rsidRPr="002C15BF" w:rsidRDefault="00535AE6" w:rsidP="00535AE6">
      <w:pPr>
        <w:pStyle w:val="ListParagraph"/>
        <w:numPr>
          <w:ilvl w:val="0"/>
          <w:numId w:val="5"/>
        </w:numPr>
        <w:spacing w:after="160" w:line="259" w:lineRule="auto"/>
        <w:jc w:val="both"/>
        <w:rPr>
          <w:lang w:val="fr-FR"/>
        </w:rPr>
      </w:pPr>
      <w:r w:rsidRPr="002C15BF">
        <w:rPr>
          <w:lang w:val="fr-FR"/>
        </w:rPr>
        <w:t xml:space="preserve">Les effets structurels que recherche le projet en termes de dividendes de paix construite sur un meilleur accès à la justice paraissent </w:t>
      </w:r>
      <w:r w:rsidR="00537146">
        <w:rPr>
          <w:lang w:val="fr-FR"/>
        </w:rPr>
        <w:t>difficile d’</w:t>
      </w:r>
      <w:proofErr w:type="spellStart"/>
      <w:r w:rsidR="00537146">
        <w:rPr>
          <w:lang w:val="fr-FR"/>
        </w:rPr>
        <w:t>acces</w:t>
      </w:r>
      <w:proofErr w:type="spellEnd"/>
      <w:r w:rsidRPr="002C15BF">
        <w:rPr>
          <w:lang w:val="fr-FR"/>
        </w:rPr>
        <w:t xml:space="preserve"> si on ne prend pas en compte les besoins de support du secteur judiciaire de sorte qu’il soit vraiment au service de l</w:t>
      </w:r>
      <w:r w:rsidR="00537146">
        <w:rPr>
          <w:lang w:val="fr-FR"/>
        </w:rPr>
        <w:t>’ensemble de la</w:t>
      </w:r>
      <w:r w:rsidRPr="002C15BF">
        <w:rPr>
          <w:lang w:val="fr-FR"/>
        </w:rPr>
        <w:t xml:space="preserve"> population mais non contre les faibles et les indulgents tel qu’il est actuellement.</w:t>
      </w:r>
    </w:p>
    <w:p w14:paraId="18C266F2" w14:textId="5D589D75" w:rsidR="00535AE6" w:rsidRPr="002C15BF" w:rsidRDefault="00535AE6" w:rsidP="00535AE6">
      <w:pPr>
        <w:pStyle w:val="ListParagraph"/>
        <w:numPr>
          <w:ilvl w:val="0"/>
          <w:numId w:val="5"/>
        </w:numPr>
        <w:spacing w:after="160" w:line="259" w:lineRule="auto"/>
        <w:jc w:val="both"/>
        <w:rPr>
          <w:lang w:val="fr-FR"/>
        </w:rPr>
      </w:pPr>
      <w:r w:rsidRPr="002C15BF">
        <w:rPr>
          <w:lang w:val="fr-FR"/>
        </w:rPr>
        <w:t xml:space="preserve">Le bon fonctionnement des Bureaux d’Assistance Légale (BAL) constitue un pilier important dans l’accès à la justice des populations vulnérables au niveau des juridictions. Donc, il </w:t>
      </w:r>
      <w:r w:rsidR="00537146">
        <w:rPr>
          <w:lang w:val="fr-FR"/>
        </w:rPr>
        <w:t>est important</w:t>
      </w:r>
      <w:r w:rsidRPr="002C15BF">
        <w:rPr>
          <w:lang w:val="fr-FR"/>
        </w:rPr>
        <w:t xml:space="preserve"> que les autorités travaillent pour doter les BALs de ressources financières et humaines adéquates avec l’application des principes stricts pour qu’ils puissent être vraiment au service des populations vulnérables en quête d’assistance légale. </w:t>
      </w:r>
    </w:p>
    <w:p w14:paraId="74F40BFB" w14:textId="77777777" w:rsidR="00535AE6" w:rsidRPr="002C15BF" w:rsidRDefault="00535AE6" w:rsidP="00535AE6">
      <w:pPr>
        <w:pStyle w:val="ListParagraph"/>
        <w:numPr>
          <w:ilvl w:val="0"/>
          <w:numId w:val="5"/>
        </w:numPr>
        <w:spacing w:after="160" w:line="259" w:lineRule="auto"/>
        <w:jc w:val="both"/>
        <w:rPr>
          <w:lang w:val="fr-FR"/>
        </w:rPr>
      </w:pPr>
      <w:r w:rsidRPr="002C15BF">
        <w:rPr>
          <w:lang w:val="fr-FR"/>
        </w:rPr>
        <w:t xml:space="preserve">Avec la situation d’insécurité qui s’aggrave surtout au niveau de l’aire métropolitaine, la tenue des formations aux profits des cadres en régions devient plus difficile ainsi que d’autre activités. En effet, la période initiale prévue pour presque chaque activité nécessite un réajustement qui impacte aussi la période normale de mise en œuvre du projet. </w:t>
      </w:r>
    </w:p>
    <w:p w14:paraId="517C939E" w14:textId="44374939" w:rsidR="00535AE6" w:rsidRPr="002C15BF" w:rsidRDefault="00537146" w:rsidP="00535AE6">
      <w:pPr>
        <w:pStyle w:val="ListParagraph"/>
        <w:numPr>
          <w:ilvl w:val="0"/>
          <w:numId w:val="5"/>
        </w:numPr>
        <w:spacing w:after="160" w:line="259" w:lineRule="auto"/>
        <w:jc w:val="both"/>
        <w:rPr>
          <w:lang w:val="fr-FR"/>
        </w:rPr>
      </w:pPr>
      <w:r>
        <w:rPr>
          <w:lang w:val="fr-FR"/>
        </w:rPr>
        <w:t>Il semble que les</w:t>
      </w:r>
      <w:r w:rsidR="00535AE6" w:rsidRPr="002C15BF">
        <w:rPr>
          <w:lang w:val="fr-FR"/>
        </w:rPr>
        <w:t xml:space="preserve"> institutions siégeant au sein du conseil d’administration du CNAL, notamment le </w:t>
      </w:r>
      <w:proofErr w:type="gramStart"/>
      <w:r w:rsidR="00535AE6" w:rsidRPr="002C15BF">
        <w:rPr>
          <w:lang w:val="fr-FR"/>
        </w:rPr>
        <w:t>Ministère</w:t>
      </w:r>
      <w:proofErr w:type="gramEnd"/>
      <w:r w:rsidR="00535AE6" w:rsidRPr="002C15BF">
        <w:rPr>
          <w:lang w:val="fr-FR"/>
        </w:rPr>
        <w:t xml:space="preserve"> de la Justice et l’association des Barreaux, ne s’entendent pas sur la manière d’avancer avec la mise en place des </w:t>
      </w:r>
      <w:proofErr w:type="spellStart"/>
      <w:r w:rsidR="00535AE6" w:rsidRPr="002C15BF">
        <w:rPr>
          <w:lang w:val="fr-FR"/>
        </w:rPr>
        <w:t>BALs</w:t>
      </w:r>
      <w:proofErr w:type="spellEnd"/>
      <w:r>
        <w:rPr>
          <w:lang w:val="fr-FR"/>
        </w:rPr>
        <w:t xml:space="preserve"> ; ce qui pourrait influencer sur </w:t>
      </w:r>
      <w:r w:rsidR="00535AE6" w:rsidRPr="002C15BF">
        <w:rPr>
          <w:lang w:val="fr-FR"/>
        </w:rPr>
        <w:t xml:space="preserve">la stabilité et des BALs  </w:t>
      </w:r>
    </w:p>
    <w:p w14:paraId="14D9E254" w14:textId="77777777" w:rsidR="00535AE6" w:rsidRDefault="00535AE6" w:rsidP="003758E5">
      <w:pPr>
        <w:rPr>
          <w:b/>
          <w:u w:val="single"/>
          <w:lang w:val="fr-FR"/>
        </w:rPr>
      </w:pPr>
    </w:p>
    <w:p w14:paraId="0C1F44B8" w14:textId="77777777" w:rsidR="00535AE6" w:rsidRDefault="00535AE6" w:rsidP="003758E5">
      <w:pPr>
        <w:rPr>
          <w:b/>
          <w:u w:val="single"/>
          <w:lang w:val="fr-FR"/>
        </w:rPr>
      </w:pPr>
    </w:p>
    <w:p w14:paraId="47831D1C" w14:textId="77777777" w:rsidR="00535AE6" w:rsidRDefault="00535AE6" w:rsidP="003758E5">
      <w:pPr>
        <w:rPr>
          <w:b/>
          <w:u w:val="single"/>
          <w:lang w:val="fr-FR"/>
        </w:rPr>
      </w:pPr>
    </w:p>
    <w:p w14:paraId="0D4D46AC" w14:textId="77777777" w:rsidR="00535AE6" w:rsidRDefault="00535AE6" w:rsidP="003758E5">
      <w:pPr>
        <w:rPr>
          <w:b/>
          <w:u w:val="single"/>
          <w:lang w:val="fr-FR"/>
        </w:rPr>
      </w:pPr>
    </w:p>
    <w:p w14:paraId="30F7835D" w14:textId="0C00947D" w:rsidR="00535AE6" w:rsidRDefault="00535AE6" w:rsidP="003758E5">
      <w:pPr>
        <w:rPr>
          <w:b/>
          <w:u w:val="single"/>
          <w:lang w:val="fr-FR"/>
        </w:rPr>
        <w:sectPr w:rsidR="00535AE6" w:rsidSect="003758E5">
          <w:headerReference w:type="default" r:id="rId17"/>
          <w:pgSz w:w="16838" w:h="11906" w:orient="landscape"/>
          <w:pgMar w:top="1240" w:right="1440" w:bottom="771" w:left="1440" w:header="720" w:footer="720" w:gutter="0"/>
          <w:cols w:space="720"/>
          <w:docGrid w:linePitch="360"/>
        </w:sectPr>
      </w:pPr>
    </w:p>
    <w:p w14:paraId="041CE678" w14:textId="73CDCF18" w:rsidR="00675507" w:rsidRPr="000960DC" w:rsidRDefault="00675507" w:rsidP="00117EE7">
      <w:pPr>
        <w:ind w:left="-720"/>
        <w:rPr>
          <w:b/>
          <w:lang w:val="fr-FR"/>
        </w:rPr>
      </w:pPr>
      <w:r w:rsidRPr="00476758">
        <w:rPr>
          <w:b/>
          <w:u w:val="single"/>
          <w:lang w:val="fr-FR"/>
        </w:rPr>
        <w:lastRenderedPageBreak/>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28DE425A" w14:textId="71A44CB6" w:rsidR="00117EE7" w:rsidRDefault="00117EE7" w:rsidP="00675507">
      <w:pPr>
        <w:rPr>
          <w:b/>
          <w:u w:val="single"/>
          <w:lang w:val="fr-FR"/>
        </w:rPr>
      </w:pPr>
    </w:p>
    <w:p w14:paraId="2A7CD518" w14:textId="3D3EED45" w:rsidR="00117EE7" w:rsidRDefault="00117EE7" w:rsidP="00117EE7">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Pr="00F778A1">
        <w:rPr>
          <w:lang w:val="fr-FR"/>
        </w:rPr>
        <w:t>(limite de 1</w:t>
      </w:r>
      <w:r>
        <w:rPr>
          <w:lang w:val="fr-FR"/>
        </w:rPr>
        <w:t>0</w:t>
      </w:r>
      <w:r w:rsidRPr="00F778A1">
        <w:rPr>
          <w:lang w:val="fr-FR"/>
        </w:rPr>
        <w:t>00 caractères</w:t>
      </w:r>
      <w:proofErr w:type="gramStart"/>
      <w:r w:rsidRPr="00F778A1">
        <w:rPr>
          <w:lang w:val="fr-FR"/>
        </w:rPr>
        <w:t>):</w:t>
      </w:r>
      <w:proofErr w:type="gramEnd"/>
      <w:r w:rsidRPr="00F778A1">
        <w:rPr>
          <w:lang w:val="fr-FR"/>
        </w:rPr>
        <w:t xml:space="preserve"> </w:t>
      </w:r>
      <w:r>
        <w:rPr>
          <w:lang w:val="fr-FR"/>
        </w:rPr>
        <w:fldChar w:fldCharType="begin">
          <w:ffData>
            <w:name w:val="Text54"/>
            <w:enabled/>
            <w:calcOnExit w:val="0"/>
            <w:textInput/>
          </w:ffData>
        </w:fldChar>
      </w:r>
      <w:bookmarkStart w:id="4" w:name="Text5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4"/>
    </w:p>
    <w:p w14:paraId="13C52B88" w14:textId="77777777" w:rsidR="00117EE7" w:rsidRDefault="00117EE7" w:rsidP="00117EE7">
      <w:pPr>
        <w:ind w:left="-810"/>
        <w:rPr>
          <w:lang w:val="fr-FR"/>
        </w:rPr>
      </w:pPr>
    </w:p>
    <w:p w14:paraId="4B20A3BF" w14:textId="3E36ACEE" w:rsidR="00F72415" w:rsidRPr="00476758" w:rsidRDefault="00117EE7" w:rsidP="00F72415">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xml:space="preserve">. (limite de </w:t>
      </w:r>
      <w:r>
        <w:rPr>
          <w:lang w:val="fr-FR"/>
        </w:rPr>
        <w:t>2000</w:t>
      </w:r>
      <w:r w:rsidRPr="00476758">
        <w:rPr>
          <w:lang w:val="fr-FR"/>
        </w:rPr>
        <w:t xml:space="preserve"> caractères</w:t>
      </w:r>
      <w:proofErr w:type="gramStart"/>
      <w:r w:rsidRPr="00476758">
        <w:rPr>
          <w:lang w:val="fr-FR"/>
        </w:rPr>
        <w:t>):</w:t>
      </w:r>
      <w:proofErr w:type="gramEnd"/>
    </w:p>
    <w:p w14:paraId="4188FB0D" w14:textId="5294F86F" w:rsidR="00117EE7" w:rsidRDefault="00117EE7" w:rsidP="00117EE7">
      <w:pPr>
        <w:ind w:left="-810"/>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380B8939" w14:textId="2D9C33D0" w:rsidR="00F72415" w:rsidRDefault="00F72415" w:rsidP="00117EE7">
      <w:pPr>
        <w:ind w:left="-810"/>
      </w:pPr>
    </w:p>
    <w:p w14:paraId="5C7C7FD0" w14:textId="6034ACD1" w:rsidR="00F72415" w:rsidRPr="000960DC" w:rsidRDefault="00F72415" w:rsidP="00117EE7">
      <w:pPr>
        <w:ind w:left="-810"/>
        <w:rPr>
          <w:lang w:val="fr-FR"/>
        </w:rPr>
      </w:pPr>
      <w:r w:rsidRPr="000960DC">
        <w:rPr>
          <w:lang w:val="fr-FR"/>
        </w:rPr>
        <w:t xml:space="preserve">Vous pouvez également joindre un maximum de 3 </w:t>
      </w:r>
      <w:r w:rsidRPr="00F72415">
        <w:t>ﬁ</w:t>
      </w:r>
      <w:proofErr w:type="spellStart"/>
      <w:r w:rsidRPr="000960DC">
        <w:rPr>
          <w:lang w:val="fr-FR"/>
        </w:rPr>
        <w:t>chiers</w:t>
      </w:r>
      <w:proofErr w:type="spellEnd"/>
      <w:r w:rsidRPr="000960DC">
        <w:rPr>
          <w:lang w:val="fr-FR"/>
        </w:rPr>
        <w:t xml:space="preserve"> dans di</w:t>
      </w:r>
      <w:r w:rsidRPr="00F72415">
        <w:t>ﬀ</w:t>
      </w:r>
      <w:proofErr w:type="spellStart"/>
      <w:r w:rsidRPr="000960DC">
        <w:rPr>
          <w:lang w:val="fr-FR"/>
        </w:rPr>
        <w:t>érents</w:t>
      </w:r>
      <w:proofErr w:type="spellEnd"/>
      <w:r w:rsidRPr="000960DC">
        <w:rPr>
          <w:lang w:val="fr-FR"/>
        </w:rPr>
        <w:t xml:space="preserve"> formats (</w:t>
      </w:r>
      <w:r w:rsidRPr="00F72415">
        <w:t>ﬁ</w:t>
      </w:r>
      <w:proofErr w:type="spellStart"/>
      <w:r w:rsidRPr="000960DC">
        <w:rPr>
          <w:lang w:val="fr-FR"/>
        </w:rPr>
        <w:t>chiers</w:t>
      </w:r>
      <w:proofErr w:type="spellEnd"/>
      <w:r w:rsidRPr="000960DC">
        <w:rPr>
          <w:lang w:val="fr-FR"/>
        </w:rPr>
        <w:t xml:space="preserve"> image, </w:t>
      </w:r>
      <w:proofErr w:type="spellStart"/>
      <w:r w:rsidRPr="000960DC">
        <w:rPr>
          <w:lang w:val="fr-FR"/>
        </w:rPr>
        <w:t>powerpoint</w:t>
      </w:r>
      <w:proofErr w:type="spellEnd"/>
      <w:r w:rsidRPr="000960DC">
        <w:rPr>
          <w:lang w:val="fr-FR"/>
        </w:rPr>
        <w:t xml:space="preserve">, </w:t>
      </w:r>
      <w:proofErr w:type="spellStart"/>
      <w:r w:rsidRPr="000960DC">
        <w:rPr>
          <w:lang w:val="fr-FR"/>
        </w:rPr>
        <w:t>pdf</w:t>
      </w:r>
      <w:proofErr w:type="spellEnd"/>
      <w:r w:rsidRPr="000960DC">
        <w:rPr>
          <w:lang w:val="fr-FR"/>
        </w:rPr>
        <w:t>, vidéo, etc.) et 3 liens à des ressources web pour illustrer l'impact humain du projet</w:t>
      </w:r>
      <w:r w:rsidR="00116E27" w:rsidRPr="000960DC">
        <w:rPr>
          <w:lang w:val="fr-FR"/>
        </w:rPr>
        <w:t xml:space="preserve"> [OPTIONAL]</w:t>
      </w:r>
    </w:p>
    <w:p w14:paraId="2C1E1F30" w14:textId="77777777" w:rsidR="00997347" w:rsidRPr="000960DC"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7"/>
        <w:gridCol w:w="5513"/>
      </w:tblGrid>
      <w:tr w:rsidR="00997347" w:rsidRPr="002D472C" w14:paraId="3278E054" w14:textId="77777777" w:rsidTr="00C562FF">
        <w:tc>
          <w:tcPr>
            <w:tcW w:w="4657"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0F4408E8" w:rsidR="00997347" w:rsidRPr="00627A1C" w:rsidRDefault="00C562FF" w:rsidP="00234A5E">
            <w:pPr>
              <w:rPr>
                <w:i/>
              </w:rPr>
            </w:pPr>
            <w:r>
              <w:rPr>
                <w:i/>
                <w:iCs/>
              </w:rPr>
              <w:fldChar w:fldCharType="begin">
                <w:ffData>
                  <w:name w:val="Text52"/>
                  <w:enabled w:val="0"/>
                  <w:calcOnExit w:val="0"/>
                  <w:textInput>
                    <w:maxLength w:val="1000"/>
                  </w:textInput>
                </w:ffData>
              </w:fldChar>
            </w:r>
            <w:bookmarkStart w:id="5" w:name="Text52"/>
            <w:r>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bookmarkEnd w:id="5"/>
            <w:r w:rsidR="006C1819" w:rsidRPr="00627A1C">
              <w:rPr>
                <w:i/>
              </w:rPr>
              <w:t xml:space="preserve"> </w:t>
            </w:r>
          </w:p>
          <w:p w14:paraId="21BD62AD" w14:textId="77777777" w:rsidR="007118F5" w:rsidRPr="00627A1C" w:rsidRDefault="007118F5" w:rsidP="00234A5E"/>
        </w:tc>
        <w:tc>
          <w:tcPr>
            <w:tcW w:w="5513" w:type="dxa"/>
            <w:shd w:val="clear" w:color="auto" w:fill="auto"/>
          </w:tcPr>
          <w:p w14:paraId="797F499B" w14:textId="7A9FCA20" w:rsidR="00997347" w:rsidRPr="00675507" w:rsidRDefault="00675507" w:rsidP="00AD73D3">
            <w:pPr>
              <w:rPr>
                <w:lang w:val="fr-FR"/>
              </w:rPr>
            </w:pPr>
            <w:r w:rsidRPr="00675507">
              <w:rPr>
                <w:lang w:val="fr-FR"/>
              </w:rPr>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r w:rsidR="00537146">
              <w:fldChar w:fldCharType="begin">
                <w:ffData>
                  <w:name w:val="Dropdown3"/>
                  <w:enabled/>
                  <w:calcOnExit w:val="0"/>
                  <w:ddList>
                    <w:listEntry w:val="Veuillez sélectionner"/>
                    <w:listEntry w:val="Oui"/>
                    <w:listEntry w:val="Non"/>
                  </w:ddList>
                </w:ffData>
              </w:fldChar>
            </w:r>
            <w:bookmarkStart w:id="6" w:name="Dropdown3"/>
            <w:r w:rsidR="00537146" w:rsidRPr="002D472C">
              <w:rPr>
                <w:lang w:val="fr-FR"/>
              </w:rPr>
              <w:instrText xml:space="preserve"> FORMDROPDOWN </w:instrText>
            </w:r>
            <w:r w:rsidR="00043939">
              <w:fldChar w:fldCharType="separate"/>
            </w:r>
            <w:r w:rsidR="00537146">
              <w:fldChar w:fldCharType="end"/>
            </w:r>
            <w:bookmarkEnd w:id="6"/>
          </w:p>
          <w:p w14:paraId="2337B972" w14:textId="77777777" w:rsidR="007118F5" w:rsidRPr="00675507" w:rsidRDefault="007118F5" w:rsidP="00AD73D3">
            <w:pPr>
              <w:rPr>
                <w:lang w:val="fr-FR"/>
              </w:rPr>
            </w:pPr>
          </w:p>
          <w:p w14:paraId="2BD200E3" w14:textId="7B79C156" w:rsidR="007118F5" w:rsidRPr="00675507" w:rsidRDefault="00675507" w:rsidP="00AD73D3">
            <w:pPr>
              <w:rPr>
                <w:lang w:val="fr-FR"/>
              </w:rPr>
            </w:pPr>
            <w:r w:rsidRPr="00675507">
              <w:rPr>
                <w:lang w:val="fr-FR"/>
              </w:rPr>
              <w:t xml:space="preserve">Le projet a-t-il lancé des enquêtes de perception ou d'autres collectes de données </w:t>
            </w:r>
            <w:proofErr w:type="gramStart"/>
            <w:r w:rsidRPr="00675507">
              <w:rPr>
                <w:lang w:val="fr-FR"/>
              </w:rPr>
              <w:t>communautaires</w:t>
            </w:r>
            <w:r w:rsidR="007118F5" w:rsidRPr="00675507">
              <w:rPr>
                <w:lang w:val="fr-FR"/>
              </w:rPr>
              <w:t>?</w:t>
            </w:r>
            <w:proofErr w:type="gramEnd"/>
            <w:r w:rsidR="007118F5" w:rsidRPr="00675507">
              <w:rPr>
                <w:lang w:val="fr-FR"/>
              </w:rPr>
              <w:t xml:space="preserve"> </w:t>
            </w:r>
            <w:r w:rsidR="00537146">
              <w:fldChar w:fldCharType="begin">
                <w:ffData>
                  <w:name w:val=""/>
                  <w:enabled/>
                  <w:calcOnExit w:val="0"/>
                  <w:ddList>
                    <w:listEntry w:val="Veuillez sélectionner"/>
                    <w:listEntry w:val="Oui"/>
                    <w:listEntry w:val="Non"/>
                  </w:ddList>
                </w:ffData>
              </w:fldChar>
            </w:r>
            <w:r w:rsidR="00537146" w:rsidRPr="002D472C">
              <w:rPr>
                <w:lang w:val="fr-FR"/>
              </w:rPr>
              <w:instrText xml:space="preserve"> FORMDROPDOWN </w:instrText>
            </w:r>
            <w:r w:rsidR="00043939">
              <w:fldChar w:fldCharType="separate"/>
            </w:r>
            <w:r w:rsidR="00537146">
              <w:fldChar w:fldCharType="end"/>
            </w:r>
          </w:p>
        </w:tc>
      </w:tr>
      <w:tr w:rsidR="006C1819" w:rsidRPr="0030235D" w14:paraId="36A88C83" w14:textId="77777777" w:rsidTr="00C562FF">
        <w:tc>
          <w:tcPr>
            <w:tcW w:w="4657"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12F3D1D2" w:rsidR="007118F5" w:rsidRPr="00627A1C" w:rsidRDefault="00535AE6" w:rsidP="007118F5">
            <w:r>
              <w:fldChar w:fldCharType="begin">
                <w:ffData>
                  <w:name w:val=""/>
                  <w:enabled/>
                  <w:calcOnExit w:val="0"/>
                  <w:ddList>
                    <w:listEntry w:val="Veuillez sélectionner"/>
                    <w:listEntry w:val="Oui"/>
                    <w:listEntry w:val="Non"/>
                  </w:ddList>
                </w:ffData>
              </w:fldChar>
            </w:r>
            <w:r>
              <w:instrText xml:space="preserve"> FORMDROPDOWN </w:instrText>
            </w:r>
            <w:r w:rsidR="00043939">
              <w:fldChar w:fldCharType="separate"/>
            </w:r>
            <w:r>
              <w:fldChar w:fldCharType="end"/>
            </w:r>
          </w:p>
        </w:tc>
        <w:tc>
          <w:tcPr>
            <w:tcW w:w="5513" w:type="dxa"/>
            <w:shd w:val="clear" w:color="auto" w:fill="auto"/>
          </w:tcPr>
          <w:p w14:paraId="7B8CF898" w14:textId="0330407A" w:rsidR="006C1819" w:rsidRPr="002D472C"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537146" w:rsidRPr="002D472C">
              <w:rPr>
                <w:lang w:val="fr-FR"/>
              </w:rPr>
              <w:t>40000$USD UNDP</w:t>
            </w:r>
          </w:p>
          <w:p w14:paraId="6D26325A" w14:textId="1787105B" w:rsidR="00537146" w:rsidRDefault="00537146" w:rsidP="00E76CA1">
            <w:r>
              <w:t>15000$USD UNWOMAN</w:t>
            </w:r>
          </w:p>
          <w:p w14:paraId="338B3466" w14:textId="73F51FFA" w:rsidR="00537146" w:rsidRPr="00675507" w:rsidRDefault="00537146" w:rsidP="00E76CA1">
            <w:pPr>
              <w:rPr>
                <w:lang w:val="fr-FR"/>
              </w:rPr>
            </w:pPr>
            <w:r>
              <w:t>10000$USD UNICEF</w:t>
            </w:r>
          </w:p>
          <w:p w14:paraId="6A29E557" w14:textId="77777777" w:rsidR="004D141E" w:rsidRPr="00675507" w:rsidRDefault="004D141E" w:rsidP="00E76CA1">
            <w:pPr>
              <w:rPr>
                <w:lang w:val="fr-FR"/>
              </w:rPr>
            </w:pPr>
          </w:p>
          <w:p w14:paraId="1C5B58BF" w14:textId="77777777" w:rsidR="00156C4C" w:rsidRPr="0070522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fldChar w:fldCharType="begin">
                <w:ffData>
                  <w:name w:val="Text45"/>
                  <w:enabled/>
                  <w:calcOnExit w:val="0"/>
                  <w:textInput>
                    <w:maxLength w:val="1500"/>
                    <w:format w:val="FIRST CAPITAL"/>
                  </w:textInput>
                </w:ffData>
              </w:fldChar>
            </w:r>
            <w:bookmarkStart w:id="7"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4D36E905" w14:textId="02B3DCCD" w:rsidR="00535AE6" w:rsidRDefault="00535AE6" w:rsidP="00535AE6">
            <w:pPr>
              <w:ind w:left="360"/>
              <w:jc w:val="both"/>
              <w:rPr>
                <w:lang w:val="fr-FR"/>
              </w:rPr>
            </w:pPr>
            <w:r>
              <w:rPr>
                <w:lang w:val="fr-FR"/>
              </w:rPr>
              <w:t xml:space="preserve">On prévoit entreprendre une évaluation finale indépendante du projet à partir du mois de </w:t>
            </w:r>
            <w:proofErr w:type="gramStart"/>
            <w:r w:rsidR="00537146">
              <w:rPr>
                <w:lang w:val="fr-FR"/>
              </w:rPr>
              <w:t>Juillet</w:t>
            </w:r>
            <w:proofErr w:type="gramEnd"/>
            <w:r>
              <w:rPr>
                <w:lang w:val="fr-FR"/>
              </w:rPr>
              <w:t xml:space="preserve"> 2022. A date les étapes suivantes ont été franchies dans la préparation de cette évaluation :</w:t>
            </w:r>
          </w:p>
          <w:p w14:paraId="4E9639C9" w14:textId="77777777" w:rsidR="00535AE6" w:rsidRPr="00FE2F7E" w:rsidRDefault="00535AE6" w:rsidP="00535AE6">
            <w:pPr>
              <w:pStyle w:val="ListParagraph"/>
              <w:numPr>
                <w:ilvl w:val="0"/>
                <w:numId w:val="6"/>
              </w:numPr>
              <w:spacing w:after="160" w:line="259" w:lineRule="auto"/>
              <w:jc w:val="both"/>
              <w:rPr>
                <w:lang w:val="fr-FR"/>
              </w:rPr>
            </w:pPr>
            <w:r w:rsidRPr="00FE2F7E">
              <w:rPr>
                <w:lang w:val="fr-FR"/>
              </w:rPr>
              <w:t>Elaboration des termes de référence de l’évaluation</w:t>
            </w:r>
          </w:p>
          <w:p w14:paraId="7433AD1B" w14:textId="77F13735" w:rsidR="00535AE6" w:rsidRPr="00FE2F7E" w:rsidRDefault="00C562FF" w:rsidP="00535AE6">
            <w:pPr>
              <w:pStyle w:val="ListParagraph"/>
              <w:numPr>
                <w:ilvl w:val="0"/>
                <w:numId w:val="6"/>
              </w:numPr>
              <w:spacing w:after="160" w:line="259" w:lineRule="auto"/>
              <w:jc w:val="both"/>
              <w:rPr>
                <w:lang w:val="fr-FR"/>
              </w:rPr>
            </w:pPr>
            <w:r>
              <w:rPr>
                <w:lang w:val="fr-FR"/>
              </w:rPr>
              <w:t>Publication des termes de références de l’évaluation pour recueillir des propositions</w:t>
            </w:r>
          </w:p>
          <w:p w14:paraId="7D84E3E2" w14:textId="77777777" w:rsidR="00535AE6" w:rsidRPr="00FE2F7E" w:rsidRDefault="00535AE6" w:rsidP="00535AE6">
            <w:pPr>
              <w:pStyle w:val="ListParagraph"/>
              <w:numPr>
                <w:ilvl w:val="0"/>
                <w:numId w:val="6"/>
              </w:numPr>
              <w:spacing w:after="160" w:line="259" w:lineRule="auto"/>
              <w:jc w:val="both"/>
              <w:rPr>
                <w:lang w:val="fr-FR"/>
              </w:rPr>
            </w:pPr>
            <w:r w:rsidRPr="00FE2F7E">
              <w:rPr>
                <w:lang w:val="fr-FR"/>
              </w:rPr>
              <w:t>Constitution d’un comité provisoire d’évaluation des offres</w:t>
            </w:r>
          </w:p>
          <w:p w14:paraId="6FFC21C6" w14:textId="4CD18154" w:rsidR="00535AE6" w:rsidRPr="00675507" w:rsidRDefault="00535AE6" w:rsidP="00E76CA1">
            <w:pPr>
              <w:rPr>
                <w:lang w:val="fr-FR"/>
              </w:rPr>
            </w:pPr>
          </w:p>
        </w:tc>
      </w:tr>
      <w:tr w:rsidR="00997347" w:rsidRPr="00627A1C" w14:paraId="781498F5" w14:textId="77777777" w:rsidTr="00C562FF">
        <w:tc>
          <w:tcPr>
            <w:tcW w:w="4657"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513"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r>
              <w:t>Montant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8"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9"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r w:rsidRPr="00627A1C">
              <w:t xml:space="preserve">                          </w:t>
            </w:r>
            <w:r w:rsidRPr="00627A1C">
              <w:fldChar w:fldCharType="begin">
                <w:ffData>
                  <w:name w:val="Text48"/>
                  <w:enabled/>
                  <w:calcOnExit w:val="0"/>
                  <w:textInput>
                    <w:type w:val="number"/>
                    <w:format w:val="0.00"/>
                  </w:textInput>
                </w:ffData>
              </w:fldChar>
            </w:r>
            <w:bookmarkStart w:id="10"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1"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r w:rsidRPr="00627A1C">
              <w:t xml:space="preserve">                          </w:t>
            </w:r>
            <w:r w:rsidRPr="00627A1C">
              <w:fldChar w:fldCharType="begin">
                <w:ffData>
                  <w:name w:val="Text50"/>
                  <w:enabled/>
                  <w:calcOnExit w:val="0"/>
                  <w:textInput>
                    <w:type w:val="number"/>
                    <w:format w:val="0.00"/>
                  </w:textInput>
                </w:ffData>
              </w:fldChar>
            </w:r>
            <w:bookmarkStart w:id="12"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2"/>
          </w:p>
        </w:tc>
      </w:tr>
      <w:tr w:rsidR="003758E5" w:rsidRPr="0030235D" w14:paraId="7A1F5937" w14:textId="77777777" w:rsidTr="00C562FF">
        <w:tc>
          <w:tcPr>
            <w:tcW w:w="4657" w:type="dxa"/>
            <w:shd w:val="clear" w:color="auto" w:fill="auto"/>
          </w:tcPr>
          <w:p w14:paraId="270EDE9A" w14:textId="786DA86B" w:rsidR="003758E5" w:rsidRPr="00F72415" w:rsidRDefault="00F72415" w:rsidP="001A1E86">
            <w:pPr>
              <w:rPr>
                <w:lang w:val="fr-FR"/>
              </w:rPr>
            </w:pPr>
            <w:proofErr w:type="spellStart"/>
            <w:r w:rsidRPr="00F72415">
              <w:rPr>
                <w:b/>
                <w:bCs/>
                <w:u w:val="single"/>
                <w:lang w:val="fr-FR"/>
              </w:rPr>
              <w:t>Eﬀet</w:t>
            </w:r>
            <w:proofErr w:type="spellEnd"/>
            <w:r w:rsidRPr="00F72415">
              <w:rPr>
                <w:b/>
                <w:bCs/>
                <w:u w:val="single"/>
                <w:lang w:val="fr-FR"/>
              </w:rPr>
              <w:t xml:space="preserve"> catalytique (non </w:t>
            </w:r>
            <w:proofErr w:type="spellStart"/>
            <w:r w:rsidRPr="00F72415">
              <w:rPr>
                <w:b/>
                <w:bCs/>
                <w:u w:val="single"/>
                <w:lang w:val="fr-FR"/>
              </w:rPr>
              <w:t>ﬁnancier</w:t>
            </w:r>
            <w:proofErr w:type="spellEnd"/>
            <w:r w:rsidRPr="00F72415">
              <w:rPr>
                <w:b/>
                <w:bCs/>
                <w:u w:val="single"/>
                <w:lang w:val="fr-FR"/>
              </w:rPr>
              <w:t xml:space="preserve">) </w:t>
            </w:r>
            <w:r w:rsidRPr="00F72415">
              <w:rPr>
                <w:lang w:val="fr-FR"/>
              </w:rPr>
              <w:t xml:space="preserve">: Le projet a-t-il permis ou créé un changement plus </w:t>
            </w:r>
            <w:r w:rsidRPr="00F72415">
              <w:rPr>
                <w:lang w:val="fr-FR"/>
              </w:rPr>
              <w:lastRenderedPageBreak/>
              <w:t xml:space="preserve">important ou à plus long terme dans la construction de la </w:t>
            </w:r>
            <w:proofErr w:type="gramStart"/>
            <w:r w:rsidRPr="00F72415">
              <w:rPr>
                <w:lang w:val="fr-FR"/>
              </w:rPr>
              <w:t>paix?</w:t>
            </w:r>
            <w:proofErr w:type="gramEnd"/>
          </w:p>
          <w:p w14:paraId="0D8BF629" w14:textId="4D6F3180" w:rsidR="00F72415" w:rsidRPr="00F72415" w:rsidRDefault="00F72415" w:rsidP="001A1E86">
            <w:pPr>
              <w:rPr>
                <w:lang w:val="fr-FR"/>
              </w:rPr>
            </w:pPr>
          </w:p>
          <w:p w14:paraId="3794474F" w14:textId="11EB0FB0" w:rsidR="00F72415" w:rsidRPr="00F72415" w:rsidRDefault="00F72415" w:rsidP="00F72415">
            <w:pPr>
              <w:rPr>
                <w:lang w:val="fr-FR"/>
              </w:rPr>
            </w:pPr>
            <w:r>
              <w:rPr>
                <w:lang w:val="fr-FR"/>
              </w:rPr>
              <w:fldChar w:fldCharType="begin">
                <w:ffData>
                  <w:name w:val="Check2"/>
                  <w:enabled/>
                  <w:calcOnExit w:val="0"/>
                  <w:checkBox>
                    <w:sizeAuto/>
                    <w:default w:val="0"/>
                  </w:checkBox>
                </w:ffData>
              </w:fldChar>
            </w:r>
            <w:bookmarkStart w:id="13" w:name="Check2"/>
            <w:r>
              <w:rPr>
                <w:lang w:val="fr-FR"/>
              </w:rPr>
              <w:instrText xml:space="preserve"> FORMCHECKBOX </w:instrText>
            </w:r>
            <w:r w:rsidR="00043939">
              <w:rPr>
                <w:lang w:val="fr-FR"/>
              </w:rPr>
            </w:r>
            <w:r w:rsidR="00043939">
              <w:rPr>
                <w:lang w:val="fr-FR"/>
              </w:rPr>
              <w:fldChar w:fldCharType="separate"/>
            </w:r>
            <w:r>
              <w:rPr>
                <w:lang w:val="fr-FR"/>
              </w:rPr>
              <w:fldChar w:fldCharType="end"/>
            </w:r>
            <w:bookmarkEnd w:id="13"/>
            <w:r w:rsidRPr="00F72415">
              <w:rPr>
                <w:lang w:val="fr-FR"/>
              </w:rPr>
              <w:t xml:space="preserve">Aucun </w:t>
            </w:r>
            <w:proofErr w:type="spellStart"/>
            <w:r w:rsidRPr="00F72415">
              <w:rPr>
                <w:lang w:val="fr-FR"/>
              </w:rPr>
              <w:t>eﬀet</w:t>
            </w:r>
            <w:proofErr w:type="spellEnd"/>
            <w:r w:rsidRPr="00F72415">
              <w:rPr>
                <w:lang w:val="fr-FR"/>
              </w:rPr>
              <w:t xml:space="preserve"> catalytique</w:t>
            </w:r>
          </w:p>
          <w:p w14:paraId="15AAB52D" w14:textId="5601B4A1" w:rsidR="00F72415" w:rsidRDefault="00F72415" w:rsidP="00F72415">
            <w:pPr>
              <w:rPr>
                <w:lang w:val="fr-FR"/>
              </w:rPr>
            </w:pPr>
            <w:r>
              <w:rPr>
                <w:lang w:val="fr-FR"/>
              </w:rPr>
              <w:fldChar w:fldCharType="begin">
                <w:ffData>
                  <w:name w:val="Check3"/>
                  <w:enabled/>
                  <w:calcOnExit w:val="0"/>
                  <w:checkBox>
                    <w:sizeAuto/>
                    <w:default w:val="0"/>
                  </w:checkBox>
                </w:ffData>
              </w:fldChar>
            </w:r>
            <w:bookmarkStart w:id="14" w:name="Check3"/>
            <w:r>
              <w:rPr>
                <w:lang w:val="fr-FR"/>
              </w:rPr>
              <w:instrText xml:space="preserve"> FORMCHECKBOX </w:instrText>
            </w:r>
            <w:r w:rsidR="00043939">
              <w:rPr>
                <w:lang w:val="fr-FR"/>
              </w:rPr>
            </w:r>
            <w:r w:rsidR="00043939">
              <w:rPr>
                <w:lang w:val="fr-FR"/>
              </w:rPr>
              <w:fldChar w:fldCharType="separate"/>
            </w:r>
            <w:r>
              <w:rPr>
                <w:lang w:val="fr-FR"/>
              </w:rPr>
              <w:fldChar w:fldCharType="end"/>
            </w:r>
            <w:bookmarkEnd w:id="14"/>
            <w:r w:rsidR="001C15CC">
              <w:rPr>
                <w:lang w:val="fr-FR"/>
              </w:rPr>
              <w:t>Peu d’</w:t>
            </w:r>
            <w:proofErr w:type="spellStart"/>
            <w:r w:rsidRPr="00F72415">
              <w:rPr>
                <w:lang w:val="fr-FR"/>
              </w:rPr>
              <w:t>eﬀet</w:t>
            </w:r>
            <w:proofErr w:type="spellEnd"/>
            <w:r w:rsidRPr="00F72415">
              <w:rPr>
                <w:lang w:val="fr-FR"/>
              </w:rPr>
              <w:t xml:space="preserve"> catalytique </w:t>
            </w:r>
          </w:p>
          <w:p w14:paraId="3D10BB28" w14:textId="20AC3745" w:rsidR="00F72415" w:rsidRDefault="00F72415" w:rsidP="00F72415">
            <w:pPr>
              <w:rPr>
                <w:lang w:val="fr-FR"/>
              </w:rPr>
            </w:pPr>
            <w:r>
              <w:rPr>
                <w:lang w:val="fr-FR"/>
              </w:rPr>
              <w:fldChar w:fldCharType="begin">
                <w:ffData>
                  <w:name w:val="Check5"/>
                  <w:enabled/>
                  <w:calcOnExit w:val="0"/>
                  <w:checkBox>
                    <w:sizeAuto/>
                    <w:default w:val="0"/>
                  </w:checkBox>
                </w:ffData>
              </w:fldChar>
            </w:r>
            <w:bookmarkStart w:id="15" w:name="Check5"/>
            <w:r>
              <w:rPr>
                <w:lang w:val="fr-FR"/>
              </w:rPr>
              <w:instrText xml:space="preserve"> FORMCHECKBOX </w:instrText>
            </w:r>
            <w:r w:rsidR="00043939">
              <w:rPr>
                <w:lang w:val="fr-FR"/>
              </w:rPr>
            </w:r>
            <w:r w:rsidR="00043939">
              <w:rPr>
                <w:lang w:val="fr-FR"/>
              </w:rPr>
              <w:fldChar w:fldCharType="separate"/>
            </w:r>
            <w:r>
              <w:rPr>
                <w:lang w:val="fr-FR"/>
              </w:rPr>
              <w:fldChar w:fldCharType="end"/>
            </w:r>
            <w:bookmarkEnd w:id="15"/>
            <w:proofErr w:type="spellStart"/>
            <w:r w:rsidRPr="00F72415">
              <w:rPr>
                <w:lang w:val="fr-FR"/>
              </w:rPr>
              <w:t>Eﬀet</w:t>
            </w:r>
            <w:proofErr w:type="spellEnd"/>
            <w:r w:rsidRPr="00F72415">
              <w:rPr>
                <w:lang w:val="fr-FR"/>
              </w:rPr>
              <w:t xml:space="preserve"> catalytique important </w:t>
            </w:r>
          </w:p>
          <w:p w14:paraId="7CDABAB6" w14:textId="77777777" w:rsidR="001C15CC" w:rsidRDefault="00F72415" w:rsidP="00F72415">
            <w:pPr>
              <w:rPr>
                <w:lang w:val="fr-FR"/>
              </w:rPr>
            </w:pPr>
            <w:r>
              <w:rPr>
                <w:lang w:val="fr-FR"/>
              </w:rPr>
              <w:fldChar w:fldCharType="begin">
                <w:ffData>
                  <w:name w:val="Check4"/>
                  <w:enabled/>
                  <w:calcOnExit w:val="0"/>
                  <w:checkBox>
                    <w:sizeAuto/>
                    <w:default w:val="0"/>
                  </w:checkBox>
                </w:ffData>
              </w:fldChar>
            </w:r>
            <w:bookmarkStart w:id="16" w:name="Check4"/>
            <w:r>
              <w:rPr>
                <w:lang w:val="fr-FR"/>
              </w:rPr>
              <w:instrText xml:space="preserve"> FORMCHECKBOX </w:instrText>
            </w:r>
            <w:r w:rsidR="00043939">
              <w:rPr>
                <w:lang w:val="fr-FR"/>
              </w:rPr>
            </w:r>
            <w:r w:rsidR="00043939">
              <w:rPr>
                <w:lang w:val="fr-FR"/>
              </w:rPr>
              <w:fldChar w:fldCharType="separate"/>
            </w:r>
            <w:r>
              <w:rPr>
                <w:lang w:val="fr-FR"/>
              </w:rPr>
              <w:fldChar w:fldCharType="end"/>
            </w:r>
            <w:bookmarkEnd w:id="16"/>
            <w:proofErr w:type="spellStart"/>
            <w:r w:rsidRPr="00F72415">
              <w:rPr>
                <w:lang w:val="fr-FR"/>
              </w:rPr>
              <w:t>Eﬀet</w:t>
            </w:r>
            <w:proofErr w:type="spellEnd"/>
            <w:r w:rsidRPr="00F72415">
              <w:rPr>
                <w:lang w:val="fr-FR"/>
              </w:rPr>
              <w:t xml:space="preserve"> catalytique très important </w:t>
            </w:r>
          </w:p>
          <w:p w14:paraId="4E80655C" w14:textId="35CA3ECF" w:rsidR="00F72415" w:rsidRPr="00F72415" w:rsidRDefault="009F5EA4" w:rsidP="00F72415">
            <w:pPr>
              <w:rPr>
                <w:lang w:val="fr-FR"/>
              </w:rPr>
            </w:pPr>
            <w:r>
              <w:rPr>
                <w:lang w:val="fr-FR"/>
              </w:rPr>
              <w:fldChar w:fldCharType="begin">
                <w:ffData>
                  <w:name w:val="Check7"/>
                  <w:enabled/>
                  <w:calcOnExit w:val="0"/>
                  <w:checkBox>
                    <w:sizeAuto/>
                    <w:default w:val="0"/>
                  </w:checkBox>
                </w:ffData>
              </w:fldChar>
            </w:r>
            <w:bookmarkStart w:id="17" w:name="Check7"/>
            <w:r>
              <w:rPr>
                <w:lang w:val="fr-FR"/>
              </w:rPr>
              <w:instrText xml:space="preserve"> FORMCHECKBOX </w:instrText>
            </w:r>
            <w:r w:rsidR="00043939">
              <w:rPr>
                <w:lang w:val="fr-FR"/>
              </w:rPr>
            </w:r>
            <w:r w:rsidR="00043939">
              <w:rPr>
                <w:lang w:val="fr-FR"/>
              </w:rPr>
              <w:fldChar w:fldCharType="separate"/>
            </w:r>
            <w:r>
              <w:rPr>
                <w:lang w:val="fr-FR"/>
              </w:rPr>
              <w:fldChar w:fldCharType="end"/>
            </w:r>
            <w:bookmarkEnd w:id="17"/>
            <w:r w:rsidR="00F72415" w:rsidRPr="00F72415">
              <w:rPr>
                <w:lang w:val="fr-FR"/>
              </w:rPr>
              <w:t>Je ne sais pas</w:t>
            </w:r>
          </w:p>
          <w:p w14:paraId="0847F164" w14:textId="08BBEED3" w:rsidR="00F72415" w:rsidRPr="001C15CC" w:rsidRDefault="009F5EA4" w:rsidP="001A1E86">
            <w:pPr>
              <w:rPr>
                <w:lang w:val="fr-FR"/>
              </w:rPr>
            </w:pPr>
            <w:r>
              <w:rPr>
                <w:lang w:val="fr-FR"/>
              </w:rPr>
              <w:fldChar w:fldCharType="begin">
                <w:ffData>
                  <w:name w:val="Check6"/>
                  <w:enabled/>
                  <w:calcOnExit w:val="0"/>
                  <w:checkBox>
                    <w:sizeAuto/>
                    <w:default w:val="1"/>
                  </w:checkBox>
                </w:ffData>
              </w:fldChar>
            </w:r>
            <w:bookmarkStart w:id="18" w:name="Check6"/>
            <w:r>
              <w:rPr>
                <w:lang w:val="fr-FR"/>
              </w:rPr>
              <w:instrText xml:space="preserve"> FORMCHECKBOX </w:instrText>
            </w:r>
            <w:r w:rsidR="00043939">
              <w:rPr>
                <w:lang w:val="fr-FR"/>
              </w:rPr>
            </w:r>
            <w:r w:rsidR="00043939">
              <w:rPr>
                <w:lang w:val="fr-FR"/>
              </w:rPr>
              <w:fldChar w:fldCharType="separate"/>
            </w:r>
            <w:r>
              <w:rPr>
                <w:lang w:val="fr-FR"/>
              </w:rPr>
              <w:fldChar w:fldCharType="end"/>
            </w:r>
            <w:bookmarkEnd w:id="18"/>
            <w:r w:rsidR="00F72415" w:rsidRPr="00F72415">
              <w:rPr>
                <w:lang w:val="fr-FR"/>
              </w:rPr>
              <w:t>Trop tôt pour savoir</w:t>
            </w:r>
          </w:p>
        </w:tc>
        <w:tc>
          <w:tcPr>
            <w:tcW w:w="5513" w:type="dxa"/>
            <w:shd w:val="clear" w:color="auto" w:fill="auto"/>
          </w:tcPr>
          <w:p w14:paraId="2DEDD837" w14:textId="77777777" w:rsidR="003758E5" w:rsidRDefault="00F72415" w:rsidP="00E76CA1">
            <w:pPr>
              <w:rPr>
                <w:lang w:val="fr-FR"/>
              </w:rPr>
            </w:pPr>
            <w:r>
              <w:rPr>
                <w:lang w:val="fr-FR"/>
              </w:rPr>
              <w:lastRenderedPageBreak/>
              <w:t>Veuillez décrire comment le projet a eu un effet catalytique (non-financier)</w:t>
            </w:r>
          </w:p>
          <w:p w14:paraId="4B042C2B" w14:textId="02386C91" w:rsidR="00F72415" w:rsidRPr="00C0670D" w:rsidRDefault="00F72415" w:rsidP="00E76CA1">
            <w:pPr>
              <w:rPr>
                <w:lang w:val="fr-FR"/>
              </w:rPr>
            </w:pPr>
            <w:r>
              <w:rPr>
                <w:lang w:val="fr-FR"/>
              </w:rPr>
              <w:lastRenderedPageBreak/>
              <w:t>Ve</w:t>
            </w:r>
            <w:r w:rsidR="001C15CC">
              <w:rPr>
                <w:lang w:val="fr-FR"/>
              </w:rPr>
              <w:t>u</w:t>
            </w:r>
            <w:r>
              <w:rPr>
                <w:lang w:val="fr-FR"/>
              </w:rPr>
              <w:t xml:space="preserve">illez limitez vos réponses à </w:t>
            </w:r>
            <w:r w:rsidR="00E7397F">
              <w:rPr>
                <w:lang w:val="fr-FR"/>
              </w:rPr>
              <w:t>30</w:t>
            </w:r>
            <w:r>
              <w:rPr>
                <w:lang w:val="fr-FR"/>
              </w:rPr>
              <w:t>00 caractères</w:t>
            </w:r>
          </w:p>
        </w:tc>
      </w:tr>
      <w:tr w:rsidR="002C187A" w:rsidRPr="00627A1C" w14:paraId="04EF3772" w14:textId="77777777" w:rsidTr="00C562FF">
        <w:tc>
          <w:tcPr>
            <w:tcW w:w="4657" w:type="dxa"/>
            <w:shd w:val="clear" w:color="auto" w:fill="auto"/>
          </w:tcPr>
          <w:p w14:paraId="3FC8EBFD" w14:textId="4AF972EF" w:rsidR="002C187A" w:rsidRPr="00675507" w:rsidRDefault="00675507" w:rsidP="009A1CD3">
            <w:pPr>
              <w:rPr>
                <w:lang w:val="fr-FR"/>
              </w:rPr>
            </w:pPr>
            <w:proofErr w:type="gramStart"/>
            <w:r w:rsidRPr="00675507">
              <w:rPr>
                <w:b/>
                <w:bCs/>
                <w:u w:val="single"/>
                <w:lang w:val="fr-FR"/>
              </w:rPr>
              <w:lastRenderedPageBreak/>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tc>
        <w:tc>
          <w:tcPr>
            <w:tcW w:w="5513" w:type="dxa"/>
            <w:shd w:val="clear" w:color="auto" w:fill="auto"/>
          </w:tcPr>
          <w:p w14:paraId="1A120CF3" w14:textId="77777777" w:rsidR="007118F5" w:rsidRPr="00C0670D" w:rsidRDefault="007118F5" w:rsidP="00E76CA1">
            <w:pPr>
              <w:rPr>
                <w:lang w:val="fr-FR"/>
              </w:rPr>
            </w:pPr>
          </w:p>
          <w:p w14:paraId="4187770E"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401385A4" w14:textId="77777777" w:rsidR="003758E5" w:rsidRDefault="00600B5F" w:rsidP="00116E27">
      <w:pPr>
        <w:ind w:left="-567"/>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764304C0" w14:textId="77777777" w:rsidR="003758E5" w:rsidRDefault="003758E5" w:rsidP="003758E5">
      <w:pPr>
        <w:ind w:left="-709"/>
        <w:rPr>
          <w:b/>
          <w:u w:val="single"/>
          <w:lang w:val="fr-FR"/>
        </w:rPr>
      </w:pPr>
    </w:p>
    <w:p w14:paraId="7C6E0248" w14:textId="77777777" w:rsidR="003758E5" w:rsidRDefault="00547F47" w:rsidP="003758E5">
      <w:pPr>
        <w:ind w:left="-709"/>
        <w:rPr>
          <w:b/>
          <w:u w:val="single"/>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3758E5">
        <w:rPr>
          <w:i/>
          <w:iCs/>
          <w:lang w:val="fr-FR"/>
        </w:rPr>
        <w:t xml:space="preserve"> CETTE SECTION EST OPTIONELLE</w:t>
      </w:r>
    </w:p>
    <w:p w14:paraId="6078277B" w14:textId="77777777" w:rsidR="003758E5" w:rsidRDefault="003758E5" w:rsidP="003758E5">
      <w:pPr>
        <w:ind w:left="-709"/>
        <w:rPr>
          <w:b/>
          <w:u w:val="single"/>
          <w:lang w:val="fr-FR"/>
        </w:rPr>
      </w:pPr>
    </w:p>
    <w:p w14:paraId="6BB733B9" w14:textId="1E1EDC97" w:rsidR="003758E5" w:rsidRPr="003758E5" w:rsidRDefault="001745E8" w:rsidP="001B7DD1">
      <w:pPr>
        <w:pStyle w:val="ListParagraph"/>
        <w:numPr>
          <w:ilvl w:val="0"/>
          <w:numId w:val="4"/>
        </w:numPr>
        <w:rPr>
          <w:b/>
          <w:u w:val="single"/>
          <w:lang w:val="fr-FR"/>
        </w:rPr>
      </w:pPr>
      <w:r w:rsidRPr="003758E5">
        <w:rPr>
          <w:lang w:val="fr-FR"/>
        </w:rPr>
        <w:t xml:space="preserve">Ajustements </w:t>
      </w:r>
      <w:r w:rsidR="00D8543B" w:rsidRPr="003758E5">
        <w:rPr>
          <w:lang w:val="fr-FR"/>
        </w:rPr>
        <w:t>financiers :</w:t>
      </w:r>
      <w:r w:rsidRPr="003758E5">
        <w:rPr>
          <w:lang w:val="fr-FR"/>
        </w:rPr>
        <w:t xml:space="preserve"> </w:t>
      </w:r>
      <w:r w:rsidR="00E271E4" w:rsidRPr="003758E5">
        <w:rPr>
          <w:lang w:val="fr-FR"/>
        </w:rPr>
        <w:t>V</w:t>
      </w:r>
      <w:r w:rsidRPr="003758E5">
        <w:rPr>
          <w:lang w:val="fr-FR"/>
        </w:rPr>
        <w:t>euillez indiquer le montant total en USD des ajustements liés au COVID-19</w:t>
      </w:r>
      <w:r w:rsidR="00E271E4" w:rsidRPr="003758E5">
        <w:rPr>
          <w:lang w:val="fr-FR"/>
        </w:rPr>
        <w:t>.</w:t>
      </w:r>
      <w:r w:rsidR="003758E5" w:rsidRPr="003758E5">
        <w:rPr>
          <w:b/>
          <w:u w:val="single"/>
          <w:lang w:val="fr-FR"/>
        </w:rPr>
        <w:t xml:space="preserve"> </w:t>
      </w:r>
      <w:r w:rsidR="00600B5F" w:rsidRPr="003758E5">
        <w:rPr>
          <w:lang w:val="fr-FR"/>
        </w:rPr>
        <w:t>$</w:t>
      </w:r>
      <w:r w:rsidR="00600B5F">
        <w:fldChar w:fldCharType="begin">
          <w:ffData>
            <w:name w:val=""/>
            <w:enabled/>
            <w:calcOnExit w:val="0"/>
            <w:textInput>
              <w:maxLength w:val="100"/>
              <w:format w:val="FIRST CAPITAL"/>
            </w:textInput>
          </w:ffData>
        </w:fldChar>
      </w:r>
      <w:r w:rsidR="00600B5F" w:rsidRPr="003758E5">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6288C896" w14:textId="77777777" w:rsidR="003758E5" w:rsidRDefault="003758E5" w:rsidP="003758E5">
      <w:pPr>
        <w:ind w:left="-709"/>
        <w:rPr>
          <w:lang w:val="fr-FR"/>
        </w:rPr>
      </w:pPr>
    </w:p>
    <w:p w14:paraId="4688D494" w14:textId="479BE7C8" w:rsidR="003758E5" w:rsidRPr="000960DC" w:rsidRDefault="003107C9" w:rsidP="001B7DD1">
      <w:pPr>
        <w:pStyle w:val="ListParagraph"/>
        <w:numPr>
          <w:ilvl w:val="0"/>
          <w:numId w:val="4"/>
        </w:numPr>
        <w:rPr>
          <w:lang w:val="fr-FR"/>
        </w:rPr>
      </w:pPr>
      <w:r w:rsidRPr="003758E5">
        <w:rPr>
          <w:lang w:val="fr-FR"/>
        </w:rPr>
        <w:t xml:space="preserve">Ajustements non-financiers : </w:t>
      </w:r>
      <w:r w:rsidR="00E271E4" w:rsidRPr="003758E5">
        <w:rPr>
          <w:lang w:val="fr-FR"/>
        </w:rPr>
        <w:t>V</w:t>
      </w:r>
      <w:r w:rsidRPr="003758E5">
        <w:rPr>
          <w:lang w:val="fr-FR"/>
        </w:rPr>
        <w:t>euillez indiquer tout ajustement du projet qui n'a pas eu de conséquences financières</w:t>
      </w:r>
      <w:r w:rsidR="00E271E4" w:rsidRPr="003758E5">
        <w:rPr>
          <w:lang w:val="fr-FR"/>
        </w:rPr>
        <w:t>.</w:t>
      </w:r>
      <w:r w:rsidR="003758E5" w:rsidRPr="003758E5">
        <w:rPr>
          <w:b/>
          <w:u w:val="single"/>
          <w:lang w:val="fr-FR"/>
        </w:rPr>
        <w:t xml:space="preserve"> </w:t>
      </w:r>
      <w:r w:rsidR="00600B5F">
        <w:fldChar w:fldCharType="begin">
          <w:ffData>
            <w:name w:val=""/>
            <w:enabled/>
            <w:calcOnExit w:val="0"/>
            <w:textInput>
              <w:maxLength w:val="20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A7B71C3" w14:textId="77777777" w:rsidR="003758E5" w:rsidRDefault="003758E5" w:rsidP="001C15CC">
      <w:pPr>
        <w:rPr>
          <w:b/>
          <w:u w:val="single"/>
          <w:lang w:val="fr-FR"/>
        </w:rPr>
      </w:pPr>
    </w:p>
    <w:p w14:paraId="699D8D32" w14:textId="3CFA17E3" w:rsidR="003758E5" w:rsidRPr="003758E5" w:rsidRDefault="002D6DA0" w:rsidP="001B7DD1">
      <w:pPr>
        <w:pStyle w:val="ListParagraph"/>
        <w:numPr>
          <w:ilvl w:val="0"/>
          <w:numId w:val="4"/>
        </w:numPr>
        <w:rPr>
          <w:lang w:val="fr-FR"/>
        </w:rPr>
      </w:pPr>
      <w:r w:rsidRPr="003758E5">
        <w:rPr>
          <w:lang w:val="fr-FR"/>
        </w:rPr>
        <w:t>Veuillez sélectionner toutes les catégories qui décrivent les ajustements du projet (et inclure des détails dans les sections générales de ce rapport)</w:t>
      </w:r>
      <w:r w:rsidR="002B0F98" w:rsidRPr="003758E5">
        <w:rPr>
          <w:lang w:val="fr-FR"/>
        </w:rPr>
        <w:t xml:space="preserve"> : </w:t>
      </w:r>
    </w:p>
    <w:p w14:paraId="322AEE35" w14:textId="77777777" w:rsidR="00A6484C" w:rsidRPr="002D6DA0" w:rsidRDefault="00A6484C" w:rsidP="00A6484C">
      <w:pPr>
        <w:pStyle w:val="ListParagraph"/>
        <w:rPr>
          <w:lang w:val="fr-FR"/>
        </w:rPr>
      </w:pPr>
    </w:p>
    <w:p w14:paraId="7FEF6AAE" w14:textId="59CDF331" w:rsidR="00600B5F" w:rsidRPr="00CB5499" w:rsidRDefault="00043939" w:rsidP="003758E5">
      <w:pPr>
        <w:ind w:left="-567"/>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043939" w:rsidP="003758E5">
      <w:pPr>
        <w:ind w:left="-567"/>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043939" w:rsidP="003758E5">
      <w:pPr>
        <w:ind w:left="-567"/>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043939" w:rsidP="003758E5">
      <w:pPr>
        <w:ind w:left="-567"/>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043939" w:rsidP="003758E5">
      <w:pPr>
        <w:ind w:left="-567"/>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5AFFFCEB" w14:textId="2996B50A" w:rsidR="003758E5" w:rsidRPr="000960DC" w:rsidRDefault="00043939" w:rsidP="003758E5">
      <w:pPr>
        <w:ind w:left="-567"/>
        <w:rPr>
          <w:lang w:val="fr-FR"/>
        </w:rPr>
      </w:pPr>
      <w:sdt>
        <w:sdtPr>
          <w:rPr>
            <w:lang w:val="fr-FR"/>
          </w:rPr>
          <w:id w:val="810906333"/>
          <w14:checkbox>
            <w14:checked w14:val="0"/>
            <w14:checkedState w14:val="2612" w14:font="MS Gothic"/>
            <w14:uncheckedState w14:val="2610" w14:font="MS Gothic"/>
          </w14:checkbox>
        </w:sdtPr>
        <w:sdtEndPr/>
        <w:sdtContent>
          <w:r w:rsidR="00600B5F" w:rsidRPr="000960DC">
            <w:rPr>
              <w:rFonts w:ascii="MS Gothic" w:eastAsia="MS Gothic" w:hAnsi="MS Gothic" w:hint="eastAsia"/>
              <w:lang w:val="fr-FR"/>
            </w:rPr>
            <w:t>☐</w:t>
          </w:r>
        </w:sdtContent>
      </w:sdt>
      <w:r w:rsidR="00600B5F" w:rsidRPr="000960DC">
        <w:rPr>
          <w:lang w:val="fr-FR"/>
        </w:rPr>
        <w:t xml:space="preserve"> </w:t>
      </w:r>
      <w:r w:rsidR="00970D92" w:rsidRPr="000960DC">
        <w:rPr>
          <w:lang w:val="fr-FR"/>
        </w:rPr>
        <w:t>Autres</w:t>
      </w:r>
      <w:r w:rsidR="00600B5F" w:rsidRPr="000960DC">
        <w:rPr>
          <w:lang w:val="fr-FR"/>
        </w:rPr>
        <w:t xml:space="preserve"> (</w:t>
      </w:r>
      <w:r w:rsidR="00970D92" w:rsidRPr="000960DC">
        <w:rPr>
          <w:lang w:val="fr-FR"/>
        </w:rPr>
        <w:t xml:space="preserve">veuillez </w:t>
      </w:r>
      <w:r w:rsidR="00B82E71" w:rsidRPr="000960DC">
        <w:rPr>
          <w:lang w:val="fr-FR"/>
        </w:rPr>
        <w:t>préciser</w:t>
      </w:r>
      <w:proofErr w:type="gramStart"/>
      <w:r w:rsidR="00600B5F" w:rsidRPr="000960DC">
        <w:rPr>
          <w:lang w:val="fr-FR"/>
        </w:rPr>
        <w:t>):</w:t>
      </w:r>
      <w:proofErr w:type="gramEnd"/>
      <w:r w:rsidR="00600B5F" w:rsidRPr="000960DC">
        <w:rPr>
          <w:lang w:val="fr-FR"/>
        </w:rPr>
        <w:t xml:space="preserve"> </w:t>
      </w:r>
      <w:r w:rsidR="00600B5F">
        <w:fldChar w:fldCharType="begin">
          <w:ffData>
            <w:name w:val=""/>
            <w:enabled/>
            <w:calcOnExit w:val="0"/>
            <w:textInput>
              <w:maxLength w:val="15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15AC092B" w14:textId="77777777" w:rsidR="003758E5" w:rsidRPr="000960DC" w:rsidRDefault="003758E5" w:rsidP="003758E5">
      <w:pPr>
        <w:ind w:left="-567"/>
        <w:rPr>
          <w:lang w:val="fr-FR"/>
        </w:rPr>
      </w:pPr>
    </w:p>
    <w:p w14:paraId="33E75F0A" w14:textId="77777777" w:rsidR="001C15CC" w:rsidRPr="000960DC" w:rsidRDefault="00FD0105" w:rsidP="001C15CC">
      <w:pPr>
        <w:ind w:left="-567"/>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r w:rsidR="001C15CC" w:rsidRPr="000960DC">
        <w:rPr>
          <w:lang w:val="fr-FR"/>
        </w:rPr>
        <w:t xml:space="preserve"> </w:t>
      </w:r>
    </w:p>
    <w:p w14:paraId="755D9775" w14:textId="456AF936" w:rsidR="00600B5F" w:rsidRDefault="00600B5F" w:rsidP="001C15CC">
      <w:pPr>
        <w:ind w:left="-567"/>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sectPr w:rsidR="00DF24B9" w:rsidSect="003758E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B151" w14:textId="77777777" w:rsidR="00043939" w:rsidRDefault="00043939" w:rsidP="00E76CA1">
      <w:r>
        <w:separator/>
      </w:r>
    </w:p>
  </w:endnote>
  <w:endnote w:type="continuationSeparator" w:id="0">
    <w:p w14:paraId="432AFF55" w14:textId="77777777" w:rsidR="00043939" w:rsidRDefault="00043939" w:rsidP="00E76CA1">
      <w:r>
        <w:continuationSeparator/>
      </w:r>
    </w:p>
  </w:endnote>
  <w:endnote w:type="continuationNotice" w:id="1">
    <w:p w14:paraId="7A9506D5" w14:textId="77777777" w:rsidR="00043939" w:rsidRDefault="0004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48168F" w:rsidRDefault="0048168F">
    <w:pPr>
      <w:pStyle w:val="Footer"/>
      <w:jc w:val="center"/>
    </w:pPr>
    <w:r>
      <w:fldChar w:fldCharType="begin"/>
    </w:r>
    <w:r>
      <w:instrText xml:space="preserve"> PAGE   \* MERGEFORMAT </w:instrText>
    </w:r>
    <w:r>
      <w:fldChar w:fldCharType="separate"/>
    </w:r>
    <w:r w:rsidR="00BE28AA">
      <w:rPr>
        <w:noProof/>
      </w:rPr>
      <w:t>1</w:t>
    </w:r>
    <w:r>
      <w:fldChar w:fldCharType="end"/>
    </w:r>
  </w:p>
  <w:p w14:paraId="6E791841" w14:textId="77777777" w:rsidR="0048168F" w:rsidRDefault="00481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68600" w14:textId="77777777" w:rsidR="00043939" w:rsidRDefault="00043939" w:rsidP="00E76CA1">
      <w:r>
        <w:separator/>
      </w:r>
    </w:p>
  </w:footnote>
  <w:footnote w:type="continuationSeparator" w:id="0">
    <w:p w14:paraId="48D851C3" w14:textId="77777777" w:rsidR="00043939" w:rsidRDefault="00043939" w:rsidP="00E76CA1">
      <w:r>
        <w:continuationSeparator/>
      </w:r>
    </w:p>
  </w:footnote>
  <w:footnote w:type="continuationNotice" w:id="1">
    <w:p w14:paraId="0E0A9904" w14:textId="77777777" w:rsidR="00043939" w:rsidRDefault="000439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CD1" w14:textId="140C58BC" w:rsidR="00117EE7" w:rsidRDefault="00117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2E28"/>
    <w:multiLevelType w:val="hybridMultilevel"/>
    <w:tmpl w:val="BE484E26"/>
    <w:lvl w:ilvl="0" w:tplc="040C0001">
      <w:start w:val="1"/>
      <w:numFmt w:val="bullet"/>
      <w:lvlText w:val=""/>
      <w:lvlJc w:val="left"/>
      <w:pPr>
        <w:ind w:left="540" w:hanging="360"/>
      </w:pPr>
      <w:rPr>
        <w:rFonts w:ascii="Symbol" w:hAnsi="Symbol"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 w15:restartNumberingAfterBreak="0">
    <w:nsid w:val="1D767D54"/>
    <w:multiLevelType w:val="multilevel"/>
    <w:tmpl w:val="CBB8EA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AEE1C33"/>
    <w:multiLevelType w:val="hybridMultilevel"/>
    <w:tmpl w:val="E92E4C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D846BB3"/>
    <w:multiLevelType w:val="hybridMultilevel"/>
    <w:tmpl w:val="75689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5"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6" w15:restartNumberingAfterBreak="0">
    <w:nsid w:val="47542B9E"/>
    <w:multiLevelType w:val="hybridMultilevel"/>
    <w:tmpl w:val="1228FA60"/>
    <w:lvl w:ilvl="0" w:tplc="F126DB20">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0222B"/>
    <w:multiLevelType w:val="hybridMultilevel"/>
    <w:tmpl w:val="0CE615B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8"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71FB7B7F"/>
    <w:multiLevelType w:val="hybridMultilevel"/>
    <w:tmpl w:val="F26E0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115592"/>
    <w:multiLevelType w:val="hybridMultilevel"/>
    <w:tmpl w:val="2534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387934"/>
    <w:multiLevelType w:val="multilevel"/>
    <w:tmpl w:val="34DE79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9654871">
    <w:abstractNumId w:val="8"/>
  </w:num>
  <w:num w:numId="2" w16cid:durableId="1310011471">
    <w:abstractNumId w:val="12"/>
  </w:num>
  <w:num w:numId="3" w16cid:durableId="824587149">
    <w:abstractNumId w:val="4"/>
  </w:num>
  <w:num w:numId="4" w16cid:durableId="522979840">
    <w:abstractNumId w:val="5"/>
  </w:num>
  <w:num w:numId="5" w16cid:durableId="1556235647">
    <w:abstractNumId w:val="9"/>
  </w:num>
  <w:num w:numId="6" w16cid:durableId="2138795446">
    <w:abstractNumId w:val="2"/>
  </w:num>
  <w:num w:numId="7" w16cid:durableId="46078119">
    <w:abstractNumId w:val="6"/>
  </w:num>
  <w:num w:numId="8" w16cid:durableId="821388126">
    <w:abstractNumId w:val="11"/>
  </w:num>
  <w:num w:numId="9" w16cid:durableId="478958199">
    <w:abstractNumId w:val="3"/>
  </w:num>
  <w:num w:numId="10" w16cid:durableId="1727676401">
    <w:abstractNumId w:val="10"/>
  </w:num>
  <w:num w:numId="11" w16cid:durableId="1222406041">
    <w:abstractNumId w:val="7"/>
  </w:num>
  <w:num w:numId="12" w16cid:durableId="804006997">
    <w:abstractNumId w:val="0"/>
  </w:num>
  <w:num w:numId="13" w16cid:durableId="9429591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13D1"/>
    <w:rsid w:val="000022C4"/>
    <w:rsid w:val="00002815"/>
    <w:rsid w:val="00002CB9"/>
    <w:rsid w:val="00005737"/>
    <w:rsid w:val="000057A9"/>
    <w:rsid w:val="00006DBE"/>
    <w:rsid w:val="00006EC0"/>
    <w:rsid w:val="00010EB0"/>
    <w:rsid w:val="0001109A"/>
    <w:rsid w:val="000117F7"/>
    <w:rsid w:val="00013D36"/>
    <w:rsid w:val="00013D69"/>
    <w:rsid w:val="00014B13"/>
    <w:rsid w:val="00017A38"/>
    <w:rsid w:val="00017E39"/>
    <w:rsid w:val="00025EFA"/>
    <w:rsid w:val="00031640"/>
    <w:rsid w:val="00043939"/>
    <w:rsid w:val="00045C24"/>
    <w:rsid w:val="00050759"/>
    <w:rsid w:val="00050A8D"/>
    <w:rsid w:val="00051F71"/>
    <w:rsid w:val="0005216F"/>
    <w:rsid w:val="00052745"/>
    <w:rsid w:val="00052DE5"/>
    <w:rsid w:val="000554F8"/>
    <w:rsid w:val="00057017"/>
    <w:rsid w:val="00062B81"/>
    <w:rsid w:val="00063017"/>
    <w:rsid w:val="00070876"/>
    <w:rsid w:val="00072A27"/>
    <w:rsid w:val="000731D0"/>
    <w:rsid w:val="00075D98"/>
    <w:rsid w:val="0007638E"/>
    <w:rsid w:val="0007676B"/>
    <w:rsid w:val="0008134A"/>
    <w:rsid w:val="0008233D"/>
    <w:rsid w:val="00082738"/>
    <w:rsid w:val="00083743"/>
    <w:rsid w:val="00084F64"/>
    <w:rsid w:val="000878C1"/>
    <w:rsid w:val="00091CFD"/>
    <w:rsid w:val="00092442"/>
    <w:rsid w:val="00092E95"/>
    <w:rsid w:val="000960DC"/>
    <w:rsid w:val="000A45F4"/>
    <w:rsid w:val="000A4660"/>
    <w:rsid w:val="000A51DA"/>
    <w:rsid w:val="000A62C4"/>
    <w:rsid w:val="000A6719"/>
    <w:rsid w:val="000B1E0B"/>
    <w:rsid w:val="000B3EB8"/>
    <w:rsid w:val="000B4E5C"/>
    <w:rsid w:val="000B4FD6"/>
    <w:rsid w:val="000B7954"/>
    <w:rsid w:val="000C7EA0"/>
    <w:rsid w:val="000D4F4B"/>
    <w:rsid w:val="000E05AE"/>
    <w:rsid w:val="000E3D4F"/>
    <w:rsid w:val="000E3E96"/>
    <w:rsid w:val="000E6A96"/>
    <w:rsid w:val="000F05A2"/>
    <w:rsid w:val="000F13B1"/>
    <w:rsid w:val="000F43A8"/>
    <w:rsid w:val="000F67F5"/>
    <w:rsid w:val="00102C0E"/>
    <w:rsid w:val="00112741"/>
    <w:rsid w:val="00113C2A"/>
    <w:rsid w:val="00113D2B"/>
    <w:rsid w:val="00113EC4"/>
    <w:rsid w:val="00116449"/>
    <w:rsid w:val="0011666C"/>
    <w:rsid w:val="00116E27"/>
    <w:rsid w:val="00117EE7"/>
    <w:rsid w:val="001207DA"/>
    <w:rsid w:val="00121B2D"/>
    <w:rsid w:val="00122979"/>
    <w:rsid w:val="00123B5C"/>
    <w:rsid w:val="00127D28"/>
    <w:rsid w:val="001307FA"/>
    <w:rsid w:val="001312E7"/>
    <w:rsid w:val="00131824"/>
    <w:rsid w:val="00134E7B"/>
    <w:rsid w:val="00136B32"/>
    <w:rsid w:val="001374EE"/>
    <w:rsid w:val="001444EE"/>
    <w:rsid w:val="00144DFE"/>
    <w:rsid w:val="00145766"/>
    <w:rsid w:val="001458E9"/>
    <w:rsid w:val="00146644"/>
    <w:rsid w:val="00153CD9"/>
    <w:rsid w:val="00153E65"/>
    <w:rsid w:val="00155AFB"/>
    <w:rsid w:val="00156AFA"/>
    <w:rsid w:val="00156C4C"/>
    <w:rsid w:val="00157BF2"/>
    <w:rsid w:val="001607B2"/>
    <w:rsid w:val="0016088D"/>
    <w:rsid w:val="00161D02"/>
    <w:rsid w:val="00165042"/>
    <w:rsid w:val="0016529A"/>
    <w:rsid w:val="00171370"/>
    <w:rsid w:val="001745E8"/>
    <w:rsid w:val="0018095F"/>
    <w:rsid w:val="00180A7F"/>
    <w:rsid w:val="00181838"/>
    <w:rsid w:val="0018313E"/>
    <w:rsid w:val="0018446E"/>
    <w:rsid w:val="00184A01"/>
    <w:rsid w:val="00185425"/>
    <w:rsid w:val="00186529"/>
    <w:rsid w:val="00192F1D"/>
    <w:rsid w:val="001948EA"/>
    <w:rsid w:val="00194D4C"/>
    <w:rsid w:val="00196AA8"/>
    <w:rsid w:val="001A1E86"/>
    <w:rsid w:val="001A2539"/>
    <w:rsid w:val="001A3157"/>
    <w:rsid w:val="001A374F"/>
    <w:rsid w:val="001A4786"/>
    <w:rsid w:val="001A594C"/>
    <w:rsid w:val="001B1E6B"/>
    <w:rsid w:val="001B1EAF"/>
    <w:rsid w:val="001B32F5"/>
    <w:rsid w:val="001B3A6C"/>
    <w:rsid w:val="001B458D"/>
    <w:rsid w:val="001B4FC7"/>
    <w:rsid w:val="001B5D16"/>
    <w:rsid w:val="001B6A95"/>
    <w:rsid w:val="001B6DFD"/>
    <w:rsid w:val="001B7DD1"/>
    <w:rsid w:val="001C15CC"/>
    <w:rsid w:val="001C4484"/>
    <w:rsid w:val="001C46E9"/>
    <w:rsid w:val="001C51B0"/>
    <w:rsid w:val="001C5691"/>
    <w:rsid w:val="001C56B8"/>
    <w:rsid w:val="001C5B82"/>
    <w:rsid w:val="001C5CDD"/>
    <w:rsid w:val="001D1C14"/>
    <w:rsid w:val="001D34C6"/>
    <w:rsid w:val="001D575F"/>
    <w:rsid w:val="001D6683"/>
    <w:rsid w:val="001D67F9"/>
    <w:rsid w:val="001E660A"/>
    <w:rsid w:val="001F308A"/>
    <w:rsid w:val="0020130A"/>
    <w:rsid w:val="00205EB7"/>
    <w:rsid w:val="0020791D"/>
    <w:rsid w:val="002129DA"/>
    <w:rsid w:val="0021550A"/>
    <w:rsid w:val="00215F41"/>
    <w:rsid w:val="002177B6"/>
    <w:rsid w:val="00217A2E"/>
    <w:rsid w:val="00217EB6"/>
    <w:rsid w:val="002247C2"/>
    <w:rsid w:val="002322E6"/>
    <w:rsid w:val="00233827"/>
    <w:rsid w:val="00233D00"/>
    <w:rsid w:val="00234A5E"/>
    <w:rsid w:val="00236072"/>
    <w:rsid w:val="0023672E"/>
    <w:rsid w:val="00236AB3"/>
    <w:rsid w:val="002411DF"/>
    <w:rsid w:val="002417B4"/>
    <w:rsid w:val="002436F0"/>
    <w:rsid w:val="00245E73"/>
    <w:rsid w:val="00246135"/>
    <w:rsid w:val="00247F4E"/>
    <w:rsid w:val="00251E92"/>
    <w:rsid w:val="0025220B"/>
    <w:rsid w:val="00252B39"/>
    <w:rsid w:val="00252E54"/>
    <w:rsid w:val="00254AC2"/>
    <w:rsid w:val="0025525B"/>
    <w:rsid w:val="002559FA"/>
    <w:rsid w:val="00261360"/>
    <w:rsid w:val="002713E6"/>
    <w:rsid w:val="0027242A"/>
    <w:rsid w:val="00272A58"/>
    <w:rsid w:val="00273AD0"/>
    <w:rsid w:val="00277DFD"/>
    <w:rsid w:val="00280FEA"/>
    <w:rsid w:val="002822AF"/>
    <w:rsid w:val="00282BD9"/>
    <w:rsid w:val="00286F66"/>
    <w:rsid w:val="00287460"/>
    <w:rsid w:val="00287878"/>
    <w:rsid w:val="00290E94"/>
    <w:rsid w:val="00293709"/>
    <w:rsid w:val="002940E8"/>
    <w:rsid w:val="00296C15"/>
    <w:rsid w:val="002A17DE"/>
    <w:rsid w:val="002A1877"/>
    <w:rsid w:val="002B023B"/>
    <w:rsid w:val="002B0F98"/>
    <w:rsid w:val="002B3207"/>
    <w:rsid w:val="002B346A"/>
    <w:rsid w:val="002B351E"/>
    <w:rsid w:val="002B4426"/>
    <w:rsid w:val="002B5F4F"/>
    <w:rsid w:val="002B740B"/>
    <w:rsid w:val="002B7C79"/>
    <w:rsid w:val="002C187A"/>
    <w:rsid w:val="002C20A8"/>
    <w:rsid w:val="002C5DD0"/>
    <w:rsid w:val="002C7051"/>
    <w:rsid w:val="002D2FBB"/>
    <w:rsid w:val="002D4247"/>
    <w:rsid w:val="002D472C"/>
    <w:rsid w:val="002D51A0"/>
    <w:rsid w:val="002D68D7"/>
    <w:rsid w:val="002D6DA0"/>
    <w:rsid w:val="002E10E6"/>
    <w:rsid w:val="002E1884"/>
    <w:rsid w:val="002E1CED"/>
    <w:rsid w:val="002E36B6"/>
    <w:rsid w:val="002E5250"/>
    <w:rsid w:val="002E5DBE"/>
    <w:rsid w:val="002E61AA"/>
    <w:rsid w:val="002E6F58"/>
    <w:rsid w:val="002E745D"/>
    <w:rsid w:val="002F10F6"/>
    <w:rsid w:val="002F15D9"/>
    <w:rsid w:val="002F26EC"/>
    <w:rsid w:val="002F42EA"/>
    <w:rsid w:val="002F64C0"/>
    <w:rsid w:val="00301C7E"/>
    <w:rsid w:val="0030235D"/>
    <w:rsid w:val="003040D8"/>
    <w:rsid w:val="0030455E"/>
    <w:rsid w:val="00305626"/>
    <w:rsid w:val="003107C9"/>
    <w:rsid w:val="00316980"/>
    <w:rsid w:val="00316D58"/>
    <w:rsid w:val="00320A5D"/>
    <w:rsid w:val="00320F57"/>
    <w:rsid w:val="003212BB"/>
    <w:rsid w:val="00321C92"/>
    <w:rsid w:val="003235DF"/>
    <w:rsid w:val="00323ABC"/>
    <w:rsid w:val="00324132"/>
    <w:rsid w:val="00324A7C"/>
    <w:rsid w:val="00324FE5"/>
    <w:rsid w:val="00333EC9"/>
    <w:rsid w:val="0033515C"/>
    <w:rsid w:val="00335F56"/>
    <w:rsid w:val="00336BF8"/>
    <w:rsid w:val="00342356"/>
    <w:rsid w:val="00343425"/>
    <w:rsid w:val="0034386B"/>
    <w:rsid w:val="00343A71"/>
    <w:rsid w:val="00346D73"/>
    <w:rsid w:val="003473C6"/>
    <w:rsid w:val="003479CF"/>
    <w:rsid w:val="00355C69"/>
    <w:rsid w:val="0035676B"/>
    <w:rsid w:val="0036386A"/>
    <w:rsid w:val="00366549"/>
    <w:rsid w:val="00372156"/>
    <w:rsid w:val="003722AE"/>
    <w:rsid w:val="0037561F"/>
    <w:rsid w:val="0037563A"/>
    <w:rsid w:val="003758E5"/>
    <w:rsid w:val="0037629C"/>
    <w:rsid w:val="00380849"/>
    <w:rsid w:val="003818DB"/>
    <w:rsid w:val="003834CD"/>
    <w:rsid w:val="00383908"/>
    <w:rsid w:val="003844AC"/>
    <w:rsid w:val="00384C69"/>
    <w:rsid w:val="00390C70"/>
    <w:rsid w:val="00391614"/>
    <w:rsid w:val="00392FA8"/>
    <w:rsid w:val="003939C6"/>
    <w:rsid w:val="00394596"/>
    <w:rsid w:val="003966E6"/>
    <w:rsid w:val="003968D7"/>
    <w:rsid w:val="003A613D"/>
    <w:rsid w:val="003A6341"/>
    <w:rsid w:val="003A7448"/>
    <w:rsid w:val="003B176D"/>
    <w:rsid w:val="003B3A5F"/>
    <w:rsid w:val="003B4F6E"/>
    <w:rsid w:val="003B5338"/>
    <w:rsid w:val="003B7DC3"/>
    <w:rsid w:val="003C5283"/>
    <w:rsid w:val="003C5CC6"/>
    <w:rsid w:val="003D12C7"/>
    <w:rsid w:val="003D228B"/>
    <w:rsid w:val="003D4CD7"/>
    <w:rsid w:val="003D4D7C"/>
    <w:rsid w:val="003D5F00"/>
    <w:rsid w:val="003F08B1"/>
    <w:rsid w:val="003F1AEB"/>
    <w:rsid w:val="003F21BE"/>
    <w:rsid w:val="003F36FB"/>
    <w:rsid w:val="003F660A"/>
    <w:rsid w:val="004017BD"/>
    <w:rsid w:val="00402083"/>
    <w:rsid w:val="004023AC"/>
    <w:rsid w:val="00402514"/>
    <w:rsid w:val="00402CAC"/>
    <w:rsid w:val="0040513F"/>
    <w:rsid w:val="00405DE7"/>
    <w:rsid w:val="00406273"/>
    <w:rsid w:val="00411A5F"/>
    <w:rsid w:val="00413EAF"/>
    <w:rsid w:val="00414097"/>
    <w:rsid w:val="00414151"/>
    <w:rsid w:val="00416EDD"/>
    <w:rsid w:val="004213AF"/>
    <w:rsid w:val="00425AF8"/>
    <w:rsid w:val="0043550F"/>
    <w:rsid w:val="00437FF5"/>
    <w:rsid w:val="00443012"/>
    <w:rsid w:val="0045149A"/>
    <w:rsid w:val="0046101E"/>
    <w:rsid w:val="00461944"/>
    <w:rsid w:val="00464188"/>
    <w:rsid w:val="004669D6"/>
    <w:rsid w:val="00470EC3"/>
    <w:rsid w:val="004766AC"/>
    <w:rsid w:val="00476758"/>
    <w:rsid w:val="00477CF8"/>
    <w:rsid w:val="00480A02"/>
    <w:rsid w:val="0048168F"/>
    <w:rsid w:val="00484092"/>
    <w:rsid w:val="00484169"/>
    <w:rsid w:val="0048670A"/>
    <w:rsid w:val="0049151C"/>
    <w:rsid w:val="00493CC9"/>
    <w:rsid w:val="00495AC5"/>
    <w:rsid w:val="004965A3"/>
    <w:rsid w:val="004A210E"/>
    <w:rsid w:val="004A49E6"/>
    <w:rsid w:val="004B1E1E"/>
    <w:rsid w:val="004B2FEF"/>
    <w:rsid w:val="004B5601"/>
    <w:rsid w:val="004B5B20"/>
    <w:rsid w:val="004C3DC3"/>
    <w:rsid w:val="004C4272"/>
    <w:rsid w:val="004C4F3B"/>
    <w:rsid w:val="004C7F21"/>
    <w:rsid w:val="004D141E"/>
    <w:rsid w:val="004E2FF8"/>
    <w:rsid w:val="004E3247"/>
    <w:rsid w:val="004E33A8"/>
    <w:rsid w:val="004E3B3E"/>
    <w:rsid w:val="004E3BD7"/>
    <w:rsid w:val="004E5356"/>
    <w:rsid w:val="004E6614"/>
    <w:rsid w:val="004F016F"/>
    <w:rsid w:val="004F3236"/>
    <w:rsid w:val="004F53B2"/>
    <w:rsid w:val="004F5975"/>
    <w:rsid w:val="004F7CEA"/>
    <w:rsid w:val="004F7D22"/>
    <w:rsid w:val="00500587"/>
    <w:rsid w:val="00501DEA"/>
    <w:rsid w:val="005029B5"/>
    <w:rsid w:val="0050518B"/>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40D3"/>
    <w:rsid w:val="00535054"/>
    <w:rsid w:val="005357D9"/>
    <w:rsid w:val="00535AE6"/>
    <w:rsid w:val="00536175"/>
    <w:rsid w:val="00537146"/>
    <w:rsid w:val="00541F2E"/>
    <w:rsid w:val="0054416C"/>
    <w:rsid w:val="00544390"/>
    <w:rsid w:val="00544781"/>
    <w:rsid w:val="005460E0"/>
    <w:rsid w:val="0054652D"/>
    <w:rsid w:val="005470AF"/>
    <w:rsid w:val="00547F47"/>
    <w:rsid w:val="00550982"/>
    <w:rsid w:val="0055185F"/>
    <w:rsid w:val="005537C9"/>
    <w:rsid w:val="00553A7C"/>
    <w:rsid w:val="00553D53"/>
    <w:rsid w:val="0056086D"/>
    <w:rsid w:val="00561C6B"/>
    <w:rsid w:val="0057086A"/>
    <w:rsid w:val="005718ED"/>
    <w:rsid w:val="00573C55"/>
    <w:rsid w:val="00574FB0"/>
    <w:rsid w:val="0058153F"/>
    <w:rsid w:val="0058301B"/>
    <w:rsid w:val="00587BEC"/>
    <w:rsid w:val="00590937"/>
    <w:rsid w:val="0059166A"/>
    <w:rsid w:val="00592733"/>
    <w:rsid w:val="0059333D"/>
    <w:rsid w:val="00593A66"/>
    <w:rsid w:val="00593B59"/>
    <w:rsid w:val="00595DBA"/>
    <w:rsid w:val="00597806"/>
    <w:rsid w:val="005A2661"/>
    <w:rsid w:val="005A26F8"/>
    <w:rsid w:val="005A56E0"/>
    <w:rsid w:val="005B5E16"/>
    <w:rsid w:val="005C187A"/>
    <w:rsid w:val="005C1FC7"/>
    <w:rsid w:val="005C4963"/>
    <w:rsid w:val="005C4BBA"/>
    <w:rsid w:val="005C4DD0"/>
    <w:rsid w:val="005C6674"/>
    <w:rsid w:val="005C68B4"/>
    <w:rsid w:val="005D01E4"/>
    <w:rsid w:val="005D15A3"/>
    <w:rsid w:val="005D2343"/>
    <w:rsid w:val="005D545C"/>
    <w:rsid w:val="005D5A4A"/>
    <w:rsid w:val="005D653E"/>
    <w:rsid w:val="005E3B28"/>
    <w:rsid w:val="005E459D"/>
    <w:rsid w:val="005F0CC2"/>
    <w:rsid w:val="005F1C50"/>
    <w:rsid w:val="005F439F"/>
    <w:rsid w:val="005F77DA"/>
    <w:rsid w:val="00600B5F"/>
    <w:rsid w:val="00600E1A"/>
    <w:rsid w:val="006017A2"/>
    <w:rsid w:val="006023E1"/>
    <w:rsid w:val="00605275"/>
    <w:rsid w:val="006073A2"/>
    <w:rsid w:val="006073AB"/>
    <w:rsid w:val="0060796B"/>
    <w:rsid w:val="006100F5"/>
    <w:rsid w:val="0061467E"/>
    <w:rsid w:val="00615C30"/>
    <w:rsid w:val="00624881"/>
    <w:rsid w:val="00624B2F"/>
    <w:rsid w:val="00624F31"/>
    <w:rsid w:val="00626B3F"/>
    <w:rsid w:val="00627000"/>
    <w:rsid w:val="00627798"/>
    <w:rsid w:val="00627A1C"/>
    <w:rsid w:val="00631B01"/>
    <w:rsid w:val="00631DEF"/>
    <w:rsid w:val="00632971"/>
    <w:rsid w:val="006335C8"/>
    <w:rsid w:val="00634090"/>
    <w:rsid w:val="00635112"/>
    <w:rsid w:val="006427B6"/>
    <w:rsid w:val="00642921"/>
    <w:rsid w:val="00643A9E"/>
    <w:rsid w:val="00646FF7"/>
    <w:rsid w:val="00647DDF"/>
    <w:rsid w:val="006500AC"/>
    <w:rsid w:val="00651323"/>
    <w:rsid w:val="00656A65"/>
    <w:rsid w:val="00656E74"/>
    <w:rsid w:val="006578BB"/>
    <w:rsid w:val="00657A0F"/>
    <w:rsid w:val="006645BE"/>
    <w:rsid w:val="006648F5"/>
    <w:rsid w:val="00664EA0"/>
    <w:rsid w:val="0067044E"/>
    <w:rsid w:val="00670D17"/>
    <w:rsid w:val="00671040"/>
    <w:rsid w:val="0067321D"/>
    <w:rsid w:val="0067328A"/>
    <w:rsid w:val="006734B3"/>
    <w:rsid w:val="0067356E"/>
    <w:rsid w:val="00673D6E"/>
    <w:rsid w:val="00675507"/>
    <w:rsid w:val="006811AD"/>
    <w:rsid w:val="00686133"/>
    <w:rsid w:val="00686914"/>
    <w:rsid w:val="006907EE"/>
    <w:rsid w:val="00691C2F"/>
    <w:rsid w:val="006947B7"/>
    <w:rsid w:val="006969E7"/>
    <w:rsid w:val="006A07CA"/>
    <w:rsid w:val="006A207B"/>
    <w:rsid w:val="006A2E42"/>
    <w:rsid w:val="006A5032"/>
    <w:rsid w:val="006A5B0E"/>
    <w:rsid w:val="006B145C"/>
    <w:rsid w:val="006B4DED"/>
    <w:rsid w:val="006C1819"/>
    <w:rsid w:val="006C1D63"/>
    <w:rsid w:val="006C29FB"/>
    <w:rsid w:val="006C34B7"/>
    <w:rsid w:val="006D0366"/>
    <w:rsid w:val="006D3593"/>
    <w:rsid w:val="006D3F0B"/>
    <w:rsid w:val="006D405E"/>
    <w:rsid w:val="006D5799"/>
    <w:rsid w:val="006D60AB"/>
    <w:rsid w:val="006D69A1"/>
    <w:rsid w:val="006D6B92"/>
    <w:rsid w:val="006D7126"/>
    <w:rsid w:val="006E10BF"/>
    <w:rsid w:val="006E2489"/>
    <w:rsid w:val="006E2EEF"/>
    <w:rsid w:val="006E4DA8"/>
    <w:rsid w:val="006E7CF8"/>
    <w:rsid w:val="006F0257"/>
    <w:rsid w:val="006F0654"/>
    <w:rsid w:val="006F0B62"/>
    <w:rsid w:val="006F0F2D"/>
    <w:rsid w:val="006F1516"/>
    <w:rsid w:val="006F30CD"/>
    <w:rsid w:val="006F4A07"/>
    <w:rsid w:val="006F690E"/>
    <w:rsid w:val="006F74C9"/>
    <w:rsid w:val="00705227"/>
    <w:rsid w:val="007065B1"/>
    <w:rsid w:val="007073F6"/>
    <w:rsid w:val="007118F5"/>
    <w:rsid w:val="0071286E"/>
    <w:rsid w:val="007133CF"/>
    <w:rsid w:val="0071506D"/>
    <w:rsid w:val="00715EC6"/>
    <w:rsid w:val="00720431"/>
    <w:rsid w:val="007308CD"/>
    <w:rsid w:val="00731589"/>
    <w:rsid w:val="007317AD"/>
    <w:rsid w:val="00732A20"/>
    <w:rsid w:val="0073324E"/>
    <w:rsid w:val="00734278"/>
    <w:rsid w:val="00735A7F"/>
    <w:rsid w:val="00740B1E"/>
    <w:rsid w:val="0074108E"/>
    <w:rsid w:val="00741135"/>
    <w:rsid w:val="00742F27"/>
    <w:rsid w:val="00742FDD"/>
    <w:rsid w:val="007435E3"/>
    <w:rsid w:val="00744AB6"/>
    <w:rsid w:val="007451EC"/>
    <w:rsid w:val="00745803"/>
    <w:rsid w:val="00750855"/>
    <w:rsid w:val="00751279"/>
    <w:rsid w:val="00751324"/>
    <w:rsid w:val="00751DAF"/>
    <w:rsid w:val="00753159"/>
    <w:rsid w:val="007566A8"/>
    <w:rsid w:val="007569BB"/>
    <w:rsid w:val="00761508"/>
    <w:rsid w:val="007626C9"/>
    <w:rsid w:val="00764773"/>
    <w:rsid w:val="007648DA"/>
    <w:rsid w:val="00764B9C"/>
    <w:rsid w:val="0076624E"/>
    <w:rsid w:val="00770C59"/>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A1B5F"/>
    <w:rsid w:val="007A4083"/>
    <w:rsid w:val="007A4F3E"/>
    <w:rsid w:val="007A50D1"/>
    <w:rsid w:val="007A5985"/>
    <w:rsid w:val="007A777F"/>
    <w:rsid w:val="007B10F6"/>
    <w:rsid w:val="007B1BE5"/>
    <w:rsid w:val="007B368E"/>
    <w:rsid w:val="007B5B14"/>
    <w:rsid w:val="007B5D05"/>
    <w:rsid w:val="007B62A5"/>
    <w:rsid w:val="007B62AB"/>
    <w:rsid w:val="007B62B8"/>
    <w:rsid w:val="007C14F9"/>
    <w:rsid w:val="007C304F"/>
    <w:rsid w:val="007C6BE6"/>
    <w:rsid w:val="007C730A"/>
    <w:rsid w:val="007C78D3"/>
    <w:rsid w:val="007C7B57"/>
    <w:rsid w:val="007D127B"/>
    <w:rsid w:val="007D2DD6"/>
    <w:rsid w:val="007D4AFE"/>
    <w:rsid w:val="007D5138"/>
    <w:rsid w:val="007D574D"/>
    <w:rsid w:val="007D60F0"/>
    <w:rsid w:val="007D6A05"/>
    <w:rsid w:val="007D6E52"/>
    <w:rsid w:val="007D7BA9"/>
    <w:rsid w:val="007E1330"/>
    <w:rsid w:val="007E1521"/>
    <w:rsid w:val="007E3EB8"/>
    <w:rsid w:val="007E4FA1"/>
    <w:rsid w:val="007E7BE8"/>
    <w:rsid w:val="007F1875"/>
    <w:rsid w:val="007F4C86"/>
    <w:rsid w:val="007F6F6D"/>
    <w:rsid w:val="007F7257"/>
    <w:rsid w:val="00800836"/>
    <w:rsid w:val="00805ADB"/>
    <w:rsid w:val="00812452"/>
    <w:rsid w:val="00812B71"/>
    <w:rsid w:val="0081452B"/>
    <w:rsid w:val="00825D34"/>
    <w:rsid w:val="00826923"/>
    <w:rsid w:val="00827069"/>
    <w:rsid w:val="0083461E"/>
    <w:rsid w:val="00834A9F"/>
    <w:rsid w:val="008356B0"/>
    <w:rsid w:val="008364E5"/>
    <w:rsid w:val="00837B04"/>
    <w:rsid w:val="0084221C"/>
    <w:rsid w:val="00842383"/>
    <w:rsid w:val="0084393C"/>
    <w:rsid w:val="00844781"/>
    <w:rsid w:val="00846F76"/>
    <w:rsid w:val="00847A89"/>
    <w:rsid w:val="00853068"/>
    <w:rsid w:val="00854109"/>
    <w:rsid w:val="00861669"/>
    <w:rsid w:val="008632DB"/>
    <w:rsid w:val="008640A5"/>
    <w:rsid w:val="00865821"/>
    <w:rsid w:val="00865AFA"/>
    <w:rsid w:val="00865FA0"/>
    <w:rsid w:val="008664A8"/>
    <w:rsid w:val="00866E96"/>
    <w:rsid w:val="00874634"/>
    <w:rsid w:val="00875EA5"/>
    <w:rsid w:val="00881D4B"/>
    <w:rsid w:val="0088310A"/>
    <w:rsid w:val="00891AE7"/>
    <w:rsid w:val="00894038"/>
    <w:rsid w:val="00895310"/>
    <w:rsid w:val="00897FC0"/>
    <w:rsid w:val="008A0A8B"/>
    <w:rsid w:val="008A1155"/>
    <w:rsid w:val="008A3181"/>
    <w:rsid w:val="008A604E"/>
    <w:rsid w:val="008B1394"/>
    <w:rsid w:val="008B1B75"/>
    <w:rsid w:val="008B3518"/>
    <w:rsid w:val="008B5A12"/>
    <w:rsid w:val="008B7E23"/>
    <w:rsid w:val="008C0F91"/>
    <w:rsid w:val="008C150B"/>
    <w:rsid w:val="008C36B7"/>
    <w:rsid w:val="008C782A"/>
    <w:rsid w:val="008D1D42"/>
    <w:rsid w:val="008D36B2"/>
    <w:rsid w:val="008D5760"/>
    <w:rsid w:val="008D6B00"/>
    <w:rsid w:val="008D6D9E"/>
    <w:rsid w:val="008E1083"/>
    <w:rsid w:val="008E31E8"/>
    <w:rsid w:val="008E3872"/>
    <w:rsid w:val="008E729D"/>
    <w:rsid w:val="008F18EE"/>
    <w:rsid w:val="008F5112"/>
    <w:rsid w:val="008F6703"/>
    <w:rsid w:val="00900D78"/>
    <w:rsid w:val="00901C1E"/>
    <w:rsid w:val="00910FE1"/>
    <w:rsid w:val="0091229B"/>
    <w:rsid w:val="00912D25"/>
    <w:rsid w:val="00913A53"/>
    <w:rsid w:val="00915C96"/>
    <w:rsid w:val="00915D77"/>
    <w:rsid w:val="00916DF8"/>
    <w:rsid w:val="00917098"/>
    <w:rsid w:val="0091758E"/>
    <w:rsid w:val="009216A8"/>
    <w:rsid w:val="00921C68"/>
    <w:rsid w:val="009236B3"/>
    <w:rsid w:val="009248BA"/>
    <w:rsid w:val="0092673B"/>
    <w:rsid w:val="0093134E"/>
    <w:rsid w:val="00931786"/>
    <w:rsid w:val="00936966"/>
    <w:rsid w:val="00937ABE"/>
    <w:rsid w:val="00944CCC"/>
    <w:rsid w:val="0094520B"/>
    <w:rsid w:val="00945925"/>
    <w:rsid w:val="00946E1F"/>
    <w:rsid w:val="00952DE4"/>
    <w:rsid w:val="00953C30"/>
    <w:rsid w:val="009568EF"/>
    <w:rsid w:val="00956B79"/>
    <w:rsid w:val="00965F6B"/>
    <w:rsid w:val="00966B1A"/>
    <w:rsid w:val="0096731A"/>
    <w:rsid w:val="00970D92"/>
    <w:rsid w:val="00970F4C"/>
    <w:rsid w:val="0097130A"/>
    <w:rsid w:val="00972542"/>
    <w:rsid w:val="00974D94"/>
    <w:rsid w:val="00976CBB"/>
    <w:rsid w:val="009774FE"/>
    <w:rsid w:val="00981DDE"/>
    <w:rsid w:val="009832F8"/>
    <w:rsid w:val="009839DA"/>
    <w:rsid w:val="00985E49"/>
    <w:rsid w:val="00991418"/>
    <w:rsid w:val="00993085"/>
    <w:rsid w:val="00994476"/>
    <w:rsid w:val="00994B0E"/>
    <w:rsid w:val="0099700D"/>
    <w:rsid w:val="00997347"/>
    <w:rsid w:val="009A012A"/>
    <w:rsid w:val="009A03B2"/>
    <w:rsid w:val="009A1CD3"/>
    <w:rsid w:val="009A44A4"/>
    <w:rsid w:val="009A4A5D"/>
    <w:rsid w:val="009A4CC3"/>
    <w:rsid w:val="009A5EEF"/>
    <w:rsid w:val="009A6313"/>
    <w:rsid w:val="009B18EB"/>
    <w:rsid w:val="009B5D1A"/>
    <w:rsid w:val="009B65D1"/>
    <w:rsid w:val="009B71E9"/>
    <w:rsid w:val="009C153E"/>
    <w:rsid w:val="009C28DE"/>
    <w:rsid w:val="009C2C5E"/>
    <w:rsid w:val="009C40E7"/>
    <w:rsid w:val="009D0838"/>
    <w:rsid w:val="009D0C9F"/>
    <w:rsid w:val="009D10B2"/>
    <w:rsid w:val="009D2543"/>
    <w:rsid w:val="009D64E4"/>
    <w:rsid w:val="009E0C33"/>
    <w:rsid w:val="009E20F1"/>
    <w:rsid w:val="009E220E"/>
    <w:rsid w:val="009E329B"/>
    <w:rsid w:val="009E38EA"/>
    <w:rsid w:val="009E5594"/>
    <w:rsid w:val="009E62FE"/>
    <w:rsid w:val="009F4F84"/>
    <w:rsid w:val="009F517D"/>
    <w:rsid w:val="009F5EA4"/>
    <w:rsid w:val="009F6554"/>
    <w:rsid w:val="009F7F98"/>
    <w:rsid w:val="00A0206E"/>
    <w:rsid w:val="00A02F58"/>
    <w:rsid w:val="00A032AE"/>
    <w:rsid w:val="00A048D2"/>
    <w:rsid w:val="00A10DAC"/>
    <w:rsid w:val="00A125A9"/>
    <w:rsid w:val="00A26622"/>
    <w:rsid w:val="00A3005D"/>
    <w:rsid w:val="00A31988"/>
    <w:rsid w:val="00A34FE2"/>
    <w:rsid w:val="00A3500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0B23"/>
    <w:rsid w:val="00A64309"/>
    <w:rsid w:val="00A6484C"/>
    <w:rsid w:val="00A64A02"/>
    <w:rsid w:val="00A656C0"/>
    <w:rsid w:val="00A66688"/>
    <w:rsid w:val="00A712E7"/>
    <w:rsid w:val="00A73873"/>
    <w:rsid w:val="00A74450"/>
    <w:rsid w:val="00A76730"/>
    <w:rsid w:val="00A77540"/>
    <w:rsid w:val="00A81DF0"/>
    <w:rsid w:val="00A8266F"/>
    <w:rsid w:val="00A843B5"/>
    <w:rsid w:val="00A855EA"/>
    <w:rsid w:val="00A86B3F"/>
    <w:rsid w:val="00A86F4D"/>
    <w:rsid w:val="00A9067B"/>
    <w:rsid w:val="00A90E80"/>
    <w:rsid w:val="00A91FCD"/>
    <w:rsid w:val="00A93758"/>
    <w:rsid w:val="00A95711"/>
    <w:rsid w:val="00A96579"/>
    <w:rsid w:val="00A9791E"/>
    <w:rsid w:val="00AA0C6F"/>
    <w:rsid w:val="00AA1865"/>
    <w:rsid w:val="00AA1DFA"/>
    <w:rsid w:val="00AA1E11"/>
    <w:rsid w:val="00AA363D"/>
    <w:rsid w:val="00AA518F"/>
    <w:rsid w:val="00AA7C77"/>
    <w:rsid w:val="00AB1368"/>
    <w:rsid w:val="00AB2C19"/>
    <w:rsid w:val="00AB37F4"/>
    <w:rsid w:val="00AB6561"/>
    <w:rsid w:val="00AB6BAD"/>
    <w:rsid w:val="00AB78B0"/>
    <w:rsid w:val="00AC2BC8"/>
    <w:rsid w:val="00AC433F"/>
    <w:rsid w:val="00AC4357"/>
    <w:rsid w:val="00AC4B04"/>
    <w:rsid w:val="00AC5D55"/>
    <w:rsid w:val="00AC7088"/>
    <w:rsid w:val="00AD0A31"/>
    <w:rsid w:val="00AD11F5"/>
    <w:rsid w:val="00AD13A4"/>
    <w:rsid w:val="00AD1B06"/>
    <w:rsid w:val="00AD6036"/>
    <w:rsid w:val="00AD6104"/>
    <w:rsid w:val="00AD6C55"/>
    <w:rsid w:val="00AD73D3"/>
    <w:rsid w:val="00AE0D84"/>
    <w:rsid w:val="00AE3A54"/>
    <w:rsid w:val="00AE6F1C"/>
    <w:rsid w:val="00AE7FA3"/>
    <w:rsid w:val="00AF2D89"/>
    <w:rsid w:val="00AF7DA4"/>
    <w:rsid w:val="00B00EBD"/>
    <w:rsid w:val="00B0370E"/>
    <w:rsid w:val="00B03E68"/>
    <w:rsid w:val="00B05E35"/>
    <w:rsid w:val="00B124BD"/>
    <w:rsid w:val="00B12FB8"/>
    <w:rsid w:val="00B13CC1"/>
    <w:rsid w:val="00B22390"/>
    <w:rsid w:val="00B244A1"/>
    <w:rsid w:val="00B245D2"/>
    <w:rsid w:val="00B24F72"/>
    <w:rsid w:val="00B2585D"/>
    <w:rsid w:val="00B27419"/>
    <w:rsid w:val="00B305C2"/>
    <w:rsid w:val="00B32493"/>
    <w:rsid w:val="00B329B9"/>
    <w:rsid w:val="00B330C2"/>
    <w:rsid w:val="00B37406"/>
    <w:rsid w:val="00B404DF"/>
    <w:rsid w:val="00B4171D"/>
    <w:rsid w:val="00B419C8"/>
    <w:rsid w:val="00B4227A"/>
    <w:rsid w:val="00B43B8D"/>
    <w:rsid w:val="00B43EEA"/>
    <w:rsid w:val="00B43F6D"/>
    <w:rsid w:val="00B442A2"/>
    <w:rsid w:val="00B46712"/>
    <w:rsid w:val="00B47747"/>
    <w:rsid w:val="00B47CFB"/>
    <w:rsid w:val="00B54A4D"/>
    <w:rsid w:val="00B56A95"/>
    <w:rsid w:val="00B6401E"/>
    <w:rsid w:val="00B64A51"/>
    <w:rsid w:val="00B652A1"/>
    <w:rsid w:val="00B65A22"/>
    <w:rsid w:val="00B702C0"/>
    <w:rsid w:val="00B71ADA"/>
    <w:rsid w:val="00B71D29"/>
    <w:rsid w:val="00B735DD"/>
    <w:rsid w:val="00B737D1"/>
    <w:rsid w:val="00B7406F"/>
    <w:rsid w:val="00B7459B"/>
    <w:rsid w:val="00B749E2"/>
    <w:rsid w:val="00B74CE9"/>
    <w:rsid w:val="00B7553C"/>
    <w:rsid w:val="00B75C20"/>
    <w:rsid w:val="00B81ABE"/>
    <w:rsid w:val="00B82635"/>
    <w:rsid w:val="00B82C51"/>
    <w:rsid w:val="00B82E71"/>
    <w:rsid w:val="00B91F39"/>
    <w:rsid w:val="00B93F0A"/>
    <w:rsid w:val="00B97FF3"/>
    <w:rsid w:val="00BA452C"/>
    <w:rsid w:val="00BA4F96"/>
    <w:rsid w:val="00BA5D85"/>
    <w:rsid w:val="00BA6688"/>
    <w:rsid w:val="00BA6F4B"/>
    <w:rsid w:val="00BB15CF"/>
    <w:rsid w:val="00BC1A5D"/>
    <w:rsid w:val="00BC34D3"/>
    <w:rsid w:val="00BC6808"/>
    <w:rsid w:val="00BC71E1"/>
    <w:rsid w:val="00BD2962"/>
    <w:rsid w:val="00BD5D49"/>
    <w:rsid w:val="00BD643D"/>
    <w:rsid w:val="00BE28AA"/>
    <w:rsid w:val="00BE2A14"/>
    <w:rsid w:val="00BE41D3"/>
    <w:rsid w:val="00BE720A"/>
    <w:rsid w:val="00BE7698"/>
    <w:rsid w:val="00BF1BFB"/>
    <w:rsid w:val="00BF3754"/>
    <w:rsid w:val="00BF40F0"/>
    <w:rsid w:val="00BF41E2"/>
    <w:rsid w:val="00BF43F8"/>
    <w:rsid w:val="00BF4E1E"/>
    <w:rsid w:val="00BF5329"/>
    <w:rsid w:val="00C0670D"/>
    <w:rsid w:val="00C07322"/>
    <w:rsid w:val="00C07A0C"/>
    <w:rsid w:val="00C107F6"/>
    <w:rsid w:val="00C11FFC"/>
    <w:rsid w:val="00C12D6A"/>
    <w:rsid w:val="00C13590"/>
    <w:rsid w:val="00C145CF"/>
    <w:rsid w:val="00C150AE"/>
    <w:rsid w:val="00C17B5E"/>
    <w:rsid w:val="00C221D7"/>
    <w:rsid w:val="00C23208"/>
    <w:rsid w:val="00C2331C"/>
    <w:rsid w:val="00C27302"/>
    <w:rsid w:val="00C30188"/>
    <w:rsid w:val="00C3061C"/>
    <w:rsid w:val="00C30F72"/>
    <w:rsid w:val="00C312C0"/>
    <w:rsid w:val="00C321DE"/>
    <w:rsid w:val="00C41926"/>
    <w:rsid w:val="00C42FB9"/>
    <w:rsid w:val="00C4325C"/>
    <w:rsid w:val="00C52BDA"/>
    <w:rsid w:val="00C562FF"/>
    <w:rsid w:val="00C578BE"/>
    <w:rsid w:val="00C57E94"/>
    <w:rsid w:val="00C57FF6"/>
    <w:rsid w:val="00C61129"/>
    <w:rsid w:val="00C63AA2"/>
    <w:rsid w:val="00C63C0A"/>
    <w:rsid w:val="00C640B2"/>
    <w:rsid w:val="00C6591C"/>
    <w:rsid w:val="00C72CF8"/>
    <w:rsid w:val="00C73212"/>
    <w:rsid w:val="00C74E37"/>
    <w:rsid w:val="00C80A2C"/>
    <w:rsid w:val="00C81589"/>
    <w:rsid w:val="00C81DA4"/>
    <w:rsid w:val="00C82C26"/>
    <w:rsid w:val="00C83486"/>
    <w:rsid w:val="00C846A4"/>
    <w:rsid w:val="00C847EE"/>
    <w:rsid w:val="00C853D5"/>
    <w:rsid w:val="00C924A4"/>
    <w:rsid w:val="00C935A1"/>
    <w:rsid w:val="00C94158"/>
    <w:rsid w:val="00C955F4"/>
    <w:rsid w:val="00C96336"/>
    <w:rsid w:val="00C976B3"/>
    <w:rsid w:val="00CA1B43"/>
    <w:rsid w:val="00CA6C99"/>
    <w:rsid w:val="00CB02F7"/>
    <w:rsid w:val="00CB25A2"/>
    <w:rsid w:val="00CB4B5C"/>
    <w:rsid w:val="00CB5499"/>
    <w:rsid w:val="00CC2015"/>
    <w:rsid w:val="00CC26EB"/>
    <w:rsid w:val="00CC59E5"/>
    <w:rsid w:val="00CD2F67"/>
    <w:rsid w:val="00CD3288"/>
    <w:rsid w:val="00CD3754"/>
    <w:rsid w:val="00CD5E04"/>
    <w:rsid w:val="00CD5E74"/>
    <w:rsid w:val="00CE0209"/>
    <w:rsid w:val="00CE0239"/>
    <w:rsid w:val="00CE132D"/>
    <w:rsid w:val="00CE2278"/>
    <w:rsid w:val="00CE3BEA"/>
    <w:rsid w:val="00CE499C"/>
    <w:rsid w:val="00CE7C3A"/>
    <w:rsid w:val="00CF04AE"/>
    <w:rsid w:val="00D03D06"/>
    <w:rsid w:val="00D048B6"/>
    <w:rsid w:val="00D06A43"/>
    <w:rsid w:val="00D079BC"/>
    <w:rsid w:val="00D07B9F"/>
    <w:rsid w:val="00D12CC9"/>
    <w:rsid w:val="00D13792"/>
    <w:rsid w:val="00D147C9"/>
    <w:rsid w:val="00D14EB1"/>
    <w:rsid w:val="00D169A7"/>
    <w:rsid w:val="00D17B47"/>
    <w:rsid w:val="00D21E2D"/>
    <w:rsid w:val="00D22B42"/>
    <w:rsid w:val="00D26972"/>
    <w:rsid w:val="00D30647"/>
    <w:rsid w:val="00D3351A"/>
    <w:rsid w:val="00D34147"/>
    <w:rsid w:val="00D36AF6"/>
    <w:rsid w:val="00D36E09"/>
    <w:rsid w:val="00D41969"/>
    <w:rsid w:val="00D42727"/>
    <w:rsid w:val="00D44632"/>
    <w:rsid w:val="00D450BB"/>
    <w:rsid w:val="00D51DC7"/>
    <w:rsid w:val="00D5552B"/>
    <w:rsid w:val="00D557FD"/>
    <w:rsid w:val="00D569A1"/>
    <w:rsid w:val="00D61557"/>
    <w:rsid w:val="00D632A3"/>
    <w:rsid w:val="00D65589"/>
    <w:rsid w:val="00D65BB5"/>
    <w:rsid w:val="00D66FB2"/>
    <w:rsid w:val="00D6788F"/>
    <w:rsid w:val="00D70EC5"/>
    <w:rsid w:val="00D755D9"/>
    <w:rsid w:val="00D76947"/>
    <w:rsid w:val="00D7764E"/>
    <w:rsid w:val="00D82C29"/>
    <w:rsid w:val="00D84A39"/>
    <w:rsid w:val="00D85131"/>
    <w:rsid w:val="00D8543B"/>
    <w:rsid w:val="00D979A3"/>
    <w:rsid w:val="00DA064C"/>
    <w:rsid w:val="00DA0D1E"/>
    <w:rsid w:val="00DA2795"/>
    <w:rsid w:val="00DA2CD8"/>
    <w:rsid w:val="00DA52B6"/>
    <w:rsid w:val="00DA7326"/>
    <w:rsid w:val="00DA7B93"/>
    <w:rsid w:val="00DB26F2"/>
    <w:rsid w:val="00DB34A5"/>
    <w:rsid w:val="00DB451D"/>
    <w:rsid w:val="00DB749F"/>
    <w:rsid w:val="00DC097A"/>
    <w:rsid w:val="00DC1151"/>
    <w:rsid w:val="00DC3579"/>
    <w:rsid w:val="00DC3612"/>
    <w:rsid w:val="00DC4D0A"/>
    <w:rsid w:val="00DC5066"/>
    <w:rsid w:val="00DC6542"/>
    <w:rsid w:val="00DD4F1F"/>
    <w:rsid w:val="00DE2383"/>
    <w:rsid w:val="00DF24B9"/>
    <w:rsid w:val="00DF3624"/>
    <w:rsid w:val="00DF5DDD"/>
    <w:rsid w:val="00DF5EB7"/>
    <w:rsid w:val="00DF5FD1"/>
    <w:rsid w:val="00DF6A23"/>
    <w:rsid w:val="00E021C1"/>
    <w:rsid w:val="00E04A24"/>
    <w:rsid w:val="00E0564D"/>
    <w:rsid w:val="00E0640F"/>
    <w:rsid w:val="00E07987"/>
    <w:rsid w:val="00E10926"/>
    <w:rsid w:val="00E13590"/>
    <w:rsid w:val="00E1515A"/>
    <w:rsid w:val="00E17ED1"/>
    <w:rsid w:val="00E249BE"/>
    <w:rsid w:val="00E271E4"/>
    <w:rsid w:val="00E31B37"/>
    <w:rsid w:val="00E3336B"/>
    <w:rsid w:val="00E33CB7"/>
    <w:rsid w:val="00E34912"/>
    <w:rsid w:val="00E3564C"/>
    <w:rsid w:val="00E35E72"/>
    <w:rsid w:val="00E36E88"/>
    <w:rsid w:val="00E41079"/>
    <w:rsid w:val="00E42721"/>
    <w:rsid w:val="00E43490"/>
    <w:rsid w:val="00E44AF0"/>
    <w:rsid w:val="00E5082E"/>
    <w:rsid w:val="00E513CC"/>
    <w:rsid w:val="00E51A66"/>
    <w:rsid w:val="00E5415A"/>
    <w:rsid w:val="00E5487E"/>
    <w:rsid w:val="00E54C30"/>
    <w:rsid w:val="00E55349"/>
    <w:rsid w:val="00E55557"/>
    <w:rsid w:val="00E61F7F"/>
    <w:rsid w:val="00E62ED2"/>
    <w:rsid w:val="00E6353D"/>
    <w:rsid w:val="00E658A1"/>
    <w:rsid w:val="00E671FC"/>
    <w:rsid w:val="00E7196F"/>
    <w:rsid w:val="00E7397F"/>
    <w:rsid w:val="00E739D4"/>
    <w:rsid w:val="00E75D3B"/>
    <w:rsid w:val="00E76BB5"/>
    <w:rsid w:val="00E76CA1"/>
    <w:rsid w:val="00E76F75"/>
    <w:rsid w:val="00E8198E"/>
    <w:rsid w:val="00E84BB9"/>
    <w:rsid w:val="00E84FA2"/>
    <w:rsid w:val="00E876A0"/>
    <w:rsid w:val="00E928D7"/>
    <w:rsid w:val="00E940D8"/>
    <w:rsid w:val="00E97C4A"/>
    <w:rsid w:val="00EA0448"/>
    <w:rsid w:val="00EB1536"/>
    <w:rsid w:val="00EB1C20"/>
    <w:rsid w:val="00EB2B6A"/>
    <w:rsid w:val="00EB4C46"/>
    <w:rsid w:val="00EC18C3"/>
    <w:rsid w:val="00EC19E1"/>
    <w:rsid w:val="00EC3396"/>
    <w:rsid w:val="00EC598A"/>
    <w:rsid w:val="00EC5F32"/>
    <w:rsid w:val="00EC5F36"/>
    <w:rsid w:val="00EC6E52"/>
    <w:rsid w:val="00ED1554"/>
    <w:rsid w:val="00ED6399"/>
    <w:rsid w:val="00ED7365"/>
    <w:rsid w:val="00ED7FBD"/>
    <w:rsid w:val="00EE0A91"/>
    <w:rsid w:val="00EE28CD"/>
    <w:rsid w:val="00EE45FD"/>
    <w:rsid w:val="00EE5DF0"/>
    <w:rsid w:val="00EE6B58"/>
    <w:rsid w:val="00EF0929"/>
    <w:rsid w:val="00EF10E8"/>
    <w:rsid w:val="00EF34F7"/>
    <w:rsid w:val="00EF3746"/>
    <w:rsid w:val="00EF772D"/>
    <w:rsid w:val="00F05682"/>
    <w:rsid w:val="00F07007"/>
    <w:rsid w:val="00F16914"/>
    <w:rsid w:val="00F17161"/>
    <w:rsid w:val="00F177AC"/>
    <w:rsid w:val="00F20F55"/>
    <w:rsid w:val="00F2227D"/>
    <w:rsid w:val="00F2233A"/>
    <w:rsid w:val="00F23D0F"/>
    <w:rsid w:val="00F2629E"/>
    <w:rsid w:val="00F31D9E"/>
    <w:rsid w:val="00F32626"/>
    <w:rsid w:val="00F32725"/>
    <w:rsid w:val="00F34857"/>
    <w:rsid w:val="00F3653F"/>
    <w:rsid w:val="00F36B57"/>
    <w:rsid w:val="00F434C7"/>
    <w:rsid w:val="00F44A6F"/>
    <w:rsid w:val="00F5504F"/>
    <w:rsid w:val="00F5578A"/>
    <w:rsid w:val="00F63B1C"/>
    <w:rsid w:val="00F63FBE"/>
    <w:rsid w:val="00F66FA8"/>
    <w:rsid w:val="00F71684"/>
    <w:rsid w:val="00F72415"/>
    <w:rsid w:val="00F736A2"/>
    <w:rsid w:val="00F74045"/>
    <w:rsid w:val="00F75245"/>
    <w:rsid w:val="00F75EBF"/>
    <w:rsid w:val="00F76C54"/>
    <w:rsid w:val="00F76F11"/>
    <w:rsid w:val="00F77163"/>
    <w:rsid w:val="00F773B2"/>
    <w:rsid w:val="00F778A1"/>
    <w:rsid w:val="00F80B98"/>
    <w:rsid w:val="00F81B93"/>
    <w:rsid w:val="00F84319"/>
    <w:rsid w:val="00F858A2"/>
    <w:rsid w:val="00F858BA"/>
    <w:rsid w:val="00F86077"/>
    <w:rsid w:val="00F86697"/>
    <w:rsid w:val="00F90494"/>
    <w:rsid w:val="00F90BC0"/>
    <w:rsid w:val="00F92DC8"/>
    <w:rsid w:val="00F933A1"/>
    <w:rsid w:val="00F97F8B"/>
    <w:rsid w:val="00FA0393"/>
    <w:rsid w:val="00FA1F56"/>
    <w:rsid w:val="00FA2ECD"/>
    <w:rsid w:val="00FA49A7"/>
    <w:rsid w:val="00FA5ED6"/>
    <w:rsid w:val="00FA6CF8"/>
    <w:rsid w:val="00FA703B"/>
    <w:rsid w:val="00FB1CB1"/>
    <w:rsid w:val="00FB27F5"/>
    <w:rsid w:val="00FB5C17"/>
    <w:rsid w:val="00FC14D4"/>
    <w:rsid w:val="00FC1C72"/>
    <w:rsid w:val="00FC48BB"/>
    <w:rsid w:val="00FC5060"/>
    <w:rsid w:val="00FC7475"/>
    <w:rsid w:val="00FD00AA"/>
    <w:rsid w:val="00FD0105"/>
    <w:rsid w:val="00FD08A5"/>
    <w:rsid w:val="00FD0B1C"/>
    <w:rsid w:val="00FD2745"/>
    <w:rsid w:val="00FD2D7D"/>
    <w:rsid w:val="00FD7A4A"/>
    <w:rsid w:val="00FE2242"/>
    <w:rsid w:val="00FE41B0"/>
    <w:rsid w:val="00FE63C1"/>
    <w:rsid w:val="00FF6C58"/>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styleId="UnresolvedMention">
    <w:name w:val="Unresolved Mention"/>
    <w:basedOn w:val="DefaultParagraphFont"/>
    <w:uiPriority w:val="99"/>
    <w:semiHidden/>
    <w:unhideWhenUsed/>
    <w:rsid w:val="00117EE7"/>
    <w:rPr>
      <w:color w:val="605E5C"/>
      <w:shd w:val="clear" w:color="auto" w:fill="E1DFDD"/>
    </w:rPr>
  </w:style>
  <w:style w:type="character" w:customStyle="1" w:styleId="CommentTextChar">
    <w:name w:val="Comment Text Char"/>
    <w:basedOn w:val="DefaultParagraphFont"/>
    <w:link w:val="CommentText"/>
    <w:uiPriority w:val="99"/>
    <w:semiHidden/>
    <w:rsid w:val="007B62A5"/>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05607">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24206243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undp-my.sharepoint.com/personal/wegbert_chery_undp_org/Documents/MyComputer/Desktop/PNUD_PRESENT-EMPLOI/M&amp;E_Syst-et-Doc/Donnees%20OSC%20and%20B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ndp-my.sharepoint.com/personal/wegbert_chery_undp_org/Documents/MyComputer/Desktop/PNUD_PRESENT-EMPLOI/M&amp;E_Syst-et-Doc/Donnees%20OSC%20and%20BA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L'offre</a:t>
            </a:r>
            <a:r>
              <a:rPr lang="fr-FR" baseline="0"/>
              <a:t> de service des OSCs et BALs partenaires du projet Acces  </a:t>
            </a:r>
            <a:r>
              <a:rPr lang="en-GB" sz="1400" b="0" i="0" u="none" strike="noStrike" baseline="0">
                <a:effectLst/>
              </a:rPr>
              <a:t>à </a:t>
            </a:r>
            <a:r>
              <a:rPr lang="fr-FR" baseline="0"/>
              <a:t>la Justice</a:t>
            </a:r>
            <a:endParaRPr lang="fr-FR"/>
          </a:p>
        </c:rich>
      </c:tx>
      <c:layout>
        <c:manualLayout>
          <c:xMode val="edge"/>
          <c:yMode val="edge"/>
          <c:x val="0.1069582239720035"/>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9715463577524"/>
          <c:y val="0.32331687727653646"/>
          <c:w val="0.76085914172832869"/>
          <c:h val="0.47263941322403191"/>
        </c:manualLayout>
      </c:layout>
      <c:barChart>
        <c:barDir val="col"/>
        <c:grouping val="stacked"/>
        <c:varyColors val="0"/>
        <c:ser>
          <c:idx val="0"/>
          <c:order val="0"/>
          <c:tx>
            <c:strRef>
              <c:f>Sheet2!$H$24</c:f>
              <c:strCache>
                <c:ptCount val="1"/>
                <c:pt idx="0">
                  <c:v>OSC</c:v>
                </c:pt>
              </c:strCache>
            </c:strRef>
          </c:tx>
          <c:spPr>
            <a:solidFill>
              <a:schemeClr val="accent1"/>
            </a:solidFill>
            <a:ln>
              <a:noFill/>
            </a:ln>
            <a:effectLst/>
          </c:spPr>
          <c:invertIfNegative val="0"/>
          <c:cat>
            <c:strRef>
              <c:f>Sheet2!$G$25:$G$36</c:f>
              <c:strCache>
                <c:ptCount val="12"/>
                <c:pt idx="0">
                  <c:v>Jun-21</c:v>
                </c:pt>
                <c:pt idx="1">
                  <c:v>Juillet 2021</c:v>
                </c:pt>
                <c:pt idx="2">
                  <c:v>Aout 2021</c:v>
                </c:pt>
                <c:pt idx="3">
                  <c:v>Sep-21</c:v>
                </c:pt>
                <c:pt idx="4">
                  <c:v>Oct-21</c:v>
                </c:pt>
                <c:pt idx="5">
                  <c:v>Nov-21</c:v>
                </c:pt>
                <c:pt idx="6">
                  <c:v>Dec-21</c:v>
                </c:pt>
                <c:pt idx="7">
                  <c:v>Jan-22</c:v>
                </c:pt>
                <c:pt idx="8">
                  <c:v>Fevrier 2022</c:v>
                </c:pt>
                <c:pt idx="9">
                  <c:v>Mar-22</c:v>
                </c:pt>
                <c:pt idx="10">
                  <c:v>Avril 2022 </c:v>
                </c:pt>
                <c:pt idx="11">
                  <c:v>Mai 2022</c:v>
                </c:pt>
              </c:strCache>
            </c:strRef>
          </c:cat>
          <c:val>
            <c:numRef>
              <c:f>Sheet2!$H$25:$H$36</c:f>
              <c:numCache>
                <c:formatCode>General</c:formatCode>
                <c:ptCount val="12"/>
                <c:pt idx="0">
                  <c:v>0</c:v>
                </c:pt>
                <c:pt idx="1">
                  <c:v>29</c:v>
                </c:pt>
                <c:pt idx="2">
                  <c:v>136</c:v>
                </c:pt>
                <c:pt idx="3">
                  <c:v>134</c:v>
                </c:pt>
                <c:pt idx="4">
                  <c:v>201</c:v>
                </c:pt>
                <c:pt idx="5">
                  <c:v>143</c:v>
                </c:pt>
                <c:pt idx="6">
                  <c:v>125</c:v>
                </c:pt>
                <c:pt idx="7">
                  <c:v>356</c:v>
                </c:pt>
                <c:pt idx="8">
                  <c:v>213</c:v>
                </c:pt>
                <c:pt idx="9">
                  <c:v>166</c:v>
                </c:pt>
                <c:pt idx="10">
                  <c:v>124</c:v>
                </c:pt>
                <c:pt idx="11">
                  <c:v>67</c:v>
                </c:pt>
              </c:numCache>
            </c:numRef>
          </c:val>
          <c:extLst>
            <c:ext xmlns:c16="http://schemas.microsoft.com/office/drawing/2014/chart" uri="{C3380CC4-5D6E-409C-BE32-E72D297353CC}">
              <c16:uniqueId val="{00000000-CB83-4AC0-BB62-8F8EC7E64196}"/>
            </c:ext>
          </c:extLst>
        </c:ser>
        <c:ser>
          <c:idx val="1"/>
          <c:order val="1"/>
          <c:tx>
            <c:strRef>
              <c:f>Sheet2!$I$24</c:f>
              <c:strCache>
                <c:ptCount val="1"/>
                <c:pt idx="0">
                  <c:v>BAL</c:v>
                </c:pt>
              </c:strCache>
            </c:strRef>
          </c:tx>
          <c:spPr>
            <a:solidFill>
              <a:schemeClr val="accent2"/>
            </a:solidFill>
            <a:ln>
              <a:noFill/>
            </a:ln>
            <a:effectLst/>
          </c:spPr>
          <c:invertIfNegative val="0"/>
          <c:cat>
            <c:strRef>
              <c:f>Sheet2!$G$25:$G$36</c:f>
              <c:strCache>
                <c:ptCount val="12"/>
                <c:pt idx="0">
                  <c:v>Jun-21</c:v>
                </c:pt>
                <c:pt idx="1">
                  <c:v>Juillet 2021</c:v>
                </c:pt>
                <c:pt idx="2">
                  <c:v>Aout 2021</c:v>
                </c:pt>
                <c:pt idx="3">
                  <c:v>Sep-21</c:v>
                </c:pt>
                <c:pt idx="4">
                  <c:v>Oct-21</c:v>
                </c:pt>
                <c:pt idx="5">
                  <c:v>Nov-21</c:v>
                </c:pt>
                <c:pt idx="6">
                  <c:v>Dec-21</c:v>
                </c:pt>
                <c:pt idx="7">
                  <c:v>Jan-22</c:v>
                </c:pt>
                <c:pt idx="8">
                  <c:v>Fevrier 2022</c:v>
                </c:pt>
                <c:pt idx="9">
                  <c:v>Mar-22</c:v>
                </c:pt>
                <c:pt idx="10">
                  <c:v>Avril 2022 </c:v>
                </c:pt>
                <c:pt idx="11">
                  <c:v>Mai 2022</c:v>
                </c:pt>
              </c:strCache>
            </c:strRef>
          </c:cat>
          <c:val>
            <c:numRef>
              <c:f>Sheet2!$I$25:$I$36</c:f>
              <c:numCache>
                <c:formatCode>General</c:formatCode>
                <c:ptCount val="12"/>
                <c:pt idx="0">
                  <c:v>21</c:v>
                </c:pt>
                <c:pt idx="1">
                  <c:v>34</c:v>
                </c:pt>
                <c:pt idx="2">
                  <c:v>67</c:v>
                </c:pt>
                <c:pt idx="3">
                  <c:v>73</c:v>
                </c:pt>
                <c:pt idx="4">
                  <c:v>24</c:v>
                </c:pt>
                <c:pt idx="5">
                  <c:v>52</c:v>
                </c:pt>
                <c:pt idx="6">
                  <c:v>135</c:v>
                </c:pt>
                <c:pt idx="7">
                  <c:v>51</c:v>
                </c:pt>
                <c:pt idx="8">
                  <c:v>89</c:v>
                </c:pt>
                <c:pt idx="9">
                  <c:v>86</c:v>
                </c:pt>
                <c:pt idx="10">
                  <c:v>69</c:v>
                </c:pt>
                <c:pt idx="11">
                  <c:v>32</c:v>
                </c:pt>
              </c:numCache>
            </c:numRef>
          </c:val>
          <c:extLst>
            <c:ext xmlns:c16="http://schemas.microsoft.com/office/drawing/2014/chart" uri="{C3380CC4-5D6E-409C-BE32-E72D297353CC}">
              <c16:uniqueId val="{00000001-CB83-4AC0-BB62-8F8EC7E64196}"/>
            </c:ext>
          </c:extLst>
        </c:ser>
        <c:dLbls>
          <c:showLegendKey val="0"/>
          <c:showVal val="0"/>
          <c:showCatName val="0"/>
          <c:showSerName val="0"/>
          <c:showPercent val="0"/>
          <c:showBubbleSize val="0"/>
        </c:dLbls>
        <c:gapWidth val="150"/>
        <c:overlap val="100"/>
        <c:axId val="1665477264"/>
        <c:axId val="1665477680"/>
      </c:barChart>
      <c:catAx>
        <c:axId val="166547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5477680"/>
        <c:crosses val="autoZero"/>
        <c:auto val="1"/>
        <c:lblAlgn val="ctr"/>
        <c:lblOffset val="100"/>
        <c:noMultiLvlLbl val="0"/>
      </c:catAx>
      <c:valAx>
        <c:axId val="1665477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Effectif</a:t>
                </a:r>
                <a:r>
                  <a:rPr lang="fr-FR" baseline="0"/>
                  <a:t> total d'assistance combinee des OSCs et des BALs</a:t>
                </a:r>
                <a:endParaRPr lang="fr-FR"/>
              </a:p>
            </c:rich>
          </c:tx>
          <c:layout>
            <c:manualLayout>
              <c:xMode val="edge"/>
              <c:yMode val="edge"/>
              <c:x val="1.6666666666666666E-2"/>
              <c:y val="0.1489814814814814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547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Evolution</a:t>
            </a:r>
            <a:r>
              <a:rPr lang="fr-FR" baseline="0"/>
              <a:t> de l'assistance focal fournie par les BALs</a:t>
            </a:r>
            <a:endParaRPr lang="fr-FR"/>
          </a:p>
        </c:rich>
      </c:tx>
      <c:layout>
        <c:manualLayout>
          <c:xMode val="edge"/>
          <c:yMode val="edge"/>
          <c:x val="0.10687176602924636"/>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4368953880764902E-2"/>
          <c:y val="0.28956077585737466"/>
          <c:w val="0.80257124295106674"/>
          <c:h val="0.37509850687751162"/>
        </c:manualLayout>
      </c:layout>
      <c:barChart>
        <c:barDir val="col"/>
        <c:grouping val="clustered"/>
        <c:varyColors val="0"/>
        <c:ser>
          <c:idx val="0"/>
          <c:order val="0"/>
          <c:tx>
            <c:strRef>
              <c:f>Sheet1!$C$16</c:f>
              <c:strCache>
                <c:ptCount val="1"/>
                <c:pt idx="0">
                  <c:v>Effectif de personnes que les BALs partenaires du projet ont assiste</c:v>
                </c:pt>
              </c:strCache>
            </c:strRef>
          </c:tx>
          <c:spPr>
            <a:solidFill>
              <a:schemeClr val="accent1"/>
            </a:solidFill>
            <a:ln>
              <a:noFill/>
            </a:ln>
            <a:effectLst/>
          </c:spPr>
          <c:invertIfNegative val="0"/>
          <c:cat>
            <c:numRef>
              <c:f>Sheet1!$D$15:$O$15</c:f>
              <c:numCache>
                <c:formatCode>mmm\-yy</c:formatCode>
                <c:ptCount val="12"/>
                <c:pt idx="0">
                  <c:v>44348</c:v>
                </c:pt>
                <c:pt idx="1">
                  <c:v>44378</c:v>
                </c:pt>
                <c:pt idx="2">
                  <c:v>44409</c:v>
                </c:pt>
                <c:pt idx="3">
                  <c:v>44440</c:v>
                </c:pt>
                <c:pt idx="4">
                  <c:v>44470</c:v>
                </c:pt>
                <c:pt idx="5">
                  <c:v>44501</c:v>
                </c:pt>
                <c:pt idx="6">
                  <c:v>44531</c:v>
                </c:pt>
                <c:pt idx="7">
                  <c:v>44562</c:v>
                </c:pt>
                <c:pt idx="8">
                  <c:v>44593</c:v>
                </c:pt>
                <c:pt idx="9">
                  <c:v>44621</c:v>
                </c:pt>
                <c:pt idx="10">
                  <c:v>44652</c:v>
                </c:pt>
                <c:pt idx="11">
                  <c:v>44682</c:v>
                </c:pt>
              </c:numCache>
            </c:numRef>
          </c:cat>
          <c:val>
            <c:numRef>
              <c:f>Sheet1!$D$16:$O$16</c:f>
              <c:numCache>
                <c:formatCode>General</c:formatCode>
                <c:ptCount val="12"/>
                <c:pt idx="0">
                  <c:v>15</c:v>
                </c:pt>
                <c:pt idx="1">
                  <c:v>18</c:v>
                </c:pt>
                <c:pt idx="2">
                  <c:v>10</c:v>
                </c:pt>
                <c:pt idx="3">
                  <c:v>27</c:v>
                </c:pt>
                <c:pt idx="4">
                  <c:v>8</c:v>
                </c:pt>
                <c:pt idx="5">
                  <c:v>60</c:v>
                </c:pt>
                <c:pt idx="6">
                  <c:v>86</c:v>
                </c:pt>
                <c:pt idx="7">
                  <c:v>51</c:v>
                </c:pt>
                <c:pt idx="8">
                  <c:v>82</c:v>
                </c:pt>
                <c:pt idx="9">
                  <c:v>73</c:v>
                </c:pt>
                <c:pt idx="10">
                  <c:v>69</c:v>
                </c:pt>
                <c:pt idx="11">
                  <c:v>32</c:v>
                </c:pt>
              </c:numCache>
            </c:numRef>
          </c:val>
          <c:extLst>
            <c:ext xmlns:c16="http://schemas.microsoft.com/office/drawing/2014/chart" uri="{C3380CC4-5D6E-409C-BE32-E72D297353CC}">
              <c16:uniqueId val="{00000000-B687-44DA-8E31-FE82FF6C5EBC}"/>
            </c:ext>
          </c:extLst>
        </c:ser>
        <c:ser>
          <c:idx val="1"/>
          <c:order val="1"/>
          <c:tx>
            <c:strRef>
              <c:f>Sheet1!$C$17</c:f>
              <c:strCache>
                <c:ptCount val="1"/>
                <c:pt idx="0">
                  <c:v>Nombre de personnes qui ont recouvre leur liberte via les BALs assiste par le projet</c:v>
                </c:pt>
              </c:strCache>
            </c:strRef>
          </c:tx>
          <c:spPr>
            <a:solidFill>
              <a:schemeClr val="accent2"/>
            </a:solidFill>
            <a:ln>
              <a:noFill/>
            </a:ln>
            <a:effectLst/>
          </c:spPr>
          <c:invertIfNegative val="0"/>
          <c:cat>
            <c:numRef>
              <c:f>Sheet1!$D$15:$O$15</c:f>
              <c:numCache>
                <c:formatCode>mmm\-yy</c:formatCode>
                <c:ptCount val="12"/>
                <c:pt idx="0">
                  <c:v>44348</c:v>
                </c:pt>
                <c:pt idx="1">
                  <c:v>44378</c:v>
                </c:pt>
                <c:pt idx="2">
                  <c:v>44409</c:v>
                </c:pt>
                <c:pt idx="3">
                  <c:v>44440</c:v>
                </c:pt>
                <c:pt idx="4">
                  <c:v>44470</c:v>
                </c:pt>
                <c:pt idx="5">
                  <c:v>44501</c:v>
                </c:pt>
                <c:pt idx="6">
                  <c:v>44531</c:v>
                </c:pt>
                <c:pt idx="7">
                  <c:v>44562</c:v>
                </c:pt>
                <c:pt idx="8">
                  <c:v>44593</c:v>
                </c:pt>
                <c:pt idx="9">
                  <c:v>44621</c:v>
                </c:pt>
                <c:pt idx="10">
                  <c:v>44652</c:v>
                </c:pt>
                <c:pt idx="11">
                  <c:v>44682</c:v>
                </c:pt>
              </c:numCache>
            </c:numRef>
          </c:cat>
          <c:val>
            <c:numRef>
              <c:f>Sheet1!$D$17:$O$17</c:f>
              <c:numCache>
                <c:formatCode>General</c:formatCode>
                <c:ptCount val="12"/>
                <c:pt idx="0">
                  <c:v>6</c:v>
                </c:pt>
                <c:pt idx="1">
                  <c:v>5</c:v>
                </c:pt>
                <c:pt idx="2">
                  <c:v>3</c:v>
                </c:pt>
                <c:pt idx="3">
                  <c:v>7</c:v>
                </c:pt>
                <c:pt idx="4">
                  <c:v>5</c:v>
                </c:pt>
                <c:pt idx="5">
                  <c:v>26</c:v>
                </c:pt>
                <c:pt idx="6">
                  <c:v>59</c:v>
                </c:pt>
                <c:pt idx="7">
                  <c:v>18</c:v>
                </c:pt>
                <c:pt idx="8">
                  <c:v>23</c:v>
                </c:pt>
                <c:pt idx="9">
                  <c:v>21</c:v>
                </c:pt>
                <c:pt idx="10">
                  <c:v>28</c:v>
                </c:pt>
                <c:pt idx="11">
                  <c:v>14</c:v>
                </c:pt>
              </c:numCache>
            </c:numRef>
          </c:val>
          <c:extLst>
            <c:ext xmlns:c16="http://schemas.microsoft.com/office/drawing/2014/chart" uri="{C3380CC4-5D6E-409C-BE32-E72D297353CC}">
              <c16:uniqueId val="{00000001-B687-44DA-8E31-FE82FF6C5EBC}"/>
            </c:ext>
          </c:extLst>
        </c:ser>
        <c:dLbls>
          <c:showLegendKey val="0"/>
          <c:showVal val="0"/>
          <c:showCatName val="0"/>
          <c:showSerName val="0"/>
          <c:showPercent val="0"/>
          <c:showBubbleSize val="0"/>
        </c:dLbls>
        <c:gapWidth val="219"/>
        <c:overlap val="-27"/>
        <c:axId val="246874767"/>
        <c:axId val="246883087"/>
      </c:barChart>
      <c:dateAx>
        <c:axId val="246874767"/>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883087"/>
        <c:crosses val="autoZero"/>
        <c:auto val="1"/>
        <c:lblOffset val="100"/>
        <c:baseTimeUnit val="months"/>
      </c:dateAx>
      <c:valAx>
        <c:axId val="2468830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874767"/>
        <c:crosses val="autoZero"/>
        <c:crossBetween val="between"/>
      </c:valAx>
      <c:spPr>
        <a:noFill/>
        <a:ln>
          <a:noFill/>
        </a:ln>
        <a:effectLst/>
      </c:spPr>
    </c:plotArea>
    <c:legend>
      <c:legendPos val="b"/>
      <c:layout>
        <c:manualLayout>
          <c:xMode val="edge"/>
          <c:yMode val="edge"/>
          <c:x val="8.5368883345027416E-2"/>
          <c:y val="0.87136798771522861"/>
          <c:w val="0.77117621683428195"/>
          <c:h val="9.543699153788345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3" ma:contentTypeDescription="Create a new document." ma:contentTypeScope="" ma:versionID="da8c33939efa5c43b02908b32783e736">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b2b254741074fb966c689f6e7f8fd6d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4.xml><?xml version="1.0" encoding="utf-8"?>
<ds:datastoreItem xmlns:ds="http://schemas.openxmlformats.org/officeDocument/2006/customXml" ds:itemID="{E648A56D-1DE8-4200-8240-DC8D00A95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9376</Words>
  <Characters>53449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62700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Tony Kouemo</cp:lastModifiedBy>
  <cp:revision>2</cp:revision>
  <cp:lastPrinted>2014-02-10T17:12:00Z</cp:lastPrinted>
  <dcterms:created xsi:type="dcterms:W3CDTF">2022-06-13T14:25:00Z</dcterms:created>
  <dcterms:modified xsi:type="dcterms:W3CDTF">2022-06-13T14:25:00Z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