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1D6AFD" w:rsidRDefault="00E76CA1" w:rsidP="00826923">
      <w:pPr>
        <w:rPr>
          <w:b/>
        </w:rPr>
      </w:pPr>
    </w:p>
    <w:p w14:paraId="1C839BA4" w14:textId="77777777" w:rsidR="000F43A8" w:rsidRPr="001D6AFD" w:rsidRDefault="00B12FB8" w:rsidP="00826923">
      <w:pPr>
        <w:numPr>
          <w:ilvl w:val="12"/>
          <w:numId w:val="0"/>
        </w:numPr>
        <w:tabs>
          <w:tab w:val="left" w:pos="0"/>
        </w:tabs>
        <w:suppressAutoHyphens/>
        <w:rPr>
          <w:b/>
          <w:bCs/>
          <w:caps/>
        </w:rPr>
      </w:pPr>
      <w:r w:rsidRPr="001D6AFD">
        <w:rPr>
          <w:spacing w:val="-3"/>
        </w:rPr>
        <w:t xml:space="preserve"> </w:t>
      </w:r>
      <w:r w:rsidRPr="001D6AFD">
        <w:rPr>
          <w:spacing w:val="-3"/>
        </w:rPr>
        <w:tab/>
      </w:r>
      <w:r w:rsidRPr="001D6AFD">
        <w:rPr>
          <w:spacing w:val="-3"/>
        </w:rPr>
        <w:tab/>
      </w:r>
      <w:r w:rsidR="00ED6399" w:rsidRPr="001D6AFD">
        <w:rPr>
          <w:spacing w:val="-3"/>
        </w:rPr>
        <w:tab/>
      </w:r>
      <w:r w:rsidR="000F43A8" w:rsidRPr="001D6AFD">
        <w:rPr>
          <w:b/>
        </w:rPr>
        <w:t>RAPPORT DE PROGRES DE PROJET PBF</w:t>
      </w:r>
    </w:p>
    <w:p w14:paraId="7FF6AF87" w14:textId="61316343" w:rsidR="000F43A8" w:rsidRPr="001D6AFD" w:rsidRDefault="000F43A8" w:rsidP="000F43A8">
      <w:pPr>
        <w:jc w:val="center"/>
        <w:rPr>
          <w:b/>
          <w:bCs/>
          <w:caps/>
        </w:rPr>
      </w:pPr>
      <w:proofErr w:type="gramStart"/>
      <w:r w:rsidRPr="001D6AFD">
        <w:rPr>
          <w:b/>
          <w:bCs/>
          <w:caps/>
        </w:rPr>
        <w:t>PAYS:</w:t>
      </w:r>
      <w:proofErr w:type="gramEnd"/>
      <w:r w:rsidRPr="001D6AFD">
        <w:rPr>
          <w:bCs/>
          <w:iCs/>
          <w:snapToGrid w:val="0"/>
          <w:szCs w:val="28"/>
        </w:rPr>
        <w:t xml:space="preserve"> </w:t>
      </w:r>
      <w:r w:rsidR="002C10AB" w:rsidRPr="001D6AFD">
        <w:rPr>
          <w:bCs/>
          <w:iCs/>
          <w:snapToGrid w:val="0"/>
          <w:szCs w:val="28"/>
        </w:rPr>
        <w:t>Haïti</w:t>
      </w:r>
    </w:p>
    <w:p w14:paraId="35B8BCCA" w14:textId="000AFE73" w:rsidR="000F43A8" w:rsidRPr="001D6AFD" w:rsidRDefault="000F43A8" w:rsidP="000F43A8">
      <w:pPr>
        <w:jc w:val="center"/>
        <w:rPr>
          <w:b/>
          <w:bCs/>
          <w:caps/>
          <w:sz w:val="22"/>
          <w:szCs w:val="22"/>
        </w:rPr>
      </w:pPr>
      <w:r w:rsidRPr="001D6AFD">
        <w:rPr>
          <w:b/>
          <w:bCs/>
          <w:caps/>
          <w:sz w:val="22"/>
          <w:szCs w:val="22"/>
        </w:rPr>
        <w:t xml:space="preserve">TYPE DE </w:t>
      </w:r>
      <w:proofErr w:type="gramStart"/>
      <w:r w:rsidRPr="001D6AFD">
        <w:rPr>
          <w:b/>
          <w:bCs/>
          <w:caps/>
          <w:sz w:val="22"/>
          <w:szCs w:val="22"/>
        </w:rPr>
        <w:t>RAPPORT:</w:t>
      </w:r>
      <w:proofErr w:type="gramEnd"/>
      <w:r w:rsidRPr="001D6AFD">
        <w:rPr>
          <w:b/>
          <w:bCs/>
          <w:caps/>
          <w:sz w:val="22"/>
          <w:szCs w:val="22"/>
        </w:rPr>
        <w:t xml:space="preserve"> SEMESTRIEL, annuEl OU FINAL</w:t>
      </w:r>
      <w:r w:rsidR="001948EA" w:rsidRPr="001D6AFD">
        <w:rPr>
          <w:b/>
          <w:bCs/>
          <w:caps/>
          <w:sz w:val="22"/>
          <w:szCs w:val="22"/>
        </w:rPr>
        <w:t> :</w:t>
      </w:r>
      <w:r w:rsidR="002C10AB" w:rsidRPr="001D6AFD">
        <w:rPr>
          <w:b/>
          <w:sz w:val="22"/>
          <w:szCs w:val="22"/>
        </w:rPr>
        <w:t>Annuel</w:t>
      </w:r>
    </w:p>
    <w:p w14:paraId="0B2F56D8" w14:textId="262EB5FF" w:rsidR="000554F8" w:rsidRPr="001D6AFD" w:rsidRDefault="00500587" w:rsidP="000F43A8">
      <w:pPr>
        <w:jc w:val="center"/>
        <w:rPr>
          <w:bCs/>
          <w:iCs/>
          <w:snapToGrid w:val="0"/>
          <w:szCs w:val="28"/>
        </w:rPr>
      </w:pPr>
      <w:r w:rsidRPr="001D6AFD">
        <w:rPr>
          <w:b/>
          <w:bCs/>
          <w:caps/>
        </w:rPr>
        <w:t>ANNEE</w:t>
      </w:r>
      <w:r w:rsidR="000F43A8" w:rsidRPr="001D6AFD">
        <w:rPr>
          <w:b/>
          <w:bCs/>
          <w:caps/>
        </w:rPr>
        <w:t xml:space="preserve"> DE </w:t>
      </w:r>
      <w:proofErr w:type="gramStart"/>
      <w:r w:rsidR="000F43A8" w:rsidRPr="001D6AFD">
        <w:rPr>
          <w:b/>
          <w:bCs/>
          <w:caps/>
        </w:rPr>
        <w:t>RAPPORT:</w:t>
      </w:r>
      <w:proofErr w:type="gramEnd"/>
      <w:r w:rsidR="000F43A8" w:rsidRPr="001D6AFD">
        <w:rPr>
          <w:b/>
          <w:bCs/>
          <w:caps/>
        </w:rPr>
        <w:t xml:space="preserve"> </w:t>
      </w:r>
      <w:r w:rsidR="002C10AB" w:rsidRPr="001D6AFD">
        <w:rPr>
          <w:bCs/>
          <w:iCs/>
          <w:snapToGrid w:val="0"/>
          <w:szCs w:val="28"/>
        </w:rPr>
        <w:t>2021</w:t>
      </w:r>
    </w:p>
    <w:p w14:paraId="32235E8F" w14:textId="77777777" w:rsidR="000F43A8" w:rsidRPr="001D6AFD"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4716B" w14:paraId="26E9F2DE" w14:textId="77777777" w:rsidTr="00F23D0F">
        <w:trPr>
          <w:trHeight w:val="422"/>
        </w:trPr>
        <w:tc>
          <w:tcPr>
            <w:tcW w:w="10080" w:type="dxa"/>
            <w:gridSpan w:val="2"/>
          </w:tcPr>
          <w:p w14:paraId="11EF4F5F" w14:textId="17DC0CA2" w:rsidR="000F43A8" w:rsidRPr="001D6AFD" w:rsidRDefault="000F43A8" w:rsidP="000F43A8">
            <w:pPr>
              <w:pStyle w:val="BalloonText"/>
              <w:numPr>
                <w:ilvl w:val="12"/>
                <w:numId w:val="0"/>
              </w:numPr>
              <w:tabs>
                <w:tab w:val="left" w:pos="-720"/>
                <w:tab w:val="left" w:pos="4500"/>
              </w:tabs>
              <w:suppressAutoHyphens/>
              <w:rPr>
                <w:rFonts w:ascii="Times New Roman" w:hAnsi="Times New Roman" w:cs="Times New Roman"/>
                <w:b/>
                <w:sz w:val="24"/>
                <w:szCs w:val="24"/>
              </w:rPr>
            </w:pPr>
            <w:r w:rsidRPr="001D6AFD">
              <w:rPr>
                <w:rFonts w:ascii="Times New Roman" w:hAnsi="Times New Roman" w:cs="Times New Roman"/>
                <w:b/>
                <w:sz w:val="24"/>
                <w:szCs w:val="24"/>
              </w:rPr>
              <w:t xml:space="preserve">Titre du </w:t>
            </w:r>
            <w:proofErr w:type="gramStart"/>
            <w:r w:rsidRPr="001D6AFD">
              <w:rPr>
                <w:rFonts w:ascii="Times New Roman" w:hAnsi="Times New Roman" w:cs="Times New Roman"/>
                <w:b/>
                <w:sz w:val="24"/>
                <w:szCs w:val="24"/>
              </w:rPr>
              <w:t>projet:</w:t>
            </w:r>
            <w:proofErr w:type="gramEnd"/>
            <w:r w:rsidRPr="001D6AFD">
              <w:rPr>
                <w:rFonts w:ascii="Times New Roman" w:hAnsi="Times New Roman" w:cs="Times New Roman"/>
                <w:b/>
                <w:sz w:val="24"/>
                <w:szCs w:val="24"/>
              </w:rPr>
              <w:t xml:space="preserve"> </w:t>
            </w:r>
            <w:r w:rsidR="002C10AB" w:rsidRPr="001D6AFD">
              <w:rPr>
                <w:rFonts w:ascii="Times New Roman" w:hAnsi="Times New Roman" w:cs="Times New Roman"/>
                <w:bCs/>
                <w:iCs/>
                <w:snapToGrid w:val="0"/>
                <w:sz w:val="24"/>
                <w:szCs w:val="24"/>
              </w:rPr>
              <w:t>Appui à la Coordination et au Suivi des Projets du Fonds pour la Consolidation de la Paix (PBF) en Haïti</w:t>
            </w:r>
          </w:p>
          <w:p w14:paraId="24C4A490" w14:textId="694DFE5A" w:rsidR="00793DE6" w:rsidRPr="001D6AFD" w:rsidRDefault="000F43A8" w:rsidP="000F43A8">
            <w:pPr>
              <w:rPr>
                <w:b/>
                <w:lang w:val="en-US"/>
              </w:rPr>
            </w:pPr>
            <w:proofErr w:type="spellStart"/>
            <w:r w:rsidRPr="001D6AFD">
              <w:rPr>
                <w:b/>
                <w:lang w:val="en-US"/>
              </w:rPr>
              <w:t>Numéro</w:t>
            </w:r>
            <w:proofErr w:type="spellEnd"/>
            <w:r w:rsidRPr="001D6AFD">
              <w:rPr>
                <w:b/>
                <w:lang w:val="en-US"/>
              </w:rPr>
              <w:t xml:space="preserve"> Projet / MPTF Gateway</w:t>
            </w:r>
            <w:r w:rsidR="00793DE6" w:rsidRPr="001D6AFD">
              <w:rPr>
                <w:b/>
                <w:lang w:val="en-US"/>
              </w:rPr>
              <w:t xml:space="preserve">: </w:t>
            </w:r>
            <w:r w:rsidR="002C10AB" w:rsidRPr="0014716B">
              <w:rPr>
                <w:b/>
                <w:lang w:val="en-US"/>
              </w:rPr>
              <w:t>PRF</w:t>
            </w:r>
            <w:r w:rsidR="00A43B9C" w:rsidRPr="001D6AFD">
              <w:rPr>
                <w:b/>
                <w:lang w:val="en-US"/>
              </w:rPr>
              <w:t xml:space="preserve">   </w:t>
            </w:r>
            <w:r w:rsidR="002C10AB" w:rsidRPr="0014716B">
              <w:rPr>
                <w:b/>
                <w:lang w:val="en-US"/>
              </w:rPr>
              <w:t>00120132</w:t>
            </w:r>
          </w:p>
        </w:tc>
      </w:tr>
      <w:tr w:rsidR="00A43B9C" w:rsidRPr="001D6AFD" w14:paraId="27B16979" w14:textId="77777777" w:rsidTr="00A43B9C">
        <w:trPr>
          <w:trHeight w:val="422"/>
        </w:trPr>
        <w:tc>
          <w:tcPr>
            <w:tcW w:w="4163" w:type="dxa"/>
          </w:tcPr>
          <w:p w14:paraId="7816FE38" w14:textId="77777777" w:rsidR="000F43A8" w:rsidRPr="001D6AFD" w:rsidRDefault="000F43A8" w:rsidP="000F43A8">
            <w:pPr>
              <w:pStyle w:val="BalloonText"/>
              <w:numPr>
                <w:ilvl w:val="12"/>
                <w:numId w:val="0"/>
              </w:numPr>
              <w:tabs>
                <w:tab w:val="left" w:pos="-720"/>
                <w:tab w:val="left" w:pos="4500"/>
              </w:tabs>
              <w:rPr>
                <w:rFonts w:ascii="Times New Roman" w:hAnsi="Times New Roman" w:cs="Times New Roman"/>
                <w:b/>
                <w:sz w:val="24"/>
                <w:szCs w:val="24"/>
              </w:rPr>
            </w:pPr>
            <w:r w:rsidRPr="001D6AFD">
              <w:rPr>
                <w:rFonts w:ascii="Times New Roman" w:hAnsi="Times New Roman" w:cs="Times New Roman"/>
                <w:b/>
                <w:sz w:val="24"/>
                <w:szCs w:val="24"/>
              </w:rPr>
              <w:t xml:space="preserve">Si le financement passe par un Fonds Fiduciaire (“Trust </w:t>
            </w:r>
            <w:proofErr w:type="spellStart"/>
            <w:r w:rsidRPr="001D6AFD">
              <w:rPr>
                <w:rFonts w:ascii="Times New Roman" w:hAnsi="Times New Roman" w:cs="Times New Roman"/>
                <w:b/>
                <w:sz w:val="24"/>
                <w:szCs w:val="24"/>
              </w:rPr>
              <w:t>fund</w:t>
            </w:r>
            <w:proofErr w:type="spellEnd"/>
            <w:r w:rsidRPr="001D6AFD">
              <w:rPr>
                <w:rFonts w:ascii="Times New Roman" w:hAnsi="Times New Roman" w:cs="Times New Roman"/>
                <w:b/>
                <w:sz w:val="24"/>
                <w:szCs w:val="24"/>
              </w:rPr>
              <w:t>”</w:t>
            </w:r>
            <w:proofErr w:type="gramStart"/>
            <w:r w:rsidRPr="001D6AFD">
              <w:rPr>
                <w:rFonts w:ascii="Times New Roman" w:hAnsi="Times New Roman" w:cs="Times New Roman"/>
                <w:b/>
                <w:sz w:val="24"/>
                <w:szCs w:val="24"/>
              </w:rPr>
              <w:t>):</w:t>
            </w:r>
            <w:proofErr w:type="gramEnd"/>
            <w:r w:rsidRPr="001D6AFD">
              <w:rPr>
                <w:rFonts w:ascii="Times New Roman" w:hAnsi="Times New Roman" w:cs="Times New Roman"/>
                <w:b/>
                <w:sz w:val="24"/>
                <w:szCs w:val="24"/>
              </w:rPr>
              <w:t xml:space="preserve"> </w:t>
            </w:r>
          </w:p>
          <w:p w14:paraId="2523A6CD" w14:textId="77777777" w:rsidR="000F43A8" w:rsidRPr="001D6AFD" w:rsidRDefault="000F43A8" w:rsidP="000F43A8">
            <w:pPr>
              <w:tabs>
                <w:tab w:val="left" w:pos="0"/>
              </w:tabs>
              <w:suppressAutoHyphens/>
              <w:rPr>
                <w:b/>
                <w:spacing w:val="-3"/>
              </w:rPr>
            </w:pPr>
            <w:r w:rsidRPr="001D6AFD">
              <w:fldChar w:fldCharType="begin">
                <w:ffData>
                  <w:name w:val="Check1"/>
                  <w:enabled/>
                  <w:calcOnExit w:val="0"/>
                  <w:checkBox>
                    <w:sizeAuto/>
                    <w:default w:val="0"/>
                  </w:checkBox>
                </w:ffData>
              </w:fldChar>
            </w:r>
            <w:r w:rsidRPr="001D6AFD">
              <w:instrText xml:space="preserve"> FORMCHECKBOX </w:instrText>
            </w:r>
            <w:r w:rsidR="001714C9">
              <w:fldChar w:fldCharType="separate"/>
            </w:r>
            <w:r w:rsidRPr="001D6AFD">
              <w:fldChar w:fldCharType="end"/>
            </w:r>
            <w:r w:rsidRPr="001D6AFD">
              <w:tab/>
            </w:r>
            <w:r w:rsidRPr="001D6AFD">
              <w:tab/>
            </w:r>
            <w:r w:rsidRPr="001D6AFD">
              <w:rPr>
                <w:spacing w:val="-3"/>
              </w:rPr>
              <w:t>Fonds fiduciaire pays</w:t>
            </w:r>
            <w:r w:rsidRPr="001D6AFD">
              <w:rPr>
                <w:b/>
                <w:spacing w:val="-3"/>
              </w:rPr>
              <w:t xml:space="preserve"> </w:t>
            </w:r>
          </w:p>
          <w:p w14:paraId="63C2D512" w14:textId="77777777" w:rsidR="000F43A8" w:rsidRPr="001D6AFD" w:rsidRDefault="000F43A8" w:rsidP="000F43A8">
            <w:pPr>
              <w:tabs>
                <w:tab w:val="left" w:pos="0"/>
              </w:tabs>
              <w:suppressAutoHyphens/>
              <w:rPr>
                <w:b/>
              </w:rPr>
            </w:pPr>
            <w:r w:rsidRPr="001D6AFD">
              <w:fldChar w:fldCharType="begin">
                <w:ffData>
                  <w:name w:val="Check1"/>
                  <w:enabled/>
                  <w:calcOnExit w:val="0"/>
                  <w:checkBox>
                    <w:sizeAuto/>
                    <w:default w:val="0"/>
                  </w:checkBox>
                </w:ffData>
              </w:fldChar>
            </w:r>
            <w:r w:rsidRPr="001D6AFD">
              <w:instrText xml:space="preserve"> FORMCHECKBOX </w:instrText>
            </w:r>
            <w:r w:rsidR="001714C9">
              <w:fldChar w:fldCharType="separate"/>
            </w:r>
            <w:r w:rsidRPr="001D6AFD">
              <w:fldChar w:fldCharType="end"/>
            </w:r>
            <w:r w:rsidRPr="001D6AFD">
              <w:tab/>
            </w:r>
            <w:r w:rsidRPr="001D6AFD">
              <w:tab/>
              <w:t>Fonds fiduciaire régional</w:t>
            </w:r>
            <w:r w:rsidRPr="001D6AFD">
              <w:rPr>
                <w:b/>
              </w:rPr>
              <w:t xml:space="preserve"> </w:t>
            </w:r>
          </w:p>
          <w:p w14:paraId="44750222" w14:textId="77777777" w:rsidR="000F43A8" w:rsidRPr="001D6AFD" w:rsidRDefault="000F43A8" w:rsidP="000F43A8">
            <w:pPr>
              <w:tabs>
                <w:tab w:val="left" w:pos="0"/>
              </w:tabs>
              <w:suppressAutoHyphens/>
              <w:rPr>
                <w:b/>
              </w:rPr>
            </w:pPr>
          </w:p>
          <w:p w14:paraId="57DFB016" w14:textId="77777777" w:rsidR="000F43A8" w:rsidRPr="001D6AFD" w:rsidRDefault="000F43A8" w:rsidP="000F43A8">
            <w:pPr>
              <w:pStyle w:val="BalloonText"/>
              <w:numPr>
                <w:ilvl w:val="12"/>
                <w:numId w:val="0"/>
              </w:numPr>
              <w:tabs>
                <w:tab w:val="left" w:pos="-720"/>
                <w:tab w:val="left" w:pos="4500"/>
              </w:tabs>
              <w:rPr>
                <w:rFonts w:ascii="Times New Roman" w:hAnsi="Times New Roman" w:cs="Times New Roman"/>
                <w:b/>
                <w:sz w:val="24"/>
                <w:szCs w:val="24"/>
              </w:rPr>
            </w:pPr>
            <w:r w:rsidRPr="001D6AFD">
              <w:rPr>
                <w:rFonts w:ascii="Times New Roman" w:hAnsi="Times New Roman" w:cs="Times New Roman"/>
                <w:b/>
                <w:sz w:val="24"/>
                <w:szCs w:val="24"/>
              </w:rPr>
              <w:t xml:space="preserve">Nom du fonds </w:t>
            </w:r>
            <w:proofErr w:type="gramStart"/>
            <w:r w:rsidRPr="001D6AFD">
              <w:rPr>
                <w:rFonts w:ascii="Times New Roman" w:hAnsi="Times New Roman" w:cs="Times New Roman"/>
                <w:b/>
                <w:sz w:val="24"/>
                <w:szCs w:val="24"/>
              </w:rPr>
              <w:t>fiduciaire:</w:t>
            </w:r>
            <w:proofErr w:type="gramEnd"/>
            <w:r w:rsidRPr="001D6AFD">
              <w:rPr>
                <w:rFonts w:ascii="Times New Roman" w:hAnsi="Times New Roman" w:cs="Times New Roman"/>
                <w:b/>
                <w:sz w:val="24"/>
                <w:szCs w:val="24"/>
              </w:rPr>
              <w:t xml:space="preserve"> </w:t>
            </w:r>
            <w:r w:rsidR="005D5A4A" w:rsidRPr="001D6AFD">
              <w:rPr>
                <w:rFonts w:ascii="Times New Roman" w:hAnsi="Times New Roman" w:cs="Times New Roman"/>
                <w:bCs/>
                <w:iCs/>
                <w:snapToGrid w:val="0"/>
                <w:szCs w:val="28"/>
              </w:rPr>
              <w:fldChar w:fldCharType="begin">
                <w:ffData>
                  <w:name w:val=""/>
                  <w:enabled/>
                  <w:calcOnExit w:val="0"/>
                  <w:textInput>
                    <w:format w:val="FIRST CAPITAL"/>
                  </w:textInput>
                </w:ffData>
              </w:fldChar>
            </w:r>
            <w:r w:rsidR="005D5A4A" w:rsidRPr="001D6AFD">
              <w:rPr>
                <w:rFonts w:ascii="Times New Roman" w:hAnsi="Times New Roman" w:cs="Times New Roman"/>
                <w:bCs/>
                <w:iCs/>
                <w:snapToGrid w:val="0"/>
                <w:szCs w:val="28"/>
              </w:rPr>
              <w:instrText xml:space="preserve"> FORMTEXT </w:instrText>
            </w:r>
            <w:r w:rsidR="005D5A4A" w:rsidRPr="001D6AFD">
              <w:rPr>
                <w:rFonts w:ascii="Times New Roman" w:hAnsi="Times New Roman" w:cs="Times New Roman"/>
                <w:bCs/>
                <w:iCs/>
                <w:snapToGrid w:val="0"/>
                <w:szCs w:val="28"/>
              </w:rPr>
            </w:r>
            <w:r w:rsidR="005D5A4A" w:rsidRPr="001D6AFD">
              <w:rPr>
                <w:rFonts w:ascii="Times New Roman" w:hAnsi="Times New Roman" w:cs="Times New Roman"/>
                <w:bCs/>
                <w:iCs/>
                <w:snapToGrid w:val="0"/>
                <w:szCs w:val="28"/>
              </w:rPr>
              <w:fldChar w:fldCharType="separate"/>
            </w:r>
            <w:r w:rsidR="005D5A4A" w:rsidRPr="001D6AFD">
              <w:rPr>
                <w:rFonts w:ascii="Times New Roman" w:hAnsi="Times New Roman" w:cs="Times New Roman"/>
                <w:bCs/>
                <w:iCs/>
                <w:noProof/>
                <w:snapToGrid w:val="0"/>
                <w:szCs w:val="28"/>
              </w:rPr>
              <w:t> </w:t>
            </w:r>
            <w:r w:rsidR="005D5A4A" w:rsidRPr="001D6AFD">
              <w:rPr>
                <w:rFonts w:ascii="Times New Roman" w:hAnsi="Times New Roman" w:cs="Times New Roman"/>
                <w:bCs/>
                <w:iCs/>
                <w:noProof/>
                <w:snapToGrid w:val="0"/>
                <w:szCs w:val="28"/>
              </w:rPr>
              <w:t> </w:t>
            </w:r>
            <w:r w:rsidR="005D5A4A" w:rsidRPr="001D6AFD">
              <w:rPr>
                <w:rFonts w:ascii="Times New Roman" w:hAnsi="Times New Roman" w:cs="Times New Roman"/>
                <w:bCs/>
                <w:iCs/>
                <w:noProof/>
                <w:snapToGrid w:val="0"/>
                <w:szCs w:val="28"/>
              </w:rPr>
              <w:t> </w:t>
            </w:r>
            <w:r w:rsidR="005D5A4A" w:rsidRPr="001D6AFD">
              <w:rPr>
                <w:rFonts w:ascii="Times New Roman" w:hAnsi="Times New Roman" w:cs="Times New Roman"/>
                <w:bCs/>
                <w:iCs/>
                <w:noProof/>
                <w:snapToGrid w:val="0"/>
                <w:szCs w:val="28"/>
              </w:rPr>
              <w:t> </w:t>
            </w:r>
            <w:r w:rsidR="005D5A4A" w:rsidRPr="001D6AFD">
              <w:rPr>
                <w:rFonts w:ascii="Times New Roman" w:hAnsi="Times New Roman" w:cs="Times New Roman"/>
                <w:bCs/>
                <w:iCs/>
                <w:noProof/>
                <w:snapToGrid w:val="0"/>
                <w:szCs w:val="28"/>
              </w:rPr>
              <w:t> </w:t>
            </w:r>
            <w:r w:rsidR="005D5A4A" w:rsidRPr="001D6AFD">
              <w:rPr>
                <w:rFonts w:ascii="Times New Roman" w:hAnsi="Times New Roman" w:cs="Times New Roman"/>
                <w:bCs/>
                <w:iCs/>
                <w:snapToGrid w:val="0"/>
                <w:szCs w:val="28"/>
              </w:rPr>
              <w:fldChar w:fldCharType="end"/>
            </w:r>
          </w:p>
          <w:p w14:paraId="3B731EC0" w14:textId="77777777" w:rsidR="00A43B9C" w:rsidRPr="001D6AFD" w:rsidRDefault="00A43B9C" w:rsidP="00F23D0F">
            <w:pPr>
              <w:tabs>
                <w:tab w:val="left" w:pos="0"/>
              </w:tabs>
              <w:suppressAutoHyphens/>
              <w:jc w:val="both"/>
              <w:rPr>
                <w:b/>
              </w:rPr>
            </w:pPr>
          </w:p>
        </w:tc>
        <w:tc>
          <w:tcPr>
            <w:tcW w:w="5917" w:type="dxa"/>
          </w:tcPr>
          <w:p w14:paraId="4A6F6EA9" w14:textId="77777777" w:rsidR="00A43B9C" w:rsidRPr="001D6AFD" w:rsidRDefault="00A43B9C" w:rsidP="00A43B9C">
            <w:pPr>
              <w:rPr>
                <w:b/>
                <w:bCs/>
                <w:iCs/>
              </w:rPr>
            </w:pPr>
            <w:r w:rsidRPr="001D6AFD">
              <w:rPr>
                <w:b/>
                <w:bCs/>
                <w:iCs/>
              </w:rPr>
              <w:t xml:space="preserve">Type </w:t>
            </w:r>
            <w:r w:rsidR="000F43A8" w:rsidRPr="001D6AFD">
              <w:rPr>
                <w:b/>
                <w:bCs/>
                <w:iCs/>
              </w:rPr>
              <w:t xml:space="preserve">et nom d’agence </w:t>
            </w:r>
            <w:proofErr w:type="gramStart"/>
            <w:r w:rsidR="000F43A8" w:rsidRPr="001D6AFD">
              <w:rPr>
                <w:b/>
                <w:bCs/>
                <w:iCs/>
              </w:rPr>
              <w:t>récipiendaire</w:t>
            </w:r>
            <w:r w:rsidRPr="001D6AFD">
              <w:rPr>
                <w:b/>
                <w:bCs/>
                <w:iCs/>
              </w:rPr>
              <w:t>:</w:t>
            </w:r>
            <w:proofErr w:type="gramEnd"/>
            <w:r w:rsidRPr="001D6AFD">
              <w:rPr>
                <w:b/>
                <w:bCs/>
                <w:iCs/>
              </w:rPr>
              <w:t xml:space="preserve"> </w:t>
            </w:r>
          </w:p>
          <w:p w14:paraId="2FF52B1A" w14:textId="77777777" w:rsidR="00A43B9C" w:rsidRPr="001D6AFD" w:rsidRDefault="00A43B9C" w:rsidP="00A43B9C">
            <w:pPr>
              <w:rPr>
                <w:b/>
                <w:bCs/>
                <w:iCs/>
              </w:rPr>
            </w:pPr>
          </w:p>
          <w:p w14:paraId="6B8358E3" w14:textId="2D835FED" w:rsidR="00A43B9C" w:rsidRPr="001D6AFD" w:rsidRDefault="007C7B57" w:rsidP="00A43B9C">
            <w:pPr>
              <w:pStyle w:val="BalloonText"/>
              <w:numPr>
                <w:ilvl w:val="12"/>
                <w:numId w:val="0"/>
              </w:numPr>
              <w:tabs>
                <w:tab w:val="left" w:pos="-720"/>
                <w:tab w:val="left" w:pos="4500"/>
              </w:tabs>
              <w:rPr>
                <w:rFonts w:ascii="Times New Roman" w:hAnsi="Times New Roman" w:cs="Times New Roman"/>
                <w:b/>
                <w:sz w:val="24"/>
                <w:szCs w:val="24"/>
              </w:rPr>
            </w:pPr>
            <w:r w:rsidRPr="001D6AFD">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1D6AFD">
              <w:rPr>
                <w:rFonts w:ascii="Times New Roman" w:hAnsi="Times New Roman" w:cs="Times New Roman"/>
                <w:b/>
                <w:sz w:val="24"/>
                <w:szCs w:val="24"/>
              </w:rPr>
              <w:instrText xml:space="preserve"> FORMDROPDOWN </w:instrText>
            </w:r>
            <w:r w:rsidR="001714C9">
              <w:rPr>
                <w:rFonts w:ascii="Times New Roman" w:hAnsi="Times New Roman" w:cs="Times New Roman"/>
                <w:b/>
                <w:sz w:val="24"/>
                <w:szCs w:val="24"/>
              </w:rPr>
            </w:r>
            <w:r w:rsidR="001714C9">
              <w:rPr>
                <w:rFonts w:ascii="Times New Roman" w:hAnsi="Times New Roman" w:cs="Times New Roman"/>
                <w:b/>
                <w:sz w:val="24"/>
                <w:szCs w:val="24"/>
              </w:rPr>
              <w:fldChar w:fldCharType="separate"/>
            </w:r>
            <w:r w:rsidRPr="001D6AFD">
              <w:rPr>
                <w:rFonts w:ascii="Times New Roman" w:hAnsi="Times New Roman" w:cs="Times New Roman"/>
                <w:b/>
                <w:sz w:val="24"/>
                <w:szCs w:val="24"/>
              </w:rPr>
              <w:fldChar w:fldCharType="end"/>
            </w:r>
            <w:r w:rsidR="00A43B9C" w:rsidRPr="001D6AFD">
              <w:rPr>
                <w:rFonts w:ascii="Times New Roman" w:hAnsi="Times New Roman" w:cs="Times New Roman"/>
                <w:b/>
                <w:sz w:val="24"/>
                <w:szCs w:val="24"/>
              </w:rPr>
              <w:t xml:space="preserve">     </w:t>
            </w:r>
            <w:proofErr w:type="gramStart"/>
            <w:r w:rsidR="002C10AB" w:rsidRPr="001D6AFD">
              <w:rPr>
                <w:rFonts w:ascii="Times New Roman" w:hAnsi="Times New Roman" w:cs="Times New Roman"/>
                <w:b/>
                <w:sz w:val="24"/>
                <w:szCs w:val="24"/>
              </w:rPr>
              <w:t>PNUD</w:t>
            </w:r>
            <w:r w:rsidR="00A43B9C" w:rsidRPr="001D6AFD">
              <w:rPr>
                <w:rFonts w:ascii="Times New Roman" w:hAnsi="Times New Roman" w:cs="Times New Roman"/>
                <w:b/>
                <w:sz w:val="24"/>
                <w:szCs w:val="24"/>
              </w:rPr>
              <w:t xml:space="preserve">  (</w:t>
            </w:r>
            <w:proofErr w:type="gramEnd"/>
            <w:r w:rsidR="000F43A8" w:rsidRPr="001D6AFD">
              <w:rPr>
                <w:rFonts w:ascii="Times New Roman" w:hAnsi="Times New Roman" w:cs="Times New Roman"/>
                <w:b/>
                <w:sz w:val="24"/>
                <w:szCs w:val="24"/>
              </w:rPr>
              <w:t>Agence coordinatrice</w:t>
            </w:r>
            <w:r w:rsidR="00A43B9C" w:rsidRPr="001D6AFD">
              <w:rPr>
                <w:rFonts w:ascii="Times New Roman" w:hAnsi="Times New Roman" w:cs="Times New Roman"/>
                <w:b/>
                <w:sz w:val="24"/>
                <w:szCs w:val="24"/>
              </w:rPr>
              <w:t>)</w:t>
            </w:r>
          </w:p>
          <w:p w14:paraId="28F5F181" w14:textId="77777777" w:rsidR="00A43B9C" w:rsidRPr="001D6AFD" w:rsidRDefault="00280FEA" w:rsidP="00A43B9C">
            <w:pPr>
              <w:pStyle w:val="BalloonText"/>
              <w:numPr>
                <w:ilvl w:val="12"/>
                <w:numId w:val="0"/>
              </w:numPr>
              <w:tabs>
                <w:tab w:val="left" w:pos="-720"/>
                <w:tab w:val="left" w:pos="4500"/>
              </w:tabs>
              <w:rPr>
                <w:rFonts w:ascii="Times New Roman" w:hAnsi="Times New Roman" w:cs="Times New Roman"/>
                <w:b/>
                <w:sz w:val="24"/>
                <w:szCs w:val="24"/>
              </w:rPr>
            </w:pPr>
            <w:r w:rsidRPr="001D6AFD">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1D6AFD">
              <w:rPr>
                <w:rFonts w:ascii="Times New Roman" w:hAnsi="Times New Roman" w:cs="Times New Roman"/>
                <w:b/>
                <w:sz w:val="24"/>
                <w:szCs w:val="24"/>
              </w:rPr>
              <w:instrText xml:space="preserve"> FORMDROPDOWN </w:instrText>
            </w:r>
            <w:r w:rsidR="001714C9">
              <w:rPr>
                <w:rFonts w:ascii="Times New Roman" w:hAnsi="Times New Roman" w:cs="Times New Roman"/>
                <w:b/>
                <w:sz w:val="24"/>
                <w:szCs w:val="24"/>
              </w:rPr>
            </w:r>
            <w:r w:rsidR="001714C9">
              <w:rPr>
                <w:rFonts w:ascii="Times New Roman" w:hAnsi="Times New Roman" w:cs="Times New Roman"/>
                <w:b/>
                <w:sz w:val="24"/>
                <w:szCs w:val="24"/>
              </w:rPr>
              <w:fldChar w:fldCharType="separate"/>
            </w:r>
            <w:r w:rsidRPr="001D6AFD">
              <w:rPr>
                <w:rFonts w:ascii="Times New Roman" w:hAnsi="Times New Roman" w:cs="Times New Roman"/>
                <w:b/>
                <w:sz w:val="24"/>
                <w:szCs w:val="24"/>
              </w:rPr>
              <w:fldChar w:fldCharType="end"/>
            </w:r>
            <w:r w:rsidR="00A43B9C" w:rsidRPr="001D6AFD">
              <w:rPr>
                <w:rFonts w:ascii="Times New Roman" w:hAnsi="Times New Roman" w:cs="Times New Roman"/>
                <w:b/>
                <w:sz w:val="24"/>
                <w:szCs w:val="24"/>
              </w:rPr>
              <w:t xml:space="preserve">     </w:t>
            </w:r>
            <w:r w:rsidR="00A43B9C" w:rsidRPr="001D6AFD">
              <w:rPr>
                <w:rFonts w:ascii="Times New Roman" w:hAnsi="Times New Roman" w:cs="Times New Roman"/>
                <w:b/>
                <w:sz w:val="24"/>
                <w:szCs w:val="24"/>
              </w:rPr>
              <w:fldChar w:fldCharType="begin">
                <w:ffData>
                  <w:name w:val="Text41"/>
                  <w:enabled/>
                  <w:calcOnExit w:val="0"/>
                  <w:textInput/>
                </w:ffData>
              </w:fldChar>
            </w:r>
            <w:bookmarkStart w:id="0" w:name="Text41"/>
            <w:r w:rsidR="00A43B9C" w:rsidRPr="001D6AFD">
              <w:rPr>
                <w:rFonts w:ascii="Times New Roman" w:hAnsi="Times New Roman" w:cs="Times New Roman"/>
                <w:b/>
                <w:sz w:val="24"/>
                <w:szCs w:val="24"/>
              </w:rPr>
              <w:instrText xml:space="preserve"> FORMTEXT </w:instrText>
            </w:r>
            <w:r w:rsidR="00A43B9C" w:rsidRPr="001D6AFD">
              <w:rPr>
                <w:rFonts w:ascii="Times New Roman" w:hAnsi="Times New Roman" w:cs="Times New Roman"/>
                <w:b/>
                <w:sz w:val="24"/>
                <w:szCs w:val="24"/>
              </w:rPr>
            </w:r>
            <w:r w:rsidR="00A43B9C" w:rsidRPr="001D6AFD">
              <w:rPr>
                <w:rFonts w:ascii="Times New Roman" w:hAnsi="Times New Roman" w:cs="Times New Roman"/>
                <w:b/>
                <w:sz w:val="24"/>
                <w:szCs w:val="24"/>
              </w:rPr>
              <w:fldChar w:fldCharType="separate"/>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sz w:val="24"/>
                <w:szCs w:val="24"/>
              </w:rPr>
              <w:fldChar w:fldCharType="end"/>
            </w:r>
            <w:bookmarkEnd w:id="0"/>
          </w:p>
          <w:p w14:paraId="7E3EB135" w14:textId="77777777" w:rsidR="00A43B9C" w:rsidRPr="001D6AFD"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sidRPr="001D6AFD">
              <w:rPr>
                <w:rFonts w:ascii="Times New Roman" w:hAnsi="Times New Roman" w:cs="Times New Roman"/>
                <w:b/>
                <w:sz w:val="24"/>
                <w:szCs w:val="24"/>
              </w:rPr>
              <w:fldChar w:fldCharType="begin">
                <w:ffData>
                  <w:name w:val="recipeinttype"/>
                  <w:enabled/>
                  <w:calcOnExit w:val="0"/>
                  <w:ddList>
                    <w:listEntry w:val="Veuillez sélectionner"/>
                    <w:listEntry w:val="RUNO"/>
                    <w:listEntry w:val="NUNO"/>
                  </w:ddList>
                </w:ffData>
              </w:fldChar>
            </w:r>
            <w:bookmarkStart w:id="1" w:name="recipeinttype"/>
            <w:r w:rsidRPr="001D6AFD">
              <w:rPr>
                <w:rFonts w:ascii="Times New Roman" w:hAnsi="Times New Roman" w:cs="Times New Roman"/>
                <w:b/>
                <w:sz w:val="24"/>
                <w:szCs w:val="24"/>
              </w:rPr>
              <w:instrText xml:space="preserve"> FORMDROPDOWN </w:instrText>
            </w:r>
            <w:r w:rsidR="001714C9">
              <w:rPr>
                <w:rFonts w:ascii="Times New Roman" w:hAnsi="Times New Roman" w:cs="Times New Roman"/>
                <w:b/>
                <w:sz w:val="24"/>
                <w:szCs w:val="24"/>
              </w:rPr>
            </w:r>
            <w:r w:rsidR="001714C9">
              <w:rPr>
                <w:rFonts w:ascii="Times New Roman" w:hAnsi="Times New Roman" w:cs="Times New Roman"/>
                <w:b/>
                <w:sz w:val="24"/>
                <w:szCs w:val="24"/>
              </w:rPr>
              <w:fldChar w:fldCharType="separate"/>
            </w:r>
            <w:r w:rsidRPr="001D6AFD">
              <w:rPr>
                <w:rFonts w:ascii="Times New Roman" w:hAnsi="Times New Roman" w:cs="Times New Roman"/>
                <w:b/>
                <w:sz w:val="24"/>
                <w:szCs w:val="24"/>
              </w:rPr>
              <w:fldChar w:fldCharType="end"/>
            </w:r>
            <w:bookmarkEnd w:id="1"/>
            <w:r w:rsidR="00A43B9C" w:rsidRPr="001D6AFD">
              <w:rPr>
                <w:rFonts w:ascii="Times New Roman" w:hAnsi="Times New Roman" w:cs="Times New Roman"/>
                <w:b/>
                <w:sz w:val="24"/>
                <w:szCs w:val="24"/>
              </w:rPr>
              <w:t xml:space="preserve">     </w:t>
            </w:r>
            <w:r w:rsidR="00A43B9C" w:rsidRPr="001D6AFD">
              <w:rPr>
                <w:rFonts w:ascii="Times New Roman" w:hAnsi="Times New Roman" w:cs="Times New Roman"/>
                <w:b/>
                <w:sz w:val="24"/>
                <w:szCs w:val="24"/>
              </w:rPr>
              <w:fldChar w:fldCharType="begin">
                <w:ffData>
                  <w:name w:val="Text42"/>
                  <w:enabled/>
                  <w:calcOnExit w:val="0"/>
                  <w:textInput/>
                </w:ffData>
              </w:fldChar>
            </w:r>
            <w:bookmarkStart w:id="2" w:name="Text42"/>
            <w:r w:rsidR="00A43B9C" w:rsidRPr="001D6AFD">
              <w:rPr>
                <w:rFonts w:ascii="Times New Roman" w:hAnsi="Times New Roman" w:cs="Times New Roman"/>
                <w:b/>
                <w:sz w:val="24"/>
                <w:szCs w:val="24"/>
              </w:rPr>
              <w:instrText xml:space="preserve"> FORMTEXT </w:instrText>
            </w:r>
            <w:r w:rsidR="00A43B9C" w:rsidRPr="001D6AFD">
              <w:rPr>
                <w:rFonts w:ascii="Times New Roman" w:hAnsi="Times New Roman" w:cs="Times New Roman"/>
                <w:b/>
                <w:sz w:val="24"/>
                <w:szCs w:val="24"/>
              </w:rPr>
            </w:r>
            <w:r w:rsidR="00A43B9C" w:rsidRPr="001D6AFD">
              <w:rPr>
                <w:rFonts w:ascii="Times New Roman" w:hAnsi="Times New Roman" w:cs="Times New Roman"/>
                <w:b/>
                <w:sz w:val="24"/>
                <w:szCs w:val="24"/>
              </w:rPr>
              <w:fldChar w:fldCharType="separate"/>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sz w:val="24"/>
                <w:szCs w:val="24"/>
              </w:rPr>
              <w:fldChar w:fldCharType="end"/>
            </w:r>
            <w:bookmarkEnd w:id="2"/>
          </w:p>
          <w:p w14:paraId="46214C2B" w14:textId="77777777" w:rsidR="00A43B9C" w:rsidRPr="001D6AFD"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sidRPr="001D6AFD">
              <w:rPr>
                <w:rFonts w:ascii="Times New Roman" w:hAnsi="Times New Roman" w:cs="Times New Roman"/>
                <w:b/>
                <w:sz w:val="24"/>
                <w:szCs w:val="24"/>
              </w:rPr>
              <w:fldChar w:fldCharType="begin">
                <w:ffData>
                  <w:name w:val=""/>
                  <w:enabled/>
                  <w:calcOnExit w:val="0"/>
                  <w:ddList>
                    <w:listEntry w:val="Veuillez sélectionner"/>
                    <w:listEntry w:val="RUNO"/>
                    <w:listEntry w:val="NUNO"/>
                  </w:ddList>
                </w:ffData>
              </w:fldChar>
            </w:r>
            <w:r w:rsidRPr="001D6AFD">
              <w:rPr>
                <w:rFonts w:ascii="Times New Roman" w:hAnsi="Times New Roman" w:cs="Times New Roman"/>
                <w:b/>
                <w:sz w:val="24"/>
                <w:szCs w:val="24"/>
              </w:rPr>
              <w:instrText xml:space="preserve"> FORMDROPDOWN </w:instrText>
            </w:r>
            <w:r w:rsidR="001714C9">
              <w:rPr>
                <w:rFonts w:ascii="Times New Roman" w:hAnsi="Times New Roman" w:cs="Times New Roman"/>
                <w:b/>
                <w:sz w:val="24"/>
                <w:szCs w:val="24"/>
              </w:rPr>
            </w:r>
            <w:r w:rsidR="001714C9">
              <w:rPr>
                <w:rFonts w:ascii="Times New Roman" w:hAnsi="Times New Roman" w:cs="Times New Roman"/>
                <w:b/>
                <w:sz w:val="24"/>
                <w:szCs w:val="24"/>
              </w:rPr>
              <w:fldChar w:fldCharType="separate"/>
            </w:r>
            <w:r w:rsidRPr="001D6AFD">
              <w:rPr>
                <w:rFonts w:ascii="Times New Roman" w:hAnsi="Times New Roman" w:cs="Times New Roman"/>
                <w:b/>
                <w:sz w:val="24"/>
                <w:szCs w:val="24"/>
              </w:rPr>
              <w:fldChar w:fldCharType="end"/>
            </w:r>
            <w:r w:rsidR="00A43B9C" w:rsidRPr="001D6AFD">
              <w:rPr>
                <w:rFonts w:ascii="Times New Roman" w:hAnsi="Times New Roman" w:cs="Times New Roman"/>
                <w:b/>
                <w:sz w:val="24"/>
                <w:szCs w:val="24"/>
              </w:rPr>
              <w:t xml:space="preserve">     </w:t>
            </w:r>
            <w:r w:rsidR="00A43B9C" w:rsidRPr="001D6AFD">
              <w:rPr>
                <w:rFonts w:ascii="Times New Roman" w:hAnsi="Times New Roman" w:cs="Times New Roman"/>
                <w:b/>
                <w:sz w:val="24"/>
                <w:szCs w:val="24"/>
              </w:rPr>
              <w:fldChar w:fldCharType="begin">
                <w:ffData>
                  <w:name w:val="Text43"/>
                  <w:enabled/>
                  <w:calcOnExit w:val="0"/>
                  <w:textInput/>
                </w:ffData>
              </w:fldChar>
            </w:r>
            <w:bookmarkStart w:id="3" w:name="Text43"/>
            <w:r w:rsidR="00A43B9C" w:rsidRPr="001D6AFD">
              <w:rPr>
                <w:rFonts w:ascii="Times New Roman" w:hAnsi="Times New Roman" w:cs="Times New Roman"/>
                <w:b/>
                <w:sz w:val="24"/>
                <w:szCs w:val="24"/>
              </w:rPr>
              <w:instrText xml:space="preserve"> FORMTEXT </w:instrText>
            </w:r>
            <w:r w:rsidR="00A43B9C" w:rsidRPr="001D6AFD">
              <w:rPr>
                <w:rFonts w:ascii="Times New Roman" w:hAnsi="Times New Roman" w:cs="Times New Roman"/>
                <w:b/>
                <w:sz w:val="24"/>
                <w:szCs w:val="24"/>
              </w:rPr>
            </w:r>
            <w:r w:rsidR="00A43B9C" w:rsidRPr="001D6AFD">
              <w:rPr>
                <w:rFonts w:ascii="Times New Roman" w:hAnsi="Times New Roman" w:cs="Times New Roman"/>
                <w:b/>
                <w:sz w:val="24"/>
                <w:szCs w:val="24"/>
              </w:rPr>
              <w:fldChar w:fldCharType="separate"/>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sz w:val="24"/>
                <w:szCs w:val="24"/>
              </w:rPr>
              <w:fldChar w:fldCharType="end"/>
            </w:r>
            <w:bookmarkEnd w:id="3"/>
          </w:p>
          <w:p w14:paraId="0673E8AA" w14:textId="77777777" w:rsidR="00A43B9C" w:rsidRPr="001D6AFD" w:rsidRDefault="005D5A4A" w:rsidP="00A43B9C">
            <w:pPr>
              <w:pStyle w:val="BalloonText"/>
              <w:numPr>
                <w:ilvl w:val="12"/>
                <w:numId w:val="0"/>
              </w:numPr>
              <w:tabs>
                <w:tab w:val="left" w:pos="-720"/>
                <w:tab w:val="left" w:pos="4500"/>
              </w:tabs>
              <w:rPr>
                <w:rFonts w:ascii="Times New Roman" w:hAnsi="Times New Roman" w:cs="Times New Roman"/>
                <w:b/>
                <w:sz w:val="24"/>
                <w:szCs w:val="24"/>
              </w:rPr>
            </w:pPr>
            <w:r w:rsidRPr="001D6AFD">
              <w:rPr>
                <w:rFonts w:ascii="Times New Roman" w:hAnsi="Times New Roman" w:cs="Times New Roman"/>
                <w:b/>
                <w:sz w:val="24"/>
                <w:szCs w:val="24"/>
              </w:rPr>
              <w:fldChar w:fldCharType="begin">
                <w:ffData>
                  <w:name w:val="recipienttype"/>
                  <w:enabled/>
                  <w:calcOnExit w:val="0"/>
                  <w:ddList>
                    <w:listEntry w:val="Veuillez sélectionner"/>
                    <w:listEntry w:val="RUNO"/>
                    <w:listEntry w:val="NUNO"/>
                  </w:ddList>
                </w:ffData>
              </w:fldChar>
            </w:r>
            <w:bookmarkStart w:id="4" w:name="recipienttype"/>
            <w:r w:rsidRPr="001D6AFD">
              <w:rPr>
                <w:rFonts w:ascii="Times New Roman" w:hAnsi="Times New Roman" w:cs="Times New Roman"/>
                <w:b/>
                <w:sz w:val="24"/>
                <w:szCs w:val="24"/>
              </w:rPr>
              <w:instrText xml:space="preserve"> FORMDROPDOWN </w:instrText>
            </w:r>
            <w:r w:rsidR="001714C9">
              <w:rPr>
                <w:rFonts w:ascii="Times New Roman" w:hAnsi="Times New Roman" w:cs="Times New Roman"/>
                <w:b/>
                <w:sz w:val="24"/>
                <w:szCs w:val="24"/>
              </w:rPr>
            </w:r>
            <w:r w:rsidR="001714C9">
              <w:rPr>
                <w:rFonts w:ascii="Times New Roman" w:hAnsi="Times New Roman" w:cs="Times New Roman"/>
                <w:b/>
                <w:sz w:val="24"/>
                <w:szCs w:val="24"/>
              </w:rPr>
              <w:fldChar w:fldCharType="separate"/>
            </w:r>
            <w:r w:rsidRPr="001D6AFD">
              <w:rPr>
                <w:rFonts w:ascii="Times New Roman" w:hAnsi="Times New Roman" w:cs="Times New Roman"/>
                <w:b/>
                <w:sz w:val="24"/>
                <w:szCs w:val="24"/>
              </w:rPr>
              <w:fldChar w:fldCharType="end"/>
            </w:r>
            <w:bookmarkEnd w:id="4"/>
            <w:r w:rsidR="00A43B9C" w:rsidRPr="001D6AFD">
              <w:rPr>
                <w:rFonts w:ascii="Times New Roman" w:hAnsi="Times New Roman" w:cs="Times New Roman"/>
                <w:b/>
                <w:sz w:val="24"/>
                <w:szCs w:val="24"/>
              </w:rPr>
              <w:t xml:space="preserve">     </w:t>
            </w:r>
            <w:r w:rsidR="00A43B9C" w:rsidRPr="001D6AFD">
              <w:rPr>
                <w:rFonts w:ascii="Times New Roman" w:hAnsi="Times New Roman" w:cs="Times New Roman"/>
                <w:b/>
                <w:sz w:val="24"/>
                <w:szCs w:val="24"/>
              </w:rPr>
              <w:fldChar w:fldCharType="begin">
                <w:ffData>
                  <w:name w:val="Text44"/>
                  <w:enabled/>
                  <w:calcOnExit w:val="0"/>
                  <w:textInput/>
                </w:ffData>
              </w:fldChar>
            </w:r>
            <w:bookmarkStart w:id="5" w:name="Text44"/>
            <w:r w:rsidR="00A43B9C" w:rsidRPr="001D6AFD">
              <w:rPr>
                <w:rFonts w:ascii="Times New Roman" w:hAnsi="Times New Roman" w:cs="Times New Roman"/>
                <w:b/>
                <w:sz w:val="24"/>
                <w:szCs w:val="24"/>
              </w:rPr>
              <w:instrText xml:space="preserve"> FORMTEXT </w:instrText>
            </w:r>
            <w:r w:rsidR="00A43B9C" w:rsidRPr="001D6AFD">
              <w:rPr>
                <w:rFonts w:ascii="Times New Roman" w:hAnsi="Times New Roman" w:cs="Times New Roman"/>
                <w:b/>
                <w:sz w:val="24"/>
                <w:szCs w:val="24"/>
              </w:rPr>
            </w:r>
            <w:r w:rsidR="00A43B9C" w:rsidRPr="001D6AFD">
              <w:rPr>
                <w:rFonts w:ascii="Times New Roman" w:hAnsi="Times New Roman" w:cs="Times New Roman"/>
                <w:b/>
                <w:sz w:val="24"/>
                <w:szCs w:val="24"/>
              </w:rPr>
              <w:fldChar w:fldCharType="separate"/>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noProof/>
                <w:sz w:val="24"/>
                <w:szCs w:val="24"/>
              </w:rPr>
              <w:t> </w:t>
            </w:r>
            <w:r w:rsidR="00A43B9C" w:rsidRPr="001D6AFD">
              <w:rPr>
                <w:rFonts w:ascii="Times New Roman" w:hAnsi="Times New Roman" w:cs="Times New Roman"/>
                <w:b/>
                <w:sz w:val="24"/>
                <w:szCs w:val="24"/>
              </w:rPr>
              <w:fldChar w:fldCharType="end"/>
            </w:r>
            <w:bookmarkEnd w:id="5"/>
          </w:p>
        </w:tc>
      </w:tr>
      <w:tr w:rsidR="00793DE6" w:rsidRPr="001D6AFD" w14:paraId="72CE853D" w14:textId="77777777" w:rsidTr="00F23D0F">
        <w:trPr>
          <w:trHeight w:val="368"/>
        </w:trPr>
        <w:tc>
          <w:tcPr>
            <w:tcW w:w="10080" w:type="dxa"/>
            <w:gridSpan w:val="2"/>
          </w:tcPr>
          <w:p w14:paraId="5C2804C5" w14:textId="16C3D968" w:rsidR="00793DE6" w:rsidRPr="001D6AFD" w:rsidRDefault="000F43A8" w:rsidP="00F23D0F">
            <w:pPr>
              <w:rPr>
                <w:b/>
                <w:bCs/>
                <w:iCs/>
              </w:rPr>
            </w:pPr>
            <w:r w:rsidRPr="001D6AFD">
              <w:rPr>
                <w:b/>
                <w:bCs/>
                <w:iCs/>
              </w:rPr>
              <w:t xml:space="preserve">Date du premier transfert de </w:t>
            </w:r>
            <w:proofErr w:type="gramStart"/>
            <w:r w:rsidRPr="001D6AFD">
              <w:rPr>
                <w:b/>
                <w:bCs/>
                <w:iCs/>
              </w:rPr>
              <w:t>fonds</w:t>
            </w:r>
            <w:r w:rsidR="00793DE6" w:rsidRPr="001D6AFD">
              <w:rPr>
                <w:b/>
                <w:bCs/>
                <w:iCs/>
              </w:rPr>
              <w:t>:</w:t>
            </w:r>
            <w:proofErr w:type="gramEnd"/>
            <w:r w:rsidR="00793DE6" w:rsidRPr="001D6AFD">
              <w:rPr>
                <w:b/>
                <w:bCs/>
                <w:iCs/>
              </w:rPr>
              <w:t xml:space="preserve"> </w:t>
            </w:r>
            <w:r w:rsidR="002C10AB" w:rsidRPr="001D6AFD">
              <w:rPr>
                <w:bCs/>
                <w:iCs/>
                <w:snapToGrid w:val="0"/>
              </w:rPr>
              <w:t>18/02/2020</w:t>
            </w:r>
          </w:p>
          <w:p w14:paraId="064BF427" w14:textId="39199F36" w:rsidR="004D141E" w:rsidRPr="001D6AFD" w:rsidRDefault="000F43A8" w:rsidP="00F23D0F">
            <w:pPr>
              <w:rPr>
                <w:bCs/>
                <w:iCs/>
                <w:snapToGrid w:val="0"/>
              </w:rPr>
            </w:pPr>
            <w:r w:rsidRPr="001D6AFD">
              <w:rPr>
                <w:b/>
                <w:bCs/>
                <w:iCs/>
              </w:rPr>
              <w:t xml:space="preserve">Date de fin de </w:t>
            </w:r>
            <w:proofErr w:type="gramStart"/>
            <w:r w:rsidRPr="001D6AFD">
              <w:rPr>
                <w:b/>
                <w:bCs/>
                <w:iCs/>
              </w:rPr>
              <w:t>projet</w:t>
            </w:r>
            <w:r w:rsidR="00793DE6" w:rsidRPr="001D6AFD">
              <w:rPr>
                <w:b/>
                <w:bCs/>
                <w:iCs/>
              </w:rPr>
              <w:t>:</w:t>
            </w:r>
            <w:proofErr w:type="gramEnd"/>
            <w:r w:rsidR="00793DE6" w:rsidRPr="001D6AFD">
              <w:rPr>
                <w:b/>
                <w:bCs/>
                <w:iCs/>
              </w:rPr>
              <w:t xml:space="preserve"> </w:t>
            </w:r>
            <w:r w:rsidR="002C10AB" w:rsidRPr="001D6AFD">
              <w:rPr>
                <w:bCs/>
                <w:iCs/>
                <w:snapToGrid w:val="0"/>
              </w:rPr>
              <w:t>14/02/2022</w:t>
            </w:r>
            <w:r w:rsidR="0025220B" w:rsidRPr="001D6AFD">
              <w:rPr>
                <w:bCs/>
                <w:iCs/>
                <w:snapToGrid w:val="0"/>
              </w:rPr>
              <w:t xml:space="preserve">     </w:t>
            </w:r>
          </w:p>
          <w:p w14:paraId="2AE235F0" w14:textId="51944B94" w:rsidR="00793DE6" w:rsidRPr="001D6AFD" w:rsidRDefault="000F43A8" w:rsidP="000F43A8">
            <w:pPr>
              <w:rPr>
                <w:bCs/>
                <w:iCs/>
                <w:snapToGrid w:val="0"/>
              </w:rPr>
            </w:pPr>
            <w:r w:rsidRPr="001D6AFD">
              <w:rPr>
                <w:b/>
                <w:iCs/>
                <w:snapToGrid w:val="0"/>
              </w:rPr>
              <w:t xml:space="preserve">Le projet est-il dans ces six derniers mois de mise en </w:t>
            </w:r>
            <w:proofErr w:type="gramStart"/>
            <w:r w:rsidRPr="001D6AFD">
              <w:rPr>
                <w:b/>
                <w:iCs/>
                <w:snapToGrid w:val="0"/>
              </w:rPr>
              <w:t>œuvre</w:t>
            </w:r>
            <w:r w:rsidR="0025220B" w:rsidRPr="001D6AFD">
              <w:rPr>
                <w:b/>
                <w:iCs/>
                <w:snapToGrid w:val="0"/>
              </w:rPr>
              <w:t>?</w:t>
            </w:r>
            <w:proofErr w:type="gramEnd"/>
            <w:r w:rsidR="0025220B" w:rsidRPr="001D6AFD">
              <w:rPr>
                <w:bCs/>
                <w:iCs/>
                <w:snapToGrid w:val="0"/>
              </w:rPr>
              <w:t xml:space="preserve"> </w:t>
            </w:r>
            <w:r w:rsidR="002C10AB" w:rsidRPr="001D6AFD">
              <w:rPr>
                <w:bCs/>
                <w:iCs/>
                <w:snapToGrid w:val="0"/>
              </w:rPr>
              <w:t>Oui</w:t>
            </w:r>
          </w:p>
          <w:p w14:paraId="433C13C0" w14:textId="77777777" w:rsidR="000F43A8" w:rsidRPr="001D6AFD" w:rsidRDefault="000F43A8" w:rsidP="000F43A8">
            <w:pPr>
              <w:rPr>
                <w:b/>
                <w:bCs/>
                <w:iCs/>
              </w:rPr>
            </w:pPr>
          </w:p>
        </w:tc>
      </w:tr>
      <w:tr w:rsidR="00793DE6" w:rsidRPr="001D6AFD" w14:paraId="3A707F8C" w14:textId="77777777" w:rsidTr="00F23D0F">
        <w:trPr>
          <w:trHeight w:val="368"/>
        </w:trPr>
        <w:tc>
          <w:tcPr>
            <w:tcW w:w="10080" w:type="dxa"/>
            <w:gridSpan w:val="2"/>
          </w:tcPr>
          <w:p w14:paraId="77DA62DA" w14:textId="77777777" w:rsidR="000F43A8" w:rsidRPr="001D6AFD" w:rsidRDefault="000F43A8" w:rsidP="000F43A8">
            <w:pPr>
              <w:rPr>
                <w:b/>
                <w:bCs/>
                <w:iCs/>
              </w:rPr>
            </w:pPr>
            <w:r w:rsidRPr="001D6AFD">
              <w:rPr>
                <w:b/>
                <w:bCs/>
                <w:iCs/>
              </w:rPr>
              <w:t xml:space="preserve">Est-ce que le projet fait part d’une des fenêtres prioritaires spécifiques du </w:t>
            </w:r>
            <w:proofErr w:type="gramStart"/>
            <w:r w:rsidRPr="001D6AFD">
              <w:rPr>
                <w:b/>
                <w:bCs/>
                <w:iCs/>
              </w:rPr>
              <w:t>PBF:</w:t>
            </w:r>
            <w:proofErr w:type="gramEnd"/>
          </w:p>
          <w:p w14:paraId="100F4267" w14:textId="77777777" w:rsidR="000F43A8" w:rsidRPr="001D6AFD" w:rsidRDefault="000F43A8" w:rsidP="000F43A8">
            <w:r w:rsidRPr="001D6AFD">
              <w:fldChar w:fldCharType="begin">
                <w:ffData>
                  <w:name w:val=""/>
                  <w:enabled/>
                  <w:calcOnExit w:val="0"/>
                  <w:checkBox>
                    <w:sizeAuto/>
                    <w:default w:val="0"/>
                  </w:checkBox>
                </w:ffData>
              </w:fldChar>
            </w:r>
            <w:r w:rsidRPr="001D6AFD">
              <w:instrText xml:space="preserve"> FORMCHECKBOX </w:instrText>
            </w:r>
            <w:r w:rsidR="001714C9">
              <w:fldChar w:fldCharType="separate"/>
            </w:r>
            <w:r w:rsidRPr="001D6AFD">
              <w:fldChar w:fldCharType="end"/>
            </w:r>
            <w:r w:rsidRPr="001D6AFD">
              <w:t xml:space="preserve"> Initiative de promotion du genre</w:t>
            </w:r>
          </w:p>
          <w:p w14:paraId="347330FA" w14:textId="77777777" w:rsidR="000F43A8" w:rsidRPr="001D6AFD" w:rsidRDefault="000F43A8" w:rsidP="000F43A8">
            <w:r w:rsidRPr="001D6AFD">
              <w:fldChar w:fldCharType="begin">
                <w:ffData>
                  <w:name w:val=""/>
                  <w:enabled/>
                  <w:calcOnExit w:val="0"/>
                  <w:checkBox>
                    <w:sizeAuto/>
                    <w:default w:val="0"/>
                  </w:checkBox>
                </w:ffData>
              </w:fldChar>
            </w:r>
            <w:r w:rsidRPr="001D6AFD">
              <w:instrText xml:space="preserve"> FORMCHECKBOX </w:instrText>
            </w:r>
            <w:r w:rsidR="001714C9">
              <w:fldChar w:fldCharType="separate"/>
            </w:r>
            <w:r w:rsidRPr="001D6AFD">
              <w:fldChar w:fldCharType="end"/>
            </w:r>
            <w:r w:rsidRPr="001D6AFD">
              <w:t xml:space="preserve"> Initiative de promotion de la jeunesse</w:t>
            </w:r>
          </w:p>
          <w:p w14:paraId="422AAC34" w14:textId="201CD4E4" w:rsidR="000F43A8" w:rsidRPr="001D6AFD" w:rsidRDefault="002C10AB" w:rsidP="000F43A8">
            <w:pPr>
              <w:rPr>
                <w:sz w:val="22"/>
                <w:szCs w:val="22"/>
              </w:rPr>
            </w:pPr>
            <w:r w:rsidRPr="001D6AFD">
              <w:fldChar w:fldCharType="begin">
                <w:ffData>
                  <w:name w:val=""/>
                  <w:enabled/>
                  <w:calcOnExit w:val="0"/>
                  <w:checkBox>
                    <w:sizeAuto/>
                    <w:default w:val="1"/>
                  </w:checkBox>
                </w:ffData>
              </w:fldChar>
            </w:r>
            <w:r w:rsidRPr="001D6AFD">
              <w:instrText xml:space="preserve"> FORMCHECKBOX </w:instrText>
            </w:r>
            <w:r w:rsidR="001714C9">
              <w:fldChar w:fldCharType="separate"/>
            </w:r>
            <w:r w:rsidRPr="001D6AFD">
              <w:fldChar w:fldCharType="end"/>
            </w:r>
            <w:r w:rsidR="000F43A8" w:rsidRPr="001D6AFD">
              <w:t xml:space="preserve"> Transition entre différentes configurations de </w:t>
            </w:r>
            <w:r w:rsidR="000F43A8" w:rsidRPr="001D6AFD">
              <w:rPr>
                <w:sz w:val="22"/>
                <w:szCs w:val="22"/>
              </w:rPr>
              <w:t>l’ONU (e.g. sortie de la mission de maintien de la paix)</w:t>
            </w:r>
          </w:p>
          <w:p w14:paraId="7A1D285E" w14:textId="77777777" w:rsidR="00793DE6" w:rsidRPr="001D6AFD" w:rsidRDefault="000F43A8" w:rsidP="000F43A8">
            <w:r w:rsidRPr="001D6AFD">
              <w:fldChar w:fldCharType="begin">
                <w:ffData>
                  <w:name w:val=""/>
                  <w:enabled/>
                  <w:calcOnExit w:val="0"/>
                  <w:checkBox>
                    <w:sizeAuto/>
                    <w:default w:val="0"/>
                  </w:checkBox>
                </w:ffData>
              </w:fldChar>
            </w:r>
            <w:r w:rsidRPr="001D6AFD">
              <w:instrText xml:space="preserve"> FORMCHECKBOX </w:instrText>
            </w:r>
            <w:r w:rsidR="001714C9">
              <w:fldChar w:fldCharType="separate"/>
            </w:r>
            <w:r w:rsidRPr="001D6AFD">
              <w:fldChar w:fldCharType="end"/>
            </w:r>
            <w:r w:rsidRPr="001D6AFD">
              <w:t xml:space="preserve"> Projet transfrontalier ou régional</w:t>
            </w:r>
          </w:p>
          <w:p w14:paraId="4BA2AA6A" w14:textId="77777777" w:rsidR="000F43A8" w:rsidRPr="001D6AFD" w:rsidRDefault="000F43A8" w:rsidP="000F43A8">
            <w:pPr>
              <w:rPr>
                <w:b/>
                <w:bCs/>
                <w:iCs/>
              </w:rPr>
            </w:pPr>
          </w:p>
        </w:tc>
      </w:tr>
      <w:tr w:rsidR="00793DE6" w:rsidRPr="00D161D4" w14:paraId="65120CDF" w14:textId="77777777" w:rsidTr="00F23D0F">
        <w:trPr>
          <w:trHeight w:val="1124"/>
        </w:trPr>
        <w:tc>
          <w:tcPr>
            <w:tcW w:w="10080" w:type="dxa"/>
            <w:gridSpan w:val="2"/>
          </w:tcPr>
          <w:p w14:paraId="08D9EBF0" w14:textId="77777777" w:rsidR="00793DE6" w:rsidRPr="001D6AFD" w:rsidRDefault="000F43A8" w:rsidP="00F23D0F">
            <w:pPr>
              <w:rPr>
                <w:b/>
                <w:bCs/>
                <w:iCs/>
              </w:rPr>
            </w:pPr>
            <w:r w:rsidRPr="001D6AFD">
              <w:rPr>
                <w:b/>
                <w:bCs/>
                <w:iCs/>
              </w:rPr>
              <w:t>Budget PBF total approuvé</w:t>
            </w:r>
            <w:r w:rsidR="00793DE6" w:rsidRPr="001D6AFD">
              <w:rPr>
                <w:b/>
                <w:bCs/>
                <w:iCs/>
              </w:rPr>
              <w:t xml:space="preserve"> (</w:t>
            </w:r>
            <w:r w:rsidRPr="001D6AFD">
              <w:rPr>
                <w:b/>
                <w:bCs/>
                <w:iCs/>
              </w:rPr>
              <w:t>par agence récipiendaire</w:t>
            </w:r>
            <w:proofErr w:type="gramStart"/>
            <w:r w:rsidR="00793DE6" w:rsidRPr="001D6AFD">
              <w:rPr>
                <w:b/>
                <w:bCs/>
                <w:iCs/>
              </w:rPr>
              <w:t>):</w:t>
            </w:r>
            <w:proofErr w:type="gramEnd"/>
            <w:r w:rsidR="00793DE6" w:rsidRPr="001D6AFD">
              <w:rPr>
                <w:b/>
                <w:bCs/>
                <w:iCs/>
              </w:rPr>
              <w:t xml:space="preserve"> </w:t>
            </w:r>
          </w:p>
          <w:p w14:paraId="2B3D1401" w14:textId="77777777" w:rsidR="00006EC0" w:rsidRPr="001D6AFD" w:rsidRDefault="000F43A8" w:rsidP="00F23D0F">
            <w:pPr>
              <w:rPr>
                <w:b/>
                <w:iCs/>
                <w:snapToGrid w:val="0"/>
              </w:rPr>
            </w:pPr>
            <w:bookmarkStart w:id="6" w:name="_Hlk39507683"/>
            <w:r w:rsidRPr="001D6AFD">
              <w:rPr>
                <w:b/>
                <w:iCs/>
                <w:snapToGrid w:val="0"/>
              </w:rPr>
              <w:t xml:space="preserve">Agence </w:t>
            </w:r>
            <w:r w:rsidRPr="001D6AFD">
              <w:rPr>
                <w:b/>
                <w:bCs/>
                <w:iCs/>
              </w:rPr>
              <w:t>récipiendaire</w:t>
            </w:r>
            <w:r w:rsidRPr="001D6AFD">
              <w:rPr>
                <w:b/>
                <w:iCs/>
                <w:snapToGrid w:val="0"/>
              </w:rPr>
              <w:t xml:space="preserve">                              Budget</w:t>
            </w:r>
            <w:r w:rsidR="00006EC0" w:rsidRPr="001D6AFD">
              <w:rPr>
                <w:b/>
                <w:iCs/>
                <w:snapToGrid w:val="0"/>
              </w:rPr>
              <w:t xml:space="preserve">  </w:t>
            </w:r>
          </w:p>
          <w:bookmarkEnd w:id="6"/>
          <w:p w14:paraId="61353E95" w14:textId="7F74C045" w:rsidR="00793DE6" w:rsidRPr="001D6AFD" w:rsidRDefault="002C10AB" w:rsidP="00F23D0F">
            <w:pPr>
              <w:rPr>
                <w:iCs/>
              </w:rPr>
            </w:pPr>
            <w:r w:rsidRPr="00846808">
              <w:rPr>
                <w:bCs/>
                <w:iCs/>
                <w:snapToGrid w:val="0"/>
              </w:rPr>
              <w:t>PNUD</w:t>
            </w:r>
            <w:r w:rsidR="00006EC0" w:rsidRPr="001D6AFD">
              <w:rPr>
                <w:bCs/>
                <w:iCs/>
                <w:snapToGrid w:val="0"/>
              </w:rPr>
              <w:t xml:space="preserve">   </w:t>
            </w:r>
            <w:r w:rsidR="00006EC0" w:rsidRPr="001D6AFD">
              <w:rPr>
                <w:b/>
                <w:bCs/>
                <w:iCs/>
              </w:rPr>
              <w:t xml:space="preserve">                                   </w:t>
            </w:r>
            <w:r w:rsidR="000F43A8" w:rsidRPr="001D6AFD">
              <w:rPr>
                <w:b/>
                <w:bCs/>
                <w:iCs/>
              </w:rPr>
              <w:t xml:space="preserve">            </w:t>
            </w:r>
            <w:r w:rsidR="00006EC0" w:rsidRPr="001D6AFD">
              <w:rPr>
                <w:b/>
                <w:bCs/>
                <w:iCs/>
              </w:rPr>
              <w:t xml:space="preserve">      </w:t>
            </w:r>
            <w:r w:rsidR="00793DE6" w:rsidRPr="001D6AFD">
              <w:rPr>
                <w:iCs/>
              </w:rPr>
              <w:t xml:space="preserve">$ </w:t>
            </w:r>
            <w:r w:rsidRPr="00846808">
              <w:rPr>
                <w:bCs/>
                <w:iCs/>
                <w:snapToGrid w:val="0"/>
              </w:rPr>
              <w:t>770 400</w:t>
            </w:r>
          </w:p>
          <w:p w14:paraId="52AEBA43" w14:textId="77777777" w:rsidR="00793DE6" w:rsidRPr="001D6AFD"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rPr>
            </w:pPr>
            <w:r w:rsidRPr="001D6AFD">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1D6AFD">
              <w:rPr>
                <w:rFonts w:ascii="Times New Roman" w:hAnsi="Times New Roman" w:cs="Times New Roman"/>
                <w:bCs/>
                <w:iCs/>
                <w:snapToGrid w:val="0"/>
                <w:sz w:val="24"/>
                <w:szCs w:val="24"/>
              </w:rPr>
              <w:instrText xml:space="preserve"> FORMTEXT </w:instrText>
            </w:r>
            <w:r w:rsidRPr="001D6AFD">
              <w:rPr>
                <w:rFonts w:ascii="Times New Roman" w:hAnsi="Times New Roman" w:cs="Times New Roman"/>
                <w:bCs/>
                <w:iCs/>
                <w:snapToGrid w:val="0"/>
                <w:sz w:val="24"/>
                <w:szCs w:val="24"/>
              </w:rPr>
            </w:r>
            <w:r w:rsidRPr="001D6AFD">
              <w:rPr>
                <w:rFonts w:ascii="Times New Roman" w:hAnsi="Times New Roman" w:cs="Times New Roman"/>
                <w:bCs/>
                <w:iCs/>
                <w:snapToGrid w:val="0"/>
                <w:sz w:val="24"/>
                <w:szCs w:val="24"/>
              </w:rPr>
              <w:fldChar w:fldCharType="separate"/>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fldChar w:fldCharType="end"/>
            </w:r>
            <w:r w:rsidRPr="001D6AFD">
              <w:rPr>
                <w:rFonts w:ascii="Times New Roman" w:hAnsi="Times New Roman" w:cs="Times New Roman"/>
                <w:bCs/>
                <w:iCs/>
                <w:snapToGrid w:val="0"/>
                <w:sz w:val="24"/>
                <w:szCs w:val="24"/>
              </w:rPr>
              <w:t xml:space="preserve">   </w:t>
            </w:r>
            <w:r w:rsidR="00006EC0" w:rsidRPr="001D6AFD">
              <w:rPr>
                <w:rFonts w:ascii="Times New Roman" w:hAnsi="Times New Roman" w:cs="Times New Roman"/>
                <w:bCs/>
                <w:iCs/>
                <w:snapToGrid w:val="0"/>
                <w:sz w:val="24"/>
                <w:szCs w:val="24"/>
              </w:rPr>
              <w:t xml:space="preserve">                                                     </w:t>
            </w:r>
            <w:r w:rsidR="00793DE6" w:rsidRPr="001D6AFD">
              <w:rPr>
                <w:rFonts w:ascii="Times New Roman" w:hAnsi="Times New Roman" w:cs="Times New Roman"/>
                <w:sz w:val="24"/>
                <w:szCs w:val="24"/>
              </w:rPr>
              <w:t xml:space="preserve">$ </w:t>
            </w:r>
            <w:r w:rsidR="00006EC0" w:rsidRPr="001D6AFD">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1D6AFD">
              <w:rPr>
                <w:rFonts w:ascii="Times New Roman" w:hAnsi="Times New Roman" w:cs="Times New Roman"/>
                <w:bCs/>
                <w:iCs/>
                <w:snapToGrid w:val="0"/>
                <w:sz w:val="24"/>
                <w:szCs w:val="24"/>
              </w:rPr>
              <w:instrText xml:space="preserve"> FORMTEXT </w:instrText>
            </w:r>
            <w:r w:rsidR="00006EC0" w:rsidRPr="001D6AFD">
              <w:rPr>
                <w:rFonts w:ascii="Times New Roman" w:hAnsi="Times New Roman" w:cs="Times New Roman"/>
                <w:bCs/>
                <w:iCs/>
                <w:snapToGrid w:val="0"/>
                <w:sz w:val="24"/>
                <w:szCs w:val="24"/>
              </w:rPr>
            </w:r>
            <w:r w:rsidR="00006EC0" w:rsidRPr="001D6AFD">
              <w:rPr>
                <w:rFonts w:ascii="Times New Roman" w:hAnsi="Times New Roman" w:cs="Times New Roman"/>
                <w:bCs/>
                <w:iCs/>
                <w:snapToGrid w:val="0"/>
                <w:sz w:val="24"/>
                <w:szCs w:val="24"/>
              </w:rPr>
              <w:fldChar w:fldCharType="separate"/>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snapToGrid w:val="0"/>
                <w:sz w:val="24"/>
                <w:szCs w:val="24"/>
              </w:rPr>
              <w:fldChar w:fldCharType="end"/>
            </w:r>
          </w:p>
          <w:p w14:paraId="142C77E8" w14:textId="77777777" w:rsidR="00793DE6" w:rsidRPr="001D6AFD"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1D6AFD">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1D6AFD">
              <w:rPr>
                <w:rFonts w:ascii="Times New Roman" w:hAnsi="Times New Roman" w:cs="Times New Roman"/>
                <w:bCs/>
                <w:iCs/>
                <w:snapToGrid w:val="0"/>
                <w:sz w:val="24"/>
                <w:szCs w:val="24"/>
              </w:rPr>
              <w:instrText xml:space="preserve"> FORMTEXT </w:instrText>
            </w:r>
            <w:r w:rsidRPr="001D6AFD">
              <w:rPr>
                <w:rFonts w:ascii="Times New Roman" w:hAnsi="Times New Roman" w:cs="Times New Roman"/>
                <w:bCs/>
                <w:iCs/>
                <w:snapToGrid w:val="0"/>
                <w:sz w:val="24"/>
                <w:szCs w:val="24"/>
              </w:rPr>
            </w:r>
            <w:r w:rsidRPr="001D6AFD">
              <w:rPr>
                <w:rFonts w:ascii="Times New Roman" w:hAnsi="Times New Roman" w:cs="Times New Roman"/>
                <w:bCs/>
                <w:iCs/>
                <w:snapToGrid w:val="0"/>
                <w:sz w:val="24"/>
                <w:szCs w:val="24"/>
              </w:rPr>
              <w:fldChar w:fldCharType="separate"/>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fldChar w:fldCharType="end"/>
            </w:r>
            <w:r w:rsidRPr="001D6AFD">
              <w:rPr>
                <w:rFonts w:ascii="Times New Roman" w:hAnsi="Times New Roman" w:cs="Times New Roman"/>
                <w:bCs/>
                <w:iCs/>
                <w:snapToGrid w:val="0"/>
                <w:sz w:val="24"/>
                <w:szCs w:val="24"/>
              </w:rPr>
              <w:t xml:space="preserve">   </w:t>
            </w:r>
            <w:r w:rsidR="00006EC0" w:rsidRPr="001D6AFD">
              <w:rPr>
                <w:rFonts w:ascii="Times New Roman" w:hAnsi="Times New Roman" w:cs="Times New Roman"/>
                <w:bCs/>
                <w:iCs/>
                <w:snapToGrid w:val="0"/>
                <w:sz w:val="24"/>
                <w:szCs w:val="24"/>
              </w:rPr>
              <w:t xml:space="preserve">                                                     </w:t>
            </w:r>
            <w:r w:rsidR="00793DE6" w:rsidRPr="001D6AFD">
              <w:rPr>
                <w:rFonts w:ascii="Times New Roman" w:hAnsi="Times New Roman" w:cs="Times New Roman"/>
                <w:sz w:val="24"/>
                <w:szCs w:val="24"/>
              </w:rPr>
              <w:t xml:space="preserve">$ </w:t>
            </w:r>
            <w:r w:rsidR="00006EC0" w:rsidRPr="001D6AFD">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1D6AFD">
              <w:rPr>
                <w:rFonts w:ascii="Times New Roman" w:hAnsi="Times New Roman" w:cs="Times New Roman"/>
                <w:bCs/>
                <w:iCs/>
                <w:snapToGrid w:val="0"/>
                <w:sz w:val="24"/>
                <w:szCs w:val="24"/>
              </w:rPr>
              <w:instrText xml:space="preserve"> FORMTEXT </w:instrText>
            </w:r>
            <w:r w:rsidR="00006EC0" w:rsidRPr="001D6AFD">
              <w:rPr>
                <w:rFonts w:ascii="Times New Roman" w:hAnsi="Times New Roman" w:cs="Times New Roman"/>
                <w:bCs/>
                <w:iCs/>
                <w:snapToGrid w:val="0"/>
                <w:sz w:val="24"/>
                <w:szCs w:val="24"/>
              </w:rPr>
            </w:r>
            <w:r w:rsidR="00006EC0" w:rsidRPr="001D6AFD">
              <w:rPr>
                <w:rFonts w:ascii="Times New Roman" w:hAnsi="Times New Roman" w:cs="Times New Roman"/>
                <w:bCs/>
                <w:iCs/>
                <w:snapToGrid w:val="0"/>
                <w:sz w:val="24"/>
                <w:szCs w:val="24"/>
              </w:rPr>
              <w:fldChar w:fldCharType="separate"/>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snapToGrid w:val="0"/>
                <w:sz w:val="24"/>
                <w:szCs w:val="24"/>
              </w:rPr>
              <w:fldChar w:fldCharType="end"/>
            </w:r>
          </w:p>
          <w:p w14:paraId="0900B169" w14:textId="77777777" w:rsidR="00C12D6A" w:rsidRPr="001D6AFD"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1D6AFD">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1D6AFD">
              <w:rPr>
                <w:rFonts w:ascii="Times New Roman" w:hAnsi="Times New Roman" w:cs="Times New Roman"/>
                <w:bCs/>
                <w:iCs/>
                <w:snapToGrid w:val="0"/>
                <w:sz w:val="24"/>
                <w:szCs w:val="24"/>
              </w:rPr>
              <w:instrText xml:space="preserve"> FORMTEXT </w:instrText>
            </w:r>
            <w:r w:rsidRPr="001D6AFD">
              <w:rPr>
                <w:rFonts w:ascii="Times New Roman" w:hAnsi="Times New Roman" w:cs="Times New Roman"/>
                <w:bCs/>
                <w:iCs/>
                <w:snapToGrid w:val="0"/>
                <w:sz w:val="24"/>
                <w:szCs w:val="24"/>
              </w:rPr>
            </w:r>
            <w:r w:rsidRPr="001D6AFD">
              <w:rPr>
                <w:rFonts w:ascii="Times New Roman" w:hAnsi="Times New Roman" w:cs="Times New Roman"/>
                <w:bCs/>
                <w:iCs/>
                <w:snapToGrid w:val="0"/>
                <w:sz w:val="24"/>
                <w:szCs w:val="24"/>
              </w:rPr>
              <w:fldChar w:fldCharType="separate"/>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t> </w:t>
            </w:r>
            <w:r w:rsidRPr="001D6AFD">
              <w:rPr>
                <w:rFonts w:ascii="Times New Roman" w:hAnsi="Times New Roman" w:cs="Times New Roman"/>
                <w:bCs/>
                <w:iCs/>
                <w:snapToGrid w:val="0"/>
                <w:sz w:val="24"/>
                <w:szCs w:val="24"/>
              </w:rPr>
              <w:fldChar w:fldCharType="end"/>
            </w:r>
            <w:r w:rsidRPr="001D6AFD">
              <w:rPr>
                <w:rFonts w:ascii="Times New Roman" w:hAnsi="Times New Roman" w:cs="Times New Roman"/>
                <w:bCs/>
                <w:iCs/>
                <w:snapToGrid w:val="0"/>
                <w:sz w:val="24"/>
                <w:szCs w:val="24"/>
              </w:rPr>
              <w:t xml:space="preserve">   </w:t>
            </w:r>
            <w:r w:rsidR="00006EC0" w:rsidRPr="001D6AFD">
              <w:rPr>
                <w:rFonts w:ascii="Times New Roman" w:hAnsi="Times New Roman" w:cs="Times New Roman"/>
                <w:bCs/>
                <w:iCs/>
                <w:snapToGrid w:val="0"/>
                <w:sz w:val="24"/>
                <w:szCs w:val="24"/>
              </w:rPr>
              <w:t xml:space="preserve">                                                     </w:t>
            </w:r>
            <w:r w:rsidRPr="001D6AFD">
              <w:rPr>
                <w:rFonts w:ascii="Times New Roman" w:hAnsi="Times New Roman" w:cs="Times New Roman"/>
                <w:sz w:val="24"/>
                <w:szCs w:val="24"/>
              </w:rPr>
              <w:t xml:space="preserve">$ </w:t>
            </w:r>
            <w:r w:rsidR="00006EC0" w:rsidRPr="001D6AFD">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1D6AFD">
              <w:rPr>
                <w:rFonts w:ascii="Times New Roman" w:hAnsi="Times New Roman" w:cs="Times New Roman"/>
                <w:bCs/>
                <w:iCs/>
                <w:snapToGrid w:val="0"/>
                <w:sz w:val="24"/>
                <w:szCs w:val="24"/>
              </w:rPr>
              <w:instrText xml:space="preserve"> FORMTEXT </w:instrText>
            </w:r>
            <w:r w:rsidR="00006EC0" w:rsidRPr="001D6AFD">
              <w:rPr>
                <w:rFonts w:ascii="Times New Roman" w:hAnsi="Times New Roman" w:cs="Times New Roman"/>
                <w:bCs/>
                <w:iCs/>
                <w:snapToGrid w:val="0"/>
                <w:sz w:val="24"/>
                <w:szCs w:val="24"/>
              </w:rPr>
            </w:r>
            <w:r w:rsidR="00006EC0" w:rsidRPr="001D6AFD">
              <w:rPr>
                <w:rFonts w:ascii="Times New Roman" w:hAnsi="Times New Roman" w:cs="Times New Roman"/>
                <w:bCs/>
                <w:iCs/>
                <w:snapToGrid w:val="0"/>
                <w:sz w:val="24"/>
                <w:szCs w:val="24"/>
              </w:rPr>
              <w:fldChar w:fldCharType="separate"/>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noProof/>
                <w:snapToGrid w:val="0"/>
                <w:sz w:val="24"/>
                <w:szCs w:val="24"/>
              </w:rPr>
              <w:t> </w:t>
            </w:r>
            <w:r w:rsidR="00006EC0" w:rsidRPr="001D6AFD">
              <w:rPr>
                <w:rFonts w:ascii="Times New Roman" w:hAnsi="Times New Roman" w:cs="Times New Roman"/>
                <w:bCs/>
                <w:iCs/>
                <w:snapToGrid w:val="0"/>
                <w:sz w:val="24"/>
                <w:szCs w:val="24"/>
              </w:rPr>
              <w:fldChar w:fldCharType="end"/>
            </w:r>
          </w:p>
          <w:p w14:paraId="7AA2D079" w14:textId="2C85A4E8" w:rsidR="00793DE6" w:rsidRPr="001D6AFD" w:rsidRDefault="00006EC0"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1D6AFD">
              <w:rPr>
                <w:rFonts w:ascii="Times New Roman" w:hAnsi="Times New Roman" w:cs="Times New Roman"/>
                <w:sz w:val="24"/>
                <w:szCs w:val="24"/>
              </w:rPr>
              <w:t xml:space="preserve">                                          </w:t>
            </w:r>
            <w:r w:rsidR="000F43A8" w:rsidRPr="001D6AFD">
              <w:rPr>
                <w:rFonts w:ascii="Times New Roman" w:hAnsi="Times New Roman" w:cs="Times New Roman"/>
                <w:sz w:val="24"/>
                <w:szCs w:val="24"/>
              </w:rPr>
              <w:t xml:space="preserve">            </w:t>
            </w:r>
            <w:r w:rsidRPr="001D6AFD">
              <w:rPr>
                <w:rFonts w:ascii="Times New Roman" w:hAnsi="Times New Roman" w:cs="Times New Roman"/>
                <w:sz w:val="24"/>
                <w:szCs w:val="24"/>
              </w:rPr>
              <w:t xml:space="preserve"> </w:t>
            </w:r>
            <w:proofErr w:type="gramStart"/>
            <w:r w:rsidR="00793DE6" w:rsidRPr="001D6AFD">
              <w:rPr>
                <w:rFonts w:ascii="Times New Roman" w:hAnsi="Times New Roman" w:cs="Times New Roman"/>
                <w:sz w:val="24"/>
                <w:szCs w:val="24"/>
              </w:rPr>
              <w:t>Total:</w:t>
            </w:r>
            <w:proofErr w:type="gramEnd"/>
            <w:r w:rsidRPr="001D6AFD">
              <w:rPr>
                <w:rFonts w:ascii="Times New Roman" w:hAnsi="Times New Roman" w:cs="Times New Roman"/>
                <w:sz w:val="24"/>
                <w:szCs w:val="24"/>
              </w:rPr>
              <w:t xml:space="preserve"> $ </w:t>
            </w:r>
            <w:r w:rsidR="002C10AB" w:rsidRPr="001D6AFD">
              <w:rPr>
                <w:rFonts w:ascii="Times New Roman" w:hAnsi="Times New Roman" w:cs="Times New Roman"/>
                <w:bCs/>
                <w:iCs/>
                <w:snapToGrid w:val="0"/>
                <w:sz w:val="24"/>
                <w:szCs w:val="24"/>
              </w:rPr>
              <w:t>770 400</w:t>
            </w:r>
            <w:r w:rsidR="00C12D6A" w:rsidRPr="001D6AFD">
              <w:rPr>
                <w:rFonts w:ascii="Times New Roman" w:hAnsi="Times New Roman" w:cs="Times New Roman"/>
                <w:bCs/>
                <w:iCs/>
                <w:snapToGrid w:val="0"/>
                <w:sz w:val="24"/>
                <w:szCs w:val="24"/>
              </w:rPr>
              <w:t xml:space="preserve"> </w:t>
            </w:r>
          </w:p>
          <w:p w14:paraId="5324AF29" w14:textId="41A3150E" w:rsidR="001C56B8" w:rsidRPr="001D6AFD"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rPr>
            </w:pPr>
            <w:r w:rsidRPr="001D6AFD">
              <w:rPr>
                <w:rFonts w:ascii="Times New Roman" w:hAnsi="Times New Roman" w:cs="Times New Roman"/>
                <w:bCs/>
                <w:iCs/>
                <w:snapToGrid w:val="0"/>
                <w:sz w:val="24"/>
                <w:szCs w:val="24"/>
              </w:rPr>
              <w:t xml:space="preserve">Taux de mise en œuvre approximatif comme pourcentage du budget total du </w:t>
            </w:r>
            <w:proofErr w:type="gramStart"/>
            <w:r w:rsidRPr="001D6AFD">
              <w:rPr>
                <w:rFonts w:ascii="Times New Roman" w:hAnsi="Times New Roman" w:cs="Times New Roman"/>
                <w:bCs/>
                <w:iCs/>
                <w:snapToGrid w:val="0"/>
                <w:sz w:val="24"/>
                <w:szCs w:val="24"/>
              </w:rPr>
              <w:t>projet</w:t>
            </w:r>
            <w:r w:rsidR="001C56B8" w:rsidRPr="001D6AFD">
              <w:rPr>
                <w:rFonts w:ascii="Times New Roman" w:hAnsi="Times New Roman" w:cs="Times New Roman"/>
                <w:bCs/>
                <w:iCs/>
                <w:snapToGrid w:val="0"/>
                <w:sz w:val="24"/>
                <w:szCs w:val="24"/>
              </w:rPr>
              <w:t>:</w:t>
            </w:r>
            <w:proofErr w:type="gramEnd"/>
            <w:r w:rsidR="001C56B8" w:rsidRPr="001D6AFD">
              <w:rPr>
                <w:rFonts w:ascii="Times New Roman" w:hAnsi="Times New Roman" w:cs="Times New Roman"/>
                <w:bCs/>
                <w:iCs/>
                <w:snapToGrid w:val="0"/>
                <w:sz w:val="24"/>
                <w:szCs w:val="24"/>
              </w:rPr>
              <w:t xml:space="preserve"> </w:t>
            </w:r>
            <w:r w:rsidR="002C10AB" w:rsidRPr="001D6AFD">
              <w:rPr>
                <w:rFonts w:ascii="Times New Roman" w:hAnsi="Times New Roman" w:cs="Times New Roman"/>
                <w:bCs/>
                <w:iCs/>
                <w:snapToGrid w:val="0"/>
                <w:sz w:val="24"/>
                <w:szCs w:val="24"/>
              </w:rPr>
              <w:t>47.07%</w:t>
            </w:r>
          </w:p>
          <w:p w14:paraId="4160A5D1" w14:textId="77777777" w:rsidR="00826923" w:rsidRPr="001D6AFD"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rPr>
            </w:pPr>
            <w:r w:rsidRPr="001D6AFD">
              <w:rPr>
                <w:rFonts w:ascii="Times New Roman" w:hAnsi="Times New Roman" w:cs="Times New Roman"/>
                <w:bCs/>
                <w:iCs/>
                <w:snapToGrid w:val="0"/>
                <w:sz w:val="23"/>
                <w:szCs w:val="23"/>
              </w:rPr>
              <w:t>*JOINDRE LE BUDGET EXCEL DU PROJET MONTRANT LES DÉPENSES APPROXIMATIVES ACTUELLES*</w:t>
            </w:r>
          </w:p>
          <w:p w14:paraId="33C6084F" w14:textId="77777777" w:rsidR="00793DE6" w:rsidRPr="001D6AFD" w:rsidRDefault="00793DE6" w:rsidP="001A3157">
            <w:pPr>
              <w:pStyle w:val="BalloonText"/>
              <w:numPr>
                <w:ilvl w:val="12"/>
                <w:numId w:val="0"/>
              </w:numPr>
              <w:tabs>
                <w:tab w:val="left" w:pos="-720"/>
                <w:tab w:val="left" w:pos="4500"/>
              </w:tabs>
              <w:suppressAutoHyphens/>
              <w:rPr>
                <w:rFonts w:ascii="Times New Roman" w:hAnsi="Times New Roman" w:cs="Times New Roman"/>
                <w:sz w:val="24"/>
                <w:szCs w:val="24"/>
              </w:rPr>
            </w:pPr>
          </w:p>
          <w:p w14:paraId="4F39A02E" w14:textId="77777777" w:rsidR="00006EC0" w:rsidRPr="001D6AFD" w:rsidRDefault="000F43A8" w:rsidP="001A3157">
            <w:pPr>
              <w:pStyle w:val="BalloonText"/>
              <w:numPr>
                <w:ilvl w:val="12"/>
                <w:numId w:val="0"/>
              </w:numPr>
              <w:tabs>
                <w:tab w:val="left" w:pos="-720"/>
                <w:tab w:val="left" w:pos="4500"/>
              </w:tabs>
              <w:suppressAutoHyphens/>
              <w:rPr>
                <w:rFonts w:ascii="Times New Roman" w:hAnsi="Times New Roman" w:cs="Times New Roman"/>
                <w:b/>
                <w:bCs/>
                <w:sz w:val="24"/>
                <w:szCs w:val="24"/>
              </w:rPr>
            </w:pPr>
            <w:proofErr w:type="spellStart"/>
            <w:r w:rsidRPr="001D6AFD">
              <w:rPr>
                <w:rFonts w:ascii="Times New Roman" w:hAnsi="Times New Roman" w:cs="Times New Roman"/>
                <w:b/>
                <w:bCs/>
                <w:sz w:val="24"/>
                <w:szCs w:val="24"/>
              </w:rPr>
              <w:t>Budgetisation</w:t>
            </w:r>
            <w:proofErr w:type="spellEnd"/>
            <w:r w:rsidRPr="001D6AFD">
              <w:rPr>
                <w:rFonts w:ascii="Times New Roman" w:hAnsi="Times New Roman" w:cs="Times New Roman"/>
                <w:b/>
                <w:bCs/>
                <w:sz w:val="24"/>
                <w:szCs w:val="24"/>
              </w:rPr>
              <w:t xml:space="preserve"> sensible au </w:t>
            </w:r>
            <w:proofErr w:type="gramStart"/>
            <w:r w:rsidRPr="001D6AFD">
              <w:rPr>
                <w:rFonts w:ascii="Times New Roman" w:hAnsi="Times New Roman" w:cs="Times New Roman"/>
                <w:b/>
                <w:bCs/>
                <w:sz w:val="24"/>
                <w:szCs w:val="24"/>
              </w:rPr>
              <w:t>genre</w:t>
            </w:r>
            <w:r w:rsidR="00006EC0" w:rsidRPr="001D6AFD">
              <w:rPr>
                <w:rFonts w:ascii="Times New Roman" w:hAnsi="Times New Roman" w:cs="Times New Roman"/>
                <w:b/>
                <w:bCs/>
                <w:sz w:val="24"/>
                <w:szCs w:val="24"/>
              </w:rPr>
              <w:t>:</w:t>
            </w:r>
            <w:proofErr w:type="gramEnd"/>
          </w:p>
          <w:p w14:paraId="70C2EA9C" w14:textId="5A587D7E" w:rsidR="00970F4C" w:rsidRPr="001D6AFD" w:rsidRDefault="000F43A8" w:rsidP="000F43A8">
            <w:r w:rsidRPr="001D6AFD">
              <w:t xml:space="preserve">Indiquez le montant ($) du budget dans le document de projet alloué aux activités dédiées à l’égalité des sexes ou à l’autonomisation des </w:t>
            </w:r>
            <w:proofErr w:type="gramStart"/>
            <w:r w:rsidRPr="001D6AFD">
              <w:t>femmes</w:t>
            </w:r>
            <w:r w:rsidR="00970F4C" w:rsidRPr="001D6AFD">
              <w:t>:</w:t>
            </w:r>
            <w:proofErr w:type="gramEnd"/>
            <w:r w:rsidR="00970F4C" w:rsidRPr="001D6AFD">
              <w:t xml:space="preserve"> </w:t>
            </w:r>
            <w:r w:rsidR="002C10AB" w:rsidRPr="001D6AFD">
              <w:t>231 120</w:t>
            </w:r>
            <w:r w:rsidR="003B3CF1">
              <w:t>$</w:t>
            </w:r>
          </w:p>
          <w:p w14:paraId="00AF6414" w14:textId="0FD33387" w:rsidR="00006EC0" w:rsidRPr="003B3CF1" w:rsidRDefault="000F43A8" w:rsidP="00006EC0">
            <w:r w:rsidRPr="001D6AFD">
              <w:t xml:space="preserve">Indiquez le montant ($) du budget dépensé jusqu’à maintenant pour les activités dédiées à l’égalité des sexes ou à l’autonomisation des </w:t>
            </w:r>
            <w:proofErr w:type="gramStart"/>
            <w:r w:rsidRPr="001D6AFD">
              <w:t>femmes</w:t>
            </w:r>
            <w:r w:rsidR="00006EC0" w:rsidRPr="001D6AFD">
              <w:t>:</w:t>
            </w:r>
            <w:proofErr w:type="gramEnd"/>
            <w:r w:rsidR="00006EC0" w:rsidRPr="001D6AFD">
              <w:t xml:space="preserve"> </w:t>
            </w:r>
            <w:r w:rsidR="003B3CF1" w:rsidRPr="003B3CF1">
              <w:t>96</w:t>
            </w:r>
            <w:r w:rsidR="003B3CF1">
              <w:t xml:space="preserve"> 627$</w:t>
            </w:r>
          </w:p>
          <w:p w14:paraId="639EFB0D" w14:textId="77777777" w:rsidR="00952DE4" w:rsidRPr="001D6AFD"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rPr>
            </w:pPr>
          </w:p>
        </w:tc>
      </w:tr>
      <w:tr w:rsidR="009B18EB" w:rsidRPr="00D161D4" w14:paraId="0DF7F010" w14:textId="77777777" w:rsidTr="00F23D0F">
        <w:trPr>
          <w:trHeight w:val="1124"/>
        </w:trPr>
        <w:tc>
          <w:tcPr>
            <w:tcW w:w="10080" w:type="dxa"/>
            <w:gridSpan w:val="2"/>
          </w:tcPr>
          <w:p w14:paraId="0084A294" w14:textId="1299BC3A" w:rsidR="009B18EB" w:rsidRPr="001D6AFD" w:rsidRDefault="000F43A8" w:rsidP="00F23D0F">
            <w:pPr>
              <w:rPr>
                <w:b/>
                <w:bCs/>
                <w:iCs/>
              </w:rPr>
            </w:pPr>
            <w:r w:rsidRPr="001D6AFD">
              <w:rPr>
                <w:b/>
                <w:bCs/>
                <w:iCs/>
              </w:rPr>
              <w:t xml:space="preserve">Marquer de genre du </w:t>
            </w:r>
            <w:proofErr w:type="gramStart"/>
            <w:r w:rsidRPr="001D6AFD">
              <w:rPr>
                <w:b/>
                <w:bCs/>
                <w:iCs/>
              </w:rPr>
              <w:t>projet</w:t>
            </w:r>
            <w:r w:rsidR="009B18EB" w:rsidRPr="001D6AFD">
              <w:rPr>
                <w:b/>
                <w:bCs/>
                <w:iCs/>
              </w:rPr>
              <w:t>:</w:t>
            </w:r>
            <w:proofErr w:type="gramEnd"/>
            <w:r w:rsidR="009B18EB" w:rsidRPr="001D6AFD">
              <w:rPr>
                <w:b/>
                <w:bCs/>
                <w:iCs/>
              </w:rPr>
              <w:t xml:space="preserve"> </w:t>
            </w:r>
            <w:r w:rsidR="002C10AB" w:rsidRPr="001D6AFD">
              <w:rPr>
                <w:b/>
                <w:bCs/>
                <w:iCs/>
              </w:rPr>
              <w:t>2</w:t>
            </w:r>
          </w:p>
          <w:p w14:paraId="7B5DB9E4" w14:textId="7D765A12" w:rsidR="009B18EB" w:rsidRPr="001D6AFD" w:rsidRDefault="000F43A8" w:rsidP="00F23D0F">
            <w:pPr>
              <w:rPr>
                <w:b/>
                <w:bCs/>
                <w:iCs/>
              </w:rPr>
            </w:pPr>
            <w:r w:rsidRPr="001D6AFD">
              <w:rPr>
                <w:b/>
                <w:bCs/>
                <w:iCs/>
              </w:rPr>
              <w:t xml:space="preserve">Marquer de risque du </w:t>
            </w:r>
            <w:proofErr w:type="gramStart"/>
            <w:r w:rsidRPr="001D6AFD">
              <w:rPr>
                <w:b/>
                <w:bCs/>
                <w:iCs/>
              </w:rPr>
              <w:t>projet</w:t>
            </w:r>
            <w:r w:rsidR="009B18EB" w:rsidRPr="001D6AFD">
              <w:rPr>
                <w:b/>
                <w:bCs/>
                <w:iCs/>
              </w:rPr>
              <w:t>:</w:t>
            </w:r>
            <w:proofErr w:type="gramEnd"/>
            <w:r w:rsidR="009B18EB" w:rsidRPr="001D6AFD">
              <w:rPr>
                <w:b/>
                <w:bCs/>
                <w:iCs/>
              </w:rPr>
              <w:t xml:space="preserve"> </w:t>
            </w:r>
            <w:r w:rsidR="002C10AB" w:rsidRPr="001D6AFD">
              <w:rPr>
                <w:b/>
                <w:bCs/>
                <w:iCs/>
              </w:rPr>
              <w:t>0</w:t>
            </w:r>
          </w:p>
          <w:p w14:paraId="55B14D86" w14:textId="3631B26E" w:rsidR="009B18EB" w:rsidRPr="001D6AFD" w:rsidRDefault="000F43A8" w:rsidP="00F23D0F">
            <w:pPr>
              <w:rPr>
                <w:b/>
                <w:bCs/>
                <w:iCs/>
              </w:rPr>
            </w:pPr>
            <w:r w:rsidRPr="001D6AFD">
              <w:rPr>
                <w:b/>
                <w:bCs/>
                <w:szCs w:val="22"/>
              </w:rPr>
              <w:t xml:space="preserve">Domaine de priorité de l’intervention PBF (« PBF </w:t>
            </w:r>
            <w:r w:rsidR="009B18EB" w:rsidRPr="001D6AFD">
              <w:rPr>
                <w:b/>
                <w:bCs/>
                <w:iCs/>
              </w:rPr>
              <w:t>focus area</w:t>
            </w:r>
            <w:r w:rsidRPr="001D6AFD">
              <w:rPr>
                <w:b/>
                <w:bCs/>
                <w:iCs/>
              </w:rPr>
              <w:t> »</w:t>
            </w:r>
            <w:proofErr w:type="gramStart"/>
            <w:r w:rsidRPr="001D6AFD">
              <w:rPr>
                <w:b/>
                <w:bCs/>
                <w:iCs/>
              </w:rPr>
              <w:t>)</w:t>
            </w:r>
            <w:r w:rsidR="009B18EB" w:rsidRPr="001D6AFD">
              <w:rPr>
                <w:b/>
                <w:bCs/>
                <w:iCs/>
              </w:rPr>
              <w:t>:</w:t>
            </w:r>
            <w:proofErr w:type="gramEnd"/>
            <w:r w:rsidR="009B18EB" w:rsidRPr="001D6AFD">
              <w:rPr>
                <w:b/>
                <w:bCs/>
                <w:iCs/>
              </w:rPr>
              <w:t xml:space="preserve"> </w:t>
            </w:r>
            <w:r w:rsidR="002C10AB" w:rsidRPr="001D6AFD">
              <w:rPr>
                <w:b/>
                <w:bCs/>
                <w:iCs/>
              </w:rPr>
              <w:t>4.3</w:t>
            </w:r>
          </w:p>
        </w:tc>
      </w:tr>
      <w:tr w:rsidR="00793DE6" w:rsidRPr="00D161D4" w14:paraId="27192C5C" w14:textId="77777777" w:rsidTr="00F23D0F">
        <w:trPr>
          <w:trHeight w:val="1124"/>
        </w:trPr>
        <w:tc>
          <w:tcPr>
            <w:tcW w:w="10080" w:type="dxa"/>
            <w:gridSpan w:val="2"/>
          </w:tcPr>
          <w:p w14:paraId="7BC15C3E" w14:textId="77777777" w:rsidR="000F43A8" w:rsidRPr="001D6AFD" w:rsidRDefault="000F43A8" w:rsidP="000F43A8">
            <w:pPr>
              <w:rPr>
                <w:b/>
                <w:bCs/>
                <w:sz w:val="22"/>
              </w:rPr>
            </w:pPr>
            <w:r w:rsidRPr="001D6AFD">
              <w:rPr>
                <w:b/>
                <w:bCs/>
                <w:sz w:val="22"/>
              </w:rPr>
              <w:lastRenderedPageBreak/>
              <w:t xml:space="preserve">Préparation du </w:t>
            </w:r>
            <w:proofErr w:type="gramStart"/>
            <w:r w:rsidRPr="001D6AFD">
              <w:rPr>
                <w:b/>
                <w:bCs/>
                <w:sz w:val="22"/>
              </w:rPr>
              <w:t>rapport:</w:t>
            </w:r>
            <w:proofErr w:type="gramEnd"/>
          </w:p>
          <w:p w14:paraId="43FCACD6" w14:textId="56D54546" w:rsidR="000F43A8" w:rsidRPr="001D6AFD" w:rsidRDefault="000F43A8" w:rsidP="000F43A8">
            <w:r w:rsidRPr="001D6AFD">
              <w:t xml:space="preserve">Rapport préparé </w:t>
            </w:r>
            <w:proofErr w:type="gramStart"/>
            <w:r w:rsidRPr="001D6AFD">
              <w:t>par:</w:t>
            </w:r>
            <w:proofErr w:type="gramEnd"/>
            <w:r w:rsidRPr="001D6AFD">
              <w:t xml:space="preserve"> </w:t>
            </w:r>
            <w:r w:rsidR="002C10AB" w:rsidRPr="001D6AFD">
              <w:t>Delphine Colbeau</w:t>
            </w:r>
          </w:p>
          <w:p w14:paraId="4F7F6063" w14:textId="26E50897" w:rsidR="000F43A8" w:rsidRPr="001D6AFD" w:rsidRDefault="000F43A8" w:rsidP="000F43A8">
            <w:r w:rsidRPr="001D6AFD">
              <w:t xml:space="preserve">Rapport approuvé </w:t>
            </w:r>
            <w:proofErr w:type="gramStart"/>
            <w:r w:rsidRPr="001D6AFD">
              <w:t>par:</w:t>
            </w:r>
            <w:proofErr w:type="gramEnd"/>
            <w:r w:rsidRPr="001D6AFD">
              <w:t xml:space="preserve"> </w:t>
            </w:r>
            <w:r w:rsidR="002C10AB" w:rsidRPr="001D6AFD">
              <w:t>Adeline Carrier</w:t>
            </w:r>
          </w:p>
          <w:p w14:paraId="64A19D37" w14:textId="02A93121" w:rsidR="000F43A8" w:rsidRPr="001D6AFD" w:rsidRDefault="000F43A8" w:rsidP="000F43A8">
            <w:r w:rsidRPr="001D6AFD">
              <w:t xml:space="preserve">Le Secrétariat PBF a-t-il revu le </w:t>
            </w:r>
            <w:proofErr w:type="gramStart"/>
            <w:r w:rsidRPr="001D6AFD">
              <w:t>rapport</w:t>
            </w:r>
            <w:r w:rsidRPr="001D6AFD">
              <w:rPr>
                <w:sz w:val="22"/>
              </w:rPr>
              <w:t>:</w:t>
            </w:r>
            <w:proofErr w:type="gramEnd"/>
            <w:r w:rsidRPr="001D6AFD">
              <w:rPr>
                <w:sz w:val="22"/>
              </w:rPr>
              <w:t xml:space="preserve"> </w:t>
            </w:r>
            <w:r w:rsidR="002C10AB" w:rsidRPr="001D6AFD">
              <w:rPr>
                <w:sz w:val="22"/>
              </w:rPr>
              <w:t>Oui</w:t>
            </w:r>
          </w:p>
        </w:tc>
      </w:tr>
    </w:tbl>
    <w:p w14:paraId="0BC7960C" w14:textId="77777777" w:rsidR="00272A58" w:rsidRPr="001D6AFD" w:rsidRDefault="00272A58" w:rsidP="00E76CA1">
      <w:pPr>
        <w:rPr>
          <w:b/>
        </w:rPr>
        <w:sectPr w:rsidR="00272A58" w:rsidRPr="001D6AFD"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77777777" w:rsidR="00F778A1" w:rsidRPr="001D6AFD" w:rsidRDefault="00F778A1" w:rsidP="00F778A1">
      <w:pPr>
        <w:ind w:hanging="810"/>
        <w:jc w:val="both"/>
        <w:rPr>
          <w:b/>
          <w:i/>
          <w:iCs/>
        </w:rPr>
      </w:pPr>
      <w:r w:rsidRPr="001D6AFD">
        <w:rPr>
          <w:b/>
          <w:i/>
          <w:iCs/>
        </w:rPr>
        <w:lastRenderedPageBreak/>
        <w:t xml:space="preserve">NOTES POUR REMPLIR LE </w:t>
      </w:r>
      <w:proofErr w:type="gramStart"/>
      <w:r w:rsidRPr="001D6AFD">
        <w:rPr>
          <w:b/>
          <w:i/>
          <w:iCs/>
        </w:rPr>
        <w:t>RAPPORT:</w:t>
      </w:r>
      <w:proofErr w:type="gramEnd"/>
    </w:p>
    <w:p w14:paraId="1C4D2EEE" w14:textId="77777777" w:rsidR="00F778A1" w:rsidRPr="001D6AFD" w:rsidRDefault="00F778A1" w:rsidP="00F778A1">
      <w:pPr>
        <w:numPr>
          <w:ilvl w:val="0"/>
          <w:numId w:val="44"/>
        </w:numPr>
        <w:ind w:left="-540"/>
        <w:jc w:val="both"/>
        <w:rPr>
          <w:i/>
          <w:iCs/>
        </w:rPr>
      </w:pPr>
      <w:r w:rsidRPr="001D6AFD">
        <w:rPr>
          <w:i/>
          <w:iCs/>
        </w:rPr>
        <w:t>Évitez les acronymes et le jargon des Nations Unies, utilisez un langage général / commun.</w:t>
      </w:r>
    </w:p>
    <w:p w14:paraId="580E26F8" w14:textId="77777777" w:rsidR="00F778A1" w:rsidRPr="001D6AFD" w:rsidRDefault="00F778A1" w:rsidP="00F778A1">
      <w:pPr>
        <w:numPr>
          <w:ilvl w:val="0"/>
          <w:numId w:val="44"/>
        </w:numPr>
        <w:ind w:left="-540"/>
        <w:jc w:val="both"/>
        <w:rPr>
          <w:i/>
          <w:iCs/>
        </w:rPr>
      </w:pPr>
      <w:r w:rsidRPr="001D6AFD">
        <w:rPr>
          <w:i/>
          <w:iCs/>
        </w:rPr>
        <w:t>Décrivez ce que le projet a fait dans la période de rapport, plutôt que les intentions du projet.</w:t>
      </w:r>
    </w:p>
    <w:p w14:paraId="31F9E604" w14:textId="77777777" w:rsidR="00F778A1" w:rsidRPr="001D6AFD" w:rsidRDefault="00F778A1" w:rsidP="00F778A1">
      <w:pPr>
        <w:numPr>
          <w:ilvl w:val="0"/>
          <w:numId w:val="44"/>
        </w:numPr>
        <w:ind w:left="-540"/>
        <w:jc w:val="both"/>
        <w:rPr>
          <w:i/>
          <w:iCs/>
        </w:rPr>
      </w:pPr>
      <w:r w:rsidRPr="001D6AFD">
        <w:rPr>
          <w:i/>
          <w:iCs/>
        </w:rPr>
        <w:t>Soyez aussi concret que possible. Évitez les discours théoriques, vagues ou conceptuels.</w:t>
      </w:r>
    </w:p>
    <w:p w14:paraId="5AF9ECD6" w14:textId="05335C3E" w:rsidR="00F778A1" w:rsidRPr="001D6AFD" w:rsidRDefault="00BF4E1E" w:rsidP="00F778A1">
      <w:pPr>
        <w:numPr>
          <w:ilvl w:val="0"/>
          <w:numId w:val="44"/>
        </w:numPr>
        <w:ind w:left="-810" w:hanging="90"/>
        <w:jc w:val="both"/>
        <w:rPr>
          <w:i/>
          <w:iCs/>
        </w:rPr>
      </w:pPr>
      <w:r w:rsidRPr="001D6AFD">
        <w:rPr>
          <w:i/>
          <w:iCs/>
        </w:rPr>
        <w:t xml:space="preserve">    </w:t>
      </w:r>
      <w:r w:rsidR="00F778A1" w:rsidRPr="001D6AFD">
        <w:rPr>
          <w:i/>
          <w:iCs/>
        </w:rPr>
        <w:t>Veillez à ce que l'analyse et l'évaluation des progrès du projet tiennent compte des spécificités du sexe et de l'âge.</w:t>
      </w:r>
    </w:p>
    <w:p w14:paraId="1E6656F8" w14:textId="73649FFB" w:rsidR="00C955F4" w:rsidRPr="001D6AFD" w:rsidRDefault="00C955F4" w:rsidP="00F778A1">
      <w:pPr>
        <w:numPr>
          <w:ilvl w:val="0"/>
          <w:numId w:val="44"/>
        </w:numPr>
        <w:ind w:left="-810" w:hanging="90"/>
        <w:jc w:val="both"/>
        <w:rPr>
          <w:i/>
          <w:iCs/>
        </w:rPr>
      </w:pPr>
      <w:r w:rsidRPr="001D6AFD">
        <w:rPr>
          <w:i/>
          <w:iCs/>
        </w:rPr>
        <w:t xml:space="preserve"> </w:t>
      </w:r>
      <w:r w:rsidRPr="001D6AFD">
        <w:rPr>
          <w:i/>
          <w:iCs/>
        </w:rPr>
        <w:tab/>
      </w:r>
      <w:r w:rsidRPr="001D6AFD">
        <w:rPr>
          <w:i/>
          <w:iCs/>
        </w:rPr>
        <w:tab/>
        <w:t xml:space="preserve">Veuillez inclure </w:t>
      </w:r>
      <w:r w:rsidR="001B4FC7" w:rsidRPr="001D6AFD">
        <w:rPr>
          <w:i/>
          <w:iCs/>
        </w:rPr>
        <w:t>des</w:t>
      </w:r>
      <w:r w:rsidRPr="001D6AFD">
        <w:rPr>
          <w:i/>
          <w:iCs/>
        </w:rPr>
        <w:t xml:space="preserve"> considérations, ajustements et résultats liés au COVID-19 et répond</w:t>
      </w:r>
      <w:r w:rsidR="001B4FC7" w:rsidRPr="001D6AFD">
        <w:rPr>
          <w:i/>
          <w:iCs/>
        </w:rPr>
        <w:t>ez</w:t>
      </w:r>
      <w:r w:rsidRPr="001D6AFD">
        <w:rPr>
          <w:i/>
          <w:iCs/>
        </w:rPr>
        <w:t xml:space="preserve"> à la section IV.</w:t>
      </w:r>
    </w:p>
    <w:p w14:paraId="40FFAF39" w14:textId="77777777" w:rsidR="00476758" w:rsidRPr="001D6AFD" w:rsidRDefault="00476758" w:rsidP="00476758">
      <w:pPr>
        <w:rPr>
          <w:b/>
        </w:rPr>
      </w:pPr>
    </w:p>
    <w:p w14:paraId="2BF2039C" w14:textId="77777777" w:rsidR="00476758" w:rsidRPr="001D6AFD" w:rsidRDefault="00476758" w:rsidP="00476758">
      <w:pPr>
        <w:rPr>
          <w:b/>
        </w:rPr>
      </w:pPr>
    </w:p>
    <w:p w14:paraId="7E8152B5" w14:textId="77777777" w:rsidR="00F778A1" w:rsidRPr="001D6AFD" w:rsidRDefault="00F778A1" w:rsidP="00476758">
      <w:pPr>
        <w:rPr>
          <w:b/>
          <w:bCs/>
          <w:color w:val="212121"/>
          <w:u w:val="single"/>
        </w:rPr>
      </w:pPr>
      <w:r w:rsidRPr="001D6AFD">
        <w:rPr>
          <w:b/>
          <w:u w:val="single"/>
        </w:rPr>
        <w:t xml:space="preserve">Partie 1 : </w:t>
      </w:r>
      <w:r w:rsidRPr="001D6AFD">
        <w:rPr>
          <w:b/>
          <w:bCs/>
          <w:color w:val="212121"/>
          <w:u w:val="single"/>
        </w:rPr>
        <w:t xml:space="preserve">Progrès global du projet </w:t>
      </w:r>
    </w:p>
    <w:p w14:paraId="424EDE31" w14:textId="77777777" w:rsidR="00A02F58" w:rsidRPr="001D6AFD" w:rsidRDefault="00A02F58" w:rsidP="00F778A1">
      <w:pPr>
        <w:rPr>
          <w:b/>
        </w:rPr>
      </w:pPr>
    </w:p>
    <w:p w14:paraId="66AEE221" w14:textId="77777777" w:rsidR="00F778A1" w:rsidRPr="00846808" w:rsidRDefault="00F778A1" w:rsidP="00F778A1">
      <w:pPr>
        <w:ind w:left="-810"/>
      </w:pPr>
      <w:r w:rsidRPr="001D6AFD">
        <w:t xml:space="preserve">Expliquer brièvement l'état global de mise en œuvre du projet en termes de cycle de mise en œuvre, y compris si toutes les activités préparatoires ont été achevées (par exemple, contractualisation des partenaires, recrutement du personnel etc.) </w:t>
      </w:r>
      <w:r w:rsidRPr="00846808">
        <w:t>(limite de 1500 caractères</w:t>
      </w:r>
      <w:proofErr w:type="gramStart"/>
      <w:r w:rsidRPr="00846808">
        <w:t>):</w:t>
      </w:r>
      <w:proofErr w:type="gramEnd"/>
      <w:r w:rsidRPr="00846808">
        <w:t xml:space="preserve"> </w:t>
      </w:r>
    </w:p>
    <w:p w14:paraId="5E25EE25" w14:textId="271560A2" w:rsidR="00F778A1" w:rsidRPr="00846808" w:rsidRDefault="00F778A1" w:rsidP="00F778A1">
      <w:pPr>
        <w:ind w:left="-810"/>
        <w:rPr>
          <w:b/>
          <w:i/>
          <w:sz w:val="22"/>
          <w:szCs w:val="22"/>
        </w:rPr>
      </w:pPr>
    </w:p>
    <w:p w14:paraId="0CD693FC" w14:textId="681149F8" w:rsidR="002C10AB" w:rsidRPr="001D6AFD" w:rsidRDefault="002C10AB" w:rsidP="002C10AB">
      <w:pPr>
        <w:ind w:left="-810"/>
        <w:jc w:val="both"/>
        <w:rPr>
          <w:bCs/>
          <w:iCs/>
        </w:rPr>
      </w:pPr>
      <w:r w:rsidRPr="001D6AFD">
        <w:rPr>
          <w:bCs/>
          <w:iCs/>
        </w:rPr>
        <w:t>L’année 2021 fut marquée par un ensemble d’évènement sur le plan socio-politique, socio-économique et sécuritaire auquel le pays a fait face durant ces 6 derniers mois. Ces évènements ont d’un</w:t>
      </w:r>
      <w:r w:rsidR="00055A15">
        <w:rPr>
          <w:bCs/>
          <w:iCs/>
        </w:rPr>
        <w:t>e</w:t>
      </w:r>
      <w:r w:rsidRPr="001D6AFD">
        <w:rPr>
          <w:bCs/>
          <w:iCs/>
        </w:rPr>
        <w:t xml:space="preserve"> manière négative influencé la mise en œuvre parfaite des activités de ce projet. Toutefois, le projet a fait </w:t>
      </w:r>
      <w:r w:rsidR="00055A15" w:rsidRPr="001D6AFD">
        <w:rPr>
          <w:bCs/>
          <w:iCs/>
        </w:rPr>
        <w:t>des efforts considérables</w:t>
      </w:r>
      <w:r w:rsidRPr="001D6AFD">
        <w:rPr>
          <w:bCs/>
          <w:iCs/>
        </w:rPr>
        <w:t xml:space="preserve"> pour rattrape</w:t>
      </w:r>
      <w:r w:rsidR="00846808">
        <w:rPr>
          <w:bCs/>
          <w:iCs/>
        </w:rPr>
        <w:t>r</w:t>
      </w:r>
      <w:r w:rsidRPr="001D6AFD">
        <w:rPr>
          <w:bCs/>
          <w:iCs/>
        </w:rPr>
        <w:t xml:space="preserve"> le pas et a pu obtenir des résultats parlants. </w:t>
      </w:r>
    </w:p>
    <w:p w14:paraId="1EF7D7BB" w14:textId="1B8C1AA0" w:rsidR="002C10AB" w:rsidRPr="001D6AFD" w:rsidRDefault="002C10AB" w:rsidP="002C10AB">
      <w:pPr>
        <w:ind w:left="-810"/>
        <w:jc w:val="both"/>
        <w:rPr>
          <w:bCs/>
          <w:iCs/>
        </w:rPr>
      </w:pPr>
      <w:r w:rsidRPr="001D6AFD">
        <w:rPr>
          <w:bCs/>
          <w:iCs/>
        </w:rPr>
        <w:t>Sur le plan global, le secrétariat a connu des changements au niveau de son personnel. Le coordonnateur du secrétariat qui avait pris ses fonctions en Décembre 2020 a dû les quitter en juillet 2021. Une consultante a été recrutée pour couvrir les fonctions de coordination du secrétariat pour une période de 3 mois, du 15 octobre 2021 au 15 Janvier 2022, pendant que le recrutement d’un nouveau coordonnateur est en cours.</w:t>
      </w:r>
    </w:p>
    <w:p w14:paraId="251BE8B8" w14:textId="14D36EDA" w:rsidR="002C10AB" w:rsidRPr="001D6AFD" w:rsidRDefault="002C10AB" w:rsidP="002C10AB">
      <w:pPr>
        <w:ind w:left="-810"/>
        <w:jc w:val="both"/>
        <w:rPr>
          <w:bCs/>
          <w:iCs/>
        </w:rPr>
      </w:pPr>
      <w:r w:rsidRPr="001D6AFD">
        <w:rPr>
          <w:bCs/>
          <w:iCs/>
        </w:rPr>
        <w:t xml:space="preserve">Le chargé de la communication a également pris service en début d’année en consacrant 50% de son temps au programme PBF, mais il a changé de fonctions en Haïti au mois d’octobre. Le recrutement d’un nouveau Volontaire des Nations Unies est en cours. L’expert en charge du suivi et évaluation, </w:t>
      </w:r>
      <w:r w:rsidR="00846808">
        <w:rPr>
          <w:bCs/>
          <w:iCs/>
        </w:rPr>
        <w:t>d</w:t>
      </w:r>
      <w:r w:rsidRPr="001D6AFD">
        <w:rPr>
          <w:bCs/>
          <w:iCs/>
        </w:rPr>
        <w:t>ont recrutement a été finalis</w:t>
      </w:r>
      <w:r w:rsidR="00846808">
        <w:rPr>
          <w:bCs/>
          <w:iCs/>
        </w:rPr>
        <w:t xml:space="preserve">é, </w:t>
      </w:r>
      <w:r w:rsidRPr="001D6AFD">
        <w:rPr>
          <w:bCs/>
          <w:iCs/>
        </w:rPr>
        <w:t xml:space="preserve">a pris service le 14 juin 2021, mais le bureau lui a accordé le travail à distance jusqu’à son arrivée effective en Haïti en octobre 2021. </w:t>
      </w:r>
    </w:p>
    <w:p w14:paraId="1E2C93DE" w14:textId="77777777" w:rsidR="002C10AB" w:rsidRPr="001D6AFD" w:rsidRDefault="002C10AB" w:rsidP="002C10AB">
      <w:pPr>
        <w:ind w:left="-810"/>
        <w:jc w:val="both"/>
        <w:rPr>
          <w:bCs/>
          <w:iCs/>
        </w:rPr>
      </w:pPr>
    </w:p>
    <w:p w14:paraId="561FC14B" w14:textId="7708F1B4" w:rsidR="002C10AB" w:rsidRPr="001D6AFD" w:rsidRDefault="002C10AB" w:rsidP="002C10AB">
      <w:pPr>
        <w:ind w:left="-810"/>
        <w:jc w:val="both"/>
        <w:rPr>
          <w:bCs/>
          <w:iCs/>
        </w:rPr>
      </w:pPr>
      <w:r w:rsidRPr="001D6AFD">
        <w:rPr>
          <w:bCs/>
          <w:iCs/>
        </w:rPr>
        <w:t>Le projet a également mis sur pieds plusieurs mécanismes de gestion du portefeuille à savoir : i) la coordination inter-agences ; et ii) les réunions thématiques et le comité de pilotage. Le</w:t>
      </w:r>
      <w:r w:rsidR="003F74A0">
        <w:rPr>
          <w:bCs/>
          <w:iCs/>
        </w:rPr>
        <w:t>s</w:t>
      </w:r>
      <w:r w:rsidRPr="001D6AFD">
        <w:rPr>
          <w:bCs/>
          <w:iCs/>
        </w:rPr>
        <w:t xml:space="preserve"> termes de référence du comité de pilotage </w:t>
      </w:r>
      <w:r w:rsidR="00A92D58">
        <w:rPr>
          <w:bCs/>
          <w:iCs/>
        </w:rPr>
        <w:t xml:space="preserve">(COPIL) </w:t>
      </w:r>
      <w:r w:rsidRPr="001D6AFD">
        <w:rPr>
          <w:bCs/>
          <w:iCs/>
        </w:rPr>
        <w:t>ont été approuvés et une première réunion, co-présidée par le DSRSG/RC/HC et le Ministère de la Planification et de la Coopération Externe</w:t>
      </w:r>
      <w:r w:rsidR="00A92D58">
        <w:rPr>
          <w:bCs/>
          <w:iCs/>
        </w:rPr>
        <w:t xml:space="preserve"> s’est tenue le xx</w:t>
      </w:r>
      <w:r w:rsidRPr="001D6AFD">
        <w:rPr>
          <w:bCs/>
          <w:iCs/>
        </w:rPr>
        <w:t>.</w:t>
      </w:r>
      <w:r w:rsidR="001D6AFD" w:rsidRPr="001D6AFD">
        <w:rPr>
          <w:bCs/>
          <w:iCs/>
        </w:rPr>
        <w:t xml:space="preserve"> En raison des changements du mode de planification stratégique des Nations Unies en Haïti qui ont élaboré un Cadre Stratégique Intégré </w:t>
      </w:r>
      <w:r w:rsidR="00A92D58">
        <w:rPr>
          <w:bCs/>
          <w:iCs/>
        </w:rPr>
        <w:t xml:space="preserve">(ISF) </w:t>
      </w:r>
      <w:r w:rsidR="001D6AFD" w:rsidRPr="001D6AFD">
        <w:rPr>
          <w:bCs/>
          <w:iCs/>
        </w:rPr>
        <w:t>qui remplace l’UNDAF et ses mécanismes de coordinations tels que le Comité d’Orientation Stratégique (COS) qui devait aussi jouer un rôle comme mécanisme de gouvernance du PBF en Haïti, le fond s’appuie actuellement sur le COPIL pour ses orientations stratégiques. Les mécanismes de pilotage stratégique et d’orientation pourront être revus lorsque le UNSDCF, dont la mise en œuvre commencera en 2023, sera finalisé.</w:t>
      </w:r>
    </w:p>
    <w:p w14:paraId="17E0E6D0" w14:textId="77777777" w:rsidR="002C10AB" w:rsidRPr="001D6AFD" w:rsidRDefault="002C10AB" w:rsidP="002C10AB">
      <w:pPr>
        <w:ind w:left="-810"/>
        <w:jc w:val="both"/>
        <w:rPr>
          <w:bCs/>
          <w:iCs/>
        </w:rPr>
      </w:pPr>
    </w:p>
    <w:p w14:paraId="52F98EF0" w14:textId="14431D96" w:rsidR="00F1516C" w:rsidRPr="001D6AFD" w:rsidRDefault="00F1516C" w:rsidP="00F1516C">
      <w:pPr>
        <w:ind w:left="-810"/>
        <w:jc w:val="both"/>
        <w:rPr>
          <w:bCs/>
          <w:iCs/>
        </w:rPr>
      </w:pPr>
      <w:r w:rsidRPr="001D6AFD">
        <w:rPr>
          <w:bCs/>
          <w:iCs/>
        </w:rPr>
        <w:t xml:space="preserve">Le secrétariat a apporté un appui technique aux agences </w:t>
      </w:r>
      <w:proofErr w:type="spellStart"/>
      <w:r w:rsidRPr="001D6AFD">
        <w:rPr>
          <w:bCs/>
          <w:iCs/>
        </w:rPr>
        <w:t>RUNOs</w:t>
      </w:r>
      <w:proofErr w:type="spellEnd"/>
      <w:r w:rsidR="00F4131C">
        <w:rPr>
          <w:bCs/>
          <w:iCs/>
        </w:rPr>
        <w:t xml:space="preserve"> (</w:t>
      </w:r>
      <w:proofErr w:type="spellStart"/>
      <w:r w:rsidR="00F4131C">
        <w:rPr>
          <w:bCs/>
          <w:iCs/>
        </w:rPr>
        <w:t>recipient</w:t>
      </w:r>
      <w:proofErr w:type="spellEnd"/>
      <w:r w:rsidR="00F4131C">
        <w:rPr>
          <w:bCs/>
          <w:iCs/>
        </w:rPr>
        <w:t xml:space="preserve"> </w:t>
      </w:r>
      <w:proofErr w:type="gramStart"/>
      <w:r w:rsidR="00F4131C">
        <w:rPr>
          <w:bCs/>
          <w:iCs/>
        </w:rPr>
        <w:t>UN organi</w:t>
      </w:r>
      <w:r w:rsidR="0013151F">
        <w:rPr>
          <w:bCs/>
          <w:iCs/>
        </w:rPr>
        <w:t>s</w:t>
      </w:r>
      <w:r w:rsidR="00F4131C">
        <w:rPr>
          <w:bCs/>
          <w:iCs/>
        </w:rPr>
        <w:t>ations</w:t>
      </w:r>
      <w:proofErr w:type="gramEnd"/>
      <w:r w:rsidR="00F4131C">
        <w:rPr>
          <w:bCs/>
          <w:iCs/>
        </w:rPr>
        <w:t>)</w:t>
      </w:r>
      <w:r w:rsidRPr="001D6AFD">
        <w:rPr>
          <w:bCs/>
          <w:iCs/>
        </w:rPr>
        <w:t xml:space="preserve"> et </w:t>
      </w:r>
      <w:proofErr w:type="spellStart"/>
      <w:r w:rsidRPr="001D6AFD">
        <w:rPr>
          <w:bCs/>
          <w:iCs/>
        </w:rPr>
        <w:t>NUNOs</w:t>
      </w:r>
      <w:proofErr w:type="spellEnd"/>
      <w:r w:rsidRPr="001D6AFD">
        <w:rPr>
          <w:bCs/>
          <w:iCs/>
        </w:rPr>
        <w:t xml:space="preserve"> </w:t>
      </w:r>
      <w:r w:rsidR="0013151F">
        <w:rPr>
          <w:bCs/>
          <w:iCs/>
        </w:rPr>
        <w:t xml:space="preserve">(non-UN organisations) </w:t>
      </w:r>
      <w:r w:rsidRPr="001D6AFD">
        <w:rPr>
          <w:bCs/>
          <w:iCs/>
        </w:rPr>
        <w:t xml:space="preserve">dans l’élaboration des rapports contractuels et l’élaboration des notes conceptuelles et document de projet pour les nouvelles initiatives du PBF et le suivi programmatique.    </w:t>
      </w:r>
    </w:p>
    <w:p w14:paraId="701B872C" w14:textId="5253C919" w:rsidR="005869D9" w:rsidRPr="001D6AFD" w:rsidRDefault="005869D9" w:rsidP="002C10AB">
      <w:pPr>
        <w:ind w:left="-810"/>
        <w:jc w:val="both"/>
        <w:rPr>
          <w:bCs/>
          <w:iCs/>
        </w:rPr>
      </w:pPr>
      <w:r w:rsidRPr="001D6AFD">
        <w:rPr>
          <w:bCs/>
          <w:iCs/>
        </w:rPr>
        <w:lastRenderedPageBreak/>
        <w:t xml:space="preserve">Au cours de l’année, le </w:t>
      </w:r>
      <w:r w:rsidR="00007C0A" w:rsidRPr="001D6AFD">
        <w:rPr>
          <w:bCs/>
          <w:iCs/>
        </w:rPr>
        <w:t>Secrétariat</w:t>
      </w:r>
      <w:r w:rsidRPr="001D6AFD">
        <w:rPr>
          <w:bCs/>
          <w:iCs/>
        </w:rPr>
        <w:t xml:space="preserve"> a facilité l’élaboration de deux projets qui sont allés jusqu’à la soumission formelle et à l’approbation par le PAC du PBSO. Ces projets concernent la lutte contre les violences électorales et la lutte contre la corruption et le renforcement de la cohésion sociale. Un troisième document de projet est en cours d’élaboration après l’approbation de la note conceptuelle. Il concerne la mise en œuvre d’un dialogue </w:t>
      </w:r>
      <w:r w:rsidR="008B45B5">
        <w:rPr>
          <w:bCs/>
          <w:iCs/>
        </w:rPr>
        <w:t xml:space="preserve">national multi-acteurs </w:t>
      </w:r>
      <w:r w:rsidRPr="001D6AFD">
        <w:rPr>
          <w:bCs/>
          <w:iCs/>
        </w:rPr>
        <w:t>pour jeter les bases d’un nouveau modèle socio-économique vecteur de paix. Le secrétariat a aussi app</w:t>
      </w:r>
      <w:r w:rsidR="00F1516C" w:rsidRPr="001D6AFD">
        <w:rPr>
          <w:bCs/>
          <w:iCs/>
        </w:rPr>
        <w:t xml:space="preserve">uyé les </w:t>
      </w:r>
      <w:proofErr w:type="spellStart"/>
      <w:r w:rsidR="00F1516C" w:rsidRPr="001D6AFD">
        <w:rPr>
          <w:bCs/>
          <w:iCs/>
        </w:rPr>
        <w:t>PUNOs</w:t>
      </w:r>
      <w:proofErr w:type="spellEnd"/>
      <w:r w:rsidR="00F1516C" w:rsidRPr="001D6AFD">
        <w:rPr>
          <w:bCs/>
          <w:iCs/>
        </w:rPr>
        <w:t xml:space="preserve"> et les </w:t>
      </w:r>
      <w:proofErr w:type="spellStart"/>
      <w:r w:rsidR="00F1516C" w:rsidRPr="001D6AFD">
        <w:rPr>
          <w:bCs/>
          <w:iCs/>
        </w:rPr>
        <w:t>RUNOs</w:t>
      </w:r>
      <w:proofErr w:type="spellEnd"/>
      <w:r w:rsidR="00F1516C" w:rsidRPr="001D6AFD">
        <w:rPr>
          <w:bCs/>
          <w:iCs/>
        </w:rPr>
        <w:t xml:space="preserve"> dans la préparation de soumission au GYPI 2021 et deux projets ont été soumis formellement en Octobre 2021.</w:t>
      </w:r>
    </w:p>
    <w:p w14:paraId="6F5D03B7" w14:textId="030DEF5A" w:rsidR="0013151F" w:rsidRPr="0013151F" w:rsidRDefault="00F1516C" w:rsidP="0013151F">
      <w:pPr>
        <w:ind w:left="-810"/>
        <w:jc w:val="both"/>
        <w:rPr>
          <w:bCs/>
          <w:iCs/>
          <w:color w:val="000000" w:themeColor="text1"/>
        </w:rPr>
      </w:pPr>
      <w:r w:rsidRPr="001D6AFD">
        <w:rPr>
          <w:bCs/>
          <w:iCs/>
        </w:rPr>
        <w:t xml:space="preserve">Le secrétariat apporte actuellement son appui aux projets du portefeuille qui souhaitent revoir </w:t>
      </w:r>
      <w:r w:rsidRPr="0013151F">
        <w:rPr>
          <w:bCs/>
          <w:iCs/>
          <w:color w:val="000000" w:themeColor="text1"/>
        </w:rPr>
        <w:t>leur approche programmatique ou demander des extensions sans coût afin de s’adapter aux réalités changeantes du contexte haïtien.</w:t>
      </w:r>
      <w:r w:rsidR="0013151F">
        <w:rPr>
          <w:bCs/>
          <w:iCs/>
          <w:color w:val="000000" w:themeColor="text1"/>
        </w:rPr>
        <w:t xml:space="preserve"> </w:t>
      </w:r>
      <w:r w:rsidR="0013151F">
        <w:rPr>
          <w:bCs/>
          <w:iCs/>
        </w:rPr>
        <w:t xml:space="preserve">Ainsi, les efforts entrepris par le secrétariat </w:t>
      </w:r>
      <w:proofErr w:type="gramStart"/>
      <w:r w:rsidR="0013151F">
        <w:rPr>
          <w:bCs/>
          <w:iCs/>
        </w:rPr>
        <w:t>permette</w:t>
      </w:r>
      <w:proofErr w:type="gramEnd"/>
      <w:r w:rsidR="0013151F">
        <w:rPr>
          <w:bCs/>
          <w:iCs/>
        </w:rPr>
        <w:t xml:space="preserve"> d’accompagner l’adaptation de l’UNCT à évolutions du contexte politique et sécuritaire haïtien notamment en ce qui concerne le DDR, le CVR et l’appui électoral</w:t>
      </w:r>
      <w:r w:rsidR="0013151F" w:rsidRPr="0013151F">
        <w:rPr>
          <w:bCs/>
          <w:iCs/>
        </w:rPr>
        <w:t>.</w:t>
      </w:r>
    </w:p>
    <w:p w14:paraId="702DD954" w14:textId="77777777" w:rsidR="00F778A1" w:rsidRPr="0013151F" w:rsidRDefault="00F778A1" w:rsidP="001D6AFD">
      <w:pPr>
        <w:rPr>
          <w:bCs/>
          <w:iCs/>
        </w:rPr>
      </w:pPr>
    </w:p>
    <w:p w14:paraId="29F76E31" w14:textId="77777777" w:rsidR="00161D02" w:rsidRPr="001D6AFD" w:rsidRDefault="00F778A1" w:rsidP="00627A1C">
      <w:pPr>
        <w:ind w:left="-810"/>
      </w:pPr>
      <w:r w:rsidRPr="001D6AFD">
        <w:rPr>
          <w:color w:val="000000"/>
          <w:lang w:eastAsia="en-US"/>
        </w:rPr>
        <w:t xml:space="preserve">Veuillez indiquer tout événement important lié au projet prévu au cours des six prochains mois, par exemple : les dialogues nationaux, les congrès des jeunes, les projections de films </w:t>
      </w:r>
      <w:r w:rsidR="00161D02" w:rsidRPr="001D6AFD">
        <w:t>(</w:t>
      </w:r>
      <w:r w:rsidRPr="001D6AFD">
        <w:t>limite de 1000 caractères</w:t>
      </w:r>
      <w:proofErr w:type="gramStart"/>
      <w:r w:rsidR="00161D02" w:rsidRPr="001D6AFD">
        <w:t>):</w:t>
      </w:r>
      <w:proofErr w:type="gramEnd"/>
      <w:r w:rsidR="00161D02" w:rsidRPr="001D6AFD">
        <w:t xml:space="preserve"> </w:t>
      </w:r>
    </w:p>
    <w:p w14:paraId="5BD0319D" w14:textId="5D0F86AB" w:rsidR="00F1516C" w:rsidRPr="001D6AFD" w:rsidRDefault="00F1516C" w:rsidP="00F1516C">
      <w:pPr>
        <w:numPr>
          <w:ilvl w:val="0"/>
          <w:numId w:val="50"/>
        </w:numPr>
        <w:jc w:val="both"/>
        <w:rPr>
          <w:bCs/>
          <w:iCs/>
        </w:rPr>
      </w:pPr>
      <w:r w:rsidRPr="001D6AFD">
        <w:rPr>
          <w:bCs/>
          <w:iCs/>
        </w:rPr>
        <w:t>La tenue de la deuxième session du comité de pilotage du PBF</w:t>
      </w:r>
    </w:p>
    <w:p w14:paraId="6E60CD73" w14:textId="6DD2CABF" w:rsidR="00F1516C" w:rsidRPr="001D6AFD" w:rsidRDefault="00F1516C" w:rsidP="00F1516C">
      <w:pPr>
        <w:numPr>
          <w:ilvl w:val="0"/>
          <w:numId w:val="50"/>
        </w:numPr>
        <w:jc w:val="both"/>
        <w:rPr>
          <w:bCs/>
          <w:iCs/>
        </w:rPr>
      </w:pPr>
      <w:r w:rsidRPr="001D6AFD">
        <w:rPr>
          <w:bCs/>
          <w:iCs/>
        </w:rPr>
        <w:t>La tenue des réunion mensuelles de coordination inter agences</w:t>
      </w:r>
    </w:p>
    <w:p w14:paraId="20FA9EBD" w14:textId="77777777" w:rsidR="00161D02" w:rsidRPr="001D6AFD" w:rsidRDefault="00161D02" w:rsidP="001A1E86">
      <w:pPr>
        <w:ind w:left="-810" w:right="-154"/>
      </w:pPr>
    </w:p>
    <w:p w14:paraId="49A86CE3" w14:textId="77777777" w:rsidR="00F778A1" w:rsidRPr="001D6AFD" w:rsidRDefault="00F778A1" w:rsidP="001A1E86">
      <w:pPr>
        <w:ind w:left="-810" w:right="-154"/>
      </w:pPr>
      <w:r w:rsidRPr="001D6AFD">
        <w:t>POUR LES PROJETS DANS LES SIX DERNIERS MOIS DE MISE EN ŒUVRE :</w:t>
      </w:r>
    </w:p>
    <w:p w14:paraId="5D660B18" w14:textId="77777777" w:rsidR="008C782A" w:rsidRPr="001D6AFD" w:rsidRDefault="00476758" w:rsidP="001A1E86">
      <w:pPr>
        <w:ind w:left="-810" w:right="-154"/>
      </w:pPr>
      <w:r w:rsidRPr="001D6AFD">
        <w:t>Résumez</w:t>
      </w:r>
      <w:r w:rsidR="00F778A1" w:rsidRPr="001D6AFD">
        <w:t xml:space="preserve"> </w:t>
      </w:r>
      <w:r w:rsidRPr="001D6AFD">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1D6AFD">
        <w:t xml:space="preserve"> </w:t>
      </w:r>
      <w:r w:rsidR="008C782A" w:rsidRPr="001D6AFD">
        <w:t>(</w:t>
      </w:r>
      <w:proofErr w:type="gramStart"/>
      <w:r w:rsidR="008C782A" w:rsidRPr="001D6AFD">
        <w:t>limit</w:t>
      </w:r>
      <w:r w:rsidRPr="001D6AFD">
        <w:t>e</w:t>
      </w:r>
      <w:proofErr w:type="gramEnd"/>
      <w:r w:rsidRPr="001D6AFD">
        <w:t xml:space="preserve"> de 1500 caractères</w:t>
      </w:r>
      <w:r w:rsidR="008C782A" w:rsidRPr="001D6AFD">
        <w:t xml:space="preserve">): </w:t>
      </w:r>
    </w:p>
    <w:p w14:paraId="75C8A766" w14:textId="77777777" w:rsidR="00F1516C" w:rsidRPr="001D6AFD" w:rsidRDefault="00F1516C" w:rsidP="00476758">
      <w:pPr>
        <w:ind w:left="-810"/>
      </w:pPr>
    </w:p>
    <w:p w14:paraId="2EC46E43" w14:textId="4AB8F7A0" w:rsidR="00476758" w:rsidRDefault="00F1516C" w:rsidP="00476758">
      <w:pPr>
        <w:ind w:left="-810"/>
      </w:pPr>
      <w:r w:rsidRPr="001D6AFD">
        <w:t xml:space="preserve">Le projet </w:t>
      </w:r>
      <w:r w:rsidR="008B45B5">
        <w:t>s</w:t>
      </w:r>
      <w:r w:rsidRPr="001D6AFD">
        <w:t xml:space="preserve">’apprête </w:t>
      </w:r>
      <w:r w:rsidR="001D6AFD">
        <w:t>à</w:t>
      </w:r>
      <w:r w:rsidRPr="001D6AFD">
        <w:t xml:space="preserve"> demander une extension sans coût de 12 mois.</w:t>
      </w:r>
    </w:p>
    <w:p w14:paraId="3C530C87" w14:textId="77777777" w:rsidR="008B45B5" w:rsidRPr="001D6AFD" w:rsidRDefault="008B45B5" w:rsidP="00476758">
      <w:pPr>
        <w:ind w:left="-810"/>
      </w:pPr>
    </w:p>
    <w:p w14:paraId="40C6D250" w14:textId="77777777" w:rsidR="00476758" w:rsidRPr="001D6AFD" w:rsidRDefault="00476758" w:rsidP="008C782A">
      <w:pPr>
        <w:ind w:left="-810"/>
      </w:pPr>
    </w:p>
    <w:p w14:paraId="267F15F7" w14:textId="604D9AD1" w:rsidR="008C782A" w:rsidRDefault="00476758" w:rsidP="00476758">
      <w:pPr>
        <w:ind w:left="-810"/>
      </w:pPr>
      <w:r w:rsidRPr="001D6AFD">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1D6AFD">
        <w:t>weblinks</w:t>
      </w:r>
      <w:proofErr w:type="spellEnd"/>
      <w:r w:rsidRPr="001D6AFD">
        <w:t xml:space="preserve"> à la communication stratégique publiée. (</w:t>
      </w:r>
      <w:proofErr w:type="gramStart"/>
      <w:r w:rsidRPr="001D6AFD">
        <w:t>limite</w:t>
      </w:r>
      <w:proofErr w:type="gramEnd"/>
      <w:r w:rsidRPr="001D6AFD">
        <w:t xml:space="preserve"> de 2000 caractères):</w:t>
      </w:r>
    </w:p>
    <w:p w14:paraId="1C392FAD" w14:textId="77777777" w:rsidR="0042320F" w:rsidRPr="001D6AFD" w:rsidRDefault="0042320F" w:rsidP="00476758">
      <w:pPr>
        <w:ind w:left="-810"/>
      </w:pPr>
    </w:p>
    <w:p w14:paraId="747A6278" w14:textId="1383A922" w:rsidR="00BA5D85" w:rsidRPr="00846808" w:rsidRDefault="00F1516C" w:rsidP="001B6DFD">
      <w:pPr>
        <w:ind w:left="-810"/>
      </w:pPr>
      <w:r w:rsidRPr="00846808">
        <w:t>N/A</w:t>
      </w:r>
    </w:p>
    <w:p w14:paraId="16208936" w14:textId="77777777" w:rsidR="007712FB" w:rsidRPr="00846808" w:rsidRDefault="007712FB" w:rsidP="0078600B">
      <w:pPr>
        <w:rPr>
          <w:b/>
        </w:rPr>
      </w:pPr>
    </w:p>
    <w:p w14:paraId="793C9A94" w14:textId="77777777" w:rsidR="00F5504F" w:rsidRPr="001D6AFD" w:rsidRDefault="00476758" w:rsidP="00476758">
      <w:pPr>
        <w:rPr>
          <w:b/>
          <w:u w:val="single"/>
        </w:rPr>
      </w:pPr>
      <w:r w:rsidRPr="001D6AFD">
        <w:rPr>
          <w:b/>
          <w:u w:val="single"/>
        </w:rPr>
        <w:t xml:space="preserve">Partie </w:t>
      </w:r>
      <w:proofErr w:type="gramStart"/>
      <w:r w:rsidRPr="001D6AFD">
        <w:rPr>
          <w:b/>
          <w:u w:val="single"/>
        </w:rPr>
        <w:t>II:</w:t>
      </w:r>
      <w:proofErr w:type="gramEnd"/>
      <w:r w:rsidRPr="001D6AFD">
        <w:rPr>
          <w:b/>
          <w:u w:val="single"/>
        </w:rPr>
        <w:t xml:space="preserve"> Progrès par Résultat du projet</w:t>
      </w:r>
    </w:p>
    <w:p w14:paraId="25032849" w14:textId="77777777" w:rsidR="00476758" w:rsidRPr="001D6AFD" w:rsidRDefault="00476758" w:rsidP="00476758">
      <w:pPr>
        <w:rPr>
          <w:b/>
          <w:u w:val="single"/>
        </w:rPr>
      </w:pPr>
    </w:p>
    <w:p w14:paraId="052D5090" w14:textId="77777777" w:rsidR="005D15A3" w:rsidRPr="001D6AFD" w:rsidRDefault="005D15A3" w:rsidP="005D15A3">
      <w:pPr>
        <w:ind w:left="-810"/>
        <w:rPr>
          <w:i/>
        </w:rPr>
      </w:pPr>
      <w:r w:rsidRPr="001D6AFD">
        <w:rPr>
          <w:i/>
        </w:rPr>
        <w:t xml:space="preserve">Décrire les principaux progrès réalisés au cours de la période considérée (pour les rapports de </w:t>
      </w:r>
      <w:proofErr w:type="gramStart"/>
      <w:r w:rsidRPr="001D6AFD">
        <w:rPr>
          <w:i/>
        </w:rPr>
        <w:t>juin:</w:t>
      </w:r>
      <w:proofErr w:type="gramEnd"/>
      <w:r w:rsidRPr="001D6AFD">
        <w:rPr>
          <w:i/>
        </w:rPr>
        <w:t xml:space="preserve"> janvier-juin ; pour les rapports de novembre: janvier-novembre ; pour les rapports finaux: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1D6AFD" w:rsidRDefault="00287878" w:rsidP="003D4CD7">
      <w:pPr>
        <w:ind w:left="-810"/>
        <w:rPr>
          <w:i/>
        </w:rPr>
      </w:pPr>
      <w:r w:rsidRPr="001D6AFD">
        <w:rPr>
          <w:i/>
        </w:rPr>
        <w:t xml:space="preserve">. </w:t>
      </w:r>
    </w:p>
    <w:p w14:paraId="444235BB" w14:textId="77777777" w:rsidR="005D15A3" w:rsidRPr="001D6AFD" w:rsidRDefault="008364E5" w:rsidP="007118F5">
      <w:pPr>
        <w:numPr>
          <w:ilvl w:val="0"/>
          <w:numId w:val="46"/>
        </w:numPr>
        <w:rPr>
          <w:i/>
        </w:rPr>
      </w:pPr>
      <w:r w:rsidRPr="001D6AFD">
        <w:rPr>
          <w:i/>
        </w:rPr>
        <w:t xml:space="preserve">“On </w:t>
      </w:r>
      <w:proofErr w:type="spellStart"/>
      <w:r w:rsidRPr="001D6AFD">
        <w:rPr>
          <w:i/>
        </w:rPr>
        <w:t>track</w:t>
      </w:r>
      <w:proofErr w:type="spellEnd"/>
      <w:r w:rsidRPr="001D6AFD">
        <w:rPr>
          <w:i/>
        </w:rPr>
        <w:t xml:space="preserve">” </w:t>
      </w:r>
      <w:r w:rsidR="005D15A3" w:rsidRPr="001D6AFD">
        <w:rPr>
          <w:i/>
        </w:rPr>
        <w:t>– il s’agit de l'achèvement en temps voulu des produits du projet, comme indiqué dans le plan de travail annuel ;</w:t>
      </w:r>
    </w:p>
    <w:p w14:paraId="3B143288" w14:textId="77777777" w:rsidR="007118F5" w:rsidRPr="001D6AFD" w:rsidRDefault="005D15A3" w:rsidP="007118F5">
      <w:pPr>
        <w:numPr>
          <w:ilvl w:val="0"/>
          <w:numId w:val="46"/>
        </w:numPr>
        <w:rPr>
          <w:i/>
        </w:rPr>
      </w:pPr>
      <w:r w:rsidRPr="001D6AFD">
        <w:rPr>
          <w:i/>
        </w:rPr>
        <w:t xml:space="preserve"> </w:t>
      </w:r>
      <w:r w:rsidR="007118F5" w:rsidRPr="001D6AFD">
        <w:rPr>
          <w:i/>
        </w:rPr>
        <w:t xml:space="preserve">“On </w:t>
      </w:r>
      <w:proofErr w:type="spellStart"/>
      <w:r w:rsidR="007118F5" w:rsidRPr="001D6AFD">
        <w:rPr>
          <w:i/>
        </w:rPr>
        <w:t>track</w:t>
      </w:r>
      <w:proofErr w:type="spellEnd"/>
      <w:r w:rsidR="007118F5" w:rsidRPr="001D6AFD">
        <w:rPr>
          <w:i/>
        </w:rPr>
        <w:t xml:space="preserve"> </w:t>
      </w:r>
      <w:proofErr w:type="spellStart"/>
      <w:r w:rsidR="007118F5" w:rsidRPr="001D6AFD">
        <w:rPr>
          <w:i/>
        </w:rPr>
        <w:t>with</w:t>
      </w:r>
      <w:proofErr w:type="spellEnd"/>
      <w:r w:rsidR="007118F5" w:rsidRPr="001D6AFD">
        <w:rPr>
          <w:i/>
        </w:rPr>
        <w:t xml:space="preserve"> </w:t>
      </w:r>
      <w:proofErr w:type="spellStart"/>
      <w:r w:rsidR="007118F5" w:rsidRPr="001D6AFD">
        <w:rPr>
          <w:i/>
        </w:rPr>
        <w:t>peacebuilding</w:t>
      </w:r>
      <w:proofErr w:type="spellEnd"/>
      <w:r w:rsidR="007118F5" w:rsidRPr="001D6AFD">
        <w:rPr>
          <w:i/>
        </w:rPr>
        <w:t xml:space="preserve"> </w:t>
      </w:r>
      <w:proofErr w:type="spellStart"/>
      <w:r w:rsidR="007118F5" w:rsidRPr="001D6AFD">
        <w:rPr>
          <w:i/>
        </w:rPr>
        <w:t>results</w:t>
      </w:r>
      <w:proofErr w:type="spellEnd"/>
      <w:r w:rsidR="007118F5" w:rsidRPr="001D6AFD">
        <w:rPr>
          <w:i/>
        </w:rPr>
        <w:t xml:space="preserve">” </w:t>
      </w:r>
      <w:r w:rsidRPr="001D6AFD">
        <w:rPr>
          <w:i/>
        </w:rPr>
        <w:t>-</w:t>
      </w:r>
      <w:r w:rsidRPr="001D6AFD">
        <w:t xml:space="preserve"> </w:t>
      </w:r>
      <w:r w:rsidRPr="001D6AFD">
        <w:rPr>
          <w:i/>
          <w:iCs/>
        </w:rPr>
        <w:t>f</w:t>
      </w:r>
      <w:r w:rsidRPr="001D6AFD">
        <w:rPr>
          <w:i/>
        </w:rPr>
        <w:t>ait référence à des changements de niveau supérieur dans les facteurs de conflit ou de paix auxquels le projet est censé contribuer. Ceci est plus probable dans les projets matures que nouveaux.</w:t>
      </w:r>
    </w:p>
    <w:p w14:paraId="10E35EF4" w14:textId="77777777" w:rsidR="00287878" w:rsidRPr="001D6AFD" w:rsidRDefault="00287878" w:rsidP="008364E5">
      <w:pPr>
        <w:rPr>
          <w:i/>
        </w:rPr>
      </w:pPr>
    </w:p>
    <w:p w14:paraId="7DBE7E6B" w14:textId="77777777" w:rsidR="003D4CD7" w:rsidRPr="001D6AFD" w:rsidRDefault="005D15A3" w:rsidP="003D4CD7">
      <w:pPr>
        <w:ind w:left="-810"/>
        <w:rPr>
          <w:i/>
          <w:iCs/>
        </w:rPr>
      </w:pPr>
      <w:r w:rsidRPr="001D6AFD">
        <w:rPr>
          <w:i/>
          <w:iCs/>
        </w:rPr>
        <w:lastRenderedPageBreak/>
        <w:t>Si votre projet a plus de quatre Résultats, contactez PBSO (Bureau d’Appui à la Consolidation de la Paix) pour la modification de ce canevas.</w:t>
      </w:r>
    </w:p>
    <w:p w14:paraId="1004CF87" w14:textId="77777777" w:rsidR="003D4CD7" w:rsidRPr="001D6AFD" w:rsidRDefault="003D4CD7" w:rsidP="0078600B">
      <w:pPr>
        <w:rPr>
          <w:b/>
          <w:u w:val="single"/>
        </w:rPr>
      </w:pPr>
    </w:p>
    <w:p w14:paraId="12852A03" w14:textId="77777777" w:rsidR="00F1516C" w:rsidRPr="001D6AFD" w:rsidRDefault="005D15A3" w:rsidP="00F1516C">
      <w:pPr>
        <w:ind w:left="-810"/>
        <w:jc w:val="both"/>
        <w:rPr>
          <w:b/>
          <w:bCs/>
          <w:i/>
          <w:iCs/>
        </w:rPr>
      </w:pPr>
      <w:r w:rsidRPr="001D6AFD">
        <w:rPr>
          <w:b/>
          <w:u w:val="single"/>
        </w:rPr>
        <w:t xml:space="preserve">Résultat </w:t>
      </w:r>
      <w:proofErr w:type="gramStart"/>
      <w:r w:rsidRPr="001D6AFD">
        <w:rPr>
          <w:b/>
          <w:u w:val="single"/>
        </w:rPr>
        <w:t>1:</w:t>
      </w:r>
      <w:proofErr w:type="gramEnd"/>
      <w:r w:rsidRPr="001D6AFD">
        <w:rPr>
          <w:b/>
        </w:rPr>
        <w:t xml:space="preserve">  </w:t>
      </w:r>
      <w:r w:rsidR="00F1516C" w:rsidRPr="001D6AFD">
        <w:rPr>
          <w:rFonts w:eastAsia="Calibri"/>
          <w:b/>
          <w:bCs/>
          <w:lang w:eastAsia="zh-CN"/>
        </w:rPr>
        <w:t>La coordination, le suivi-évaluation et l’élaboration des rapports sur les résultats du portefeuille du PBF sont assurés par le Secrétariat PBF.</w:t>
      </w:r>
    </w:p>
    <w:p w14:paraId="239A1CE0" w14:textId="19A979A7" w:rsidR="005D15A3" w:rsidRPr="001D6AFD" w:rsidRDefault="005D15A3" w:rsidP="005D15A3">
      <w:pPr>
        <w:ind w:left="-720"/>
        <w:rPr>
          <w:b/>
        </w:rPr>
      </w:pPr>
    </w:p>
    <w:p w14:paraId="6A528501" w14:textId="77777777" w:rsidR="005D15A3" w:rsidRPr="001D6AFD" w:rsidRDefault="005D15A3" w:rsidP="005D15A3">
      <w:pPr>
        <w:ind w:left="-720"/>
        <w:rPr>
          <w:b/>
        </w:rPr>
      </w:pPr>
    </w:p>
    <w:p w14:paraId="7AC56A13" w14:textId="4E98B2DC" w:rsidR="005D15A3" w:rsidRPr="001D6AFD"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1D6AFD">
        <w:rPr>
          <w:color w:val="212121"/>
        </w:rPr>
        <w:t xml:space="preserve">Veuillez évaluer l'état actuel des progrès du </w:t>
      </w:r>
      <w:proofErr w:type="gramStart"/>
      <w:r w:rsidRPr="001D6AFD">
        <w:rPr>
          <w:color w:val="212121"/>
        </w:rPr>
        <w:t>résultat:</w:t>
      </w:r>
      <w:proofErr w:type="gramEnd"/>
      <w:r w:rsidRPr="001D6AFD">
        <w:rPr>
          <w:b/>
        </w:rPr>
        <w:t xml:space="preserve"> </w:t>
      </w:r>
      <w:r w:rsidR="00F1516C" w:rsidRPr="001D6AFD">
        <w:rPr>
          <w:b/>
          <w:sz w:val="22"/>
          <w:szCs w:val="22"/>
        </w:rPr>
        <w:t xml:space="preserve">On </w:t>
      </w:r>
      <w:proofErr w:type="spellStart"/>
      <w:r w:rsidR="00F1516C" w:rsidRPr="001D6AFD">
        <w:rPr>
          <w:b/>
          <w:sz w:val="22"/>
          <w:szCs w:val="22"/>
        </w:rPr>
        <w:t>track</w:t>
      </w:r>
      <w:proofErr w:type="spellEnd"/>
    </w:p>
    <w:p w14:paraId="02835EA1" w14:textId="77777777" w:rsidR="002E1CED" w:rsidRPr="001D6AFD" w:rsidRDefault="002E1CED" w:rsidP="00323ABC">
      <w:pPr>
        <w:ind w:left="-720"/>
        <w:jc w:val="both"/>
        <w:rPr>
          <w:b/>
        </w:rPr>
      </w:pPr>
    </w:p>
    <w:p w14:paraId="04D2068E" w14:textId="77777777" w:rsidR="005216B2" w:rsidRPr="001D6AFD" w:rsidRDefault="005D15A3" w:rsidP="005D15A3">
      <w:pPr>
        <w:ind w:left="-720"/>
        <w:jc w:val="both"/>
        <w:rPr>
          <w:i/>
        </w:rPr>
      </w:pPr>
      <w:proofErr w:type="spellStart"/>
      <w:r w:rsidRPr="001D6AFD">
        <w:rPr>
          <w:b/>
        </w:rPr>
        <w:t>Resumé</w:t>
      </w:r>
      <w:proofErr w:type="spellEnd"/>
      <w:r w:rsidRPr="001D6AFD">
        <w:rPr>
          <w:b/>
        </w:rPr>
        <w:t xml:space="preserve"> de </w:t>
      </w:r>
      <w:proofErr w:type="gramStart"/>
      <w:r w:rsidRPr="001D6AFD">
        <w:rPr>
          <w:b/>
          <w:bCs/>
          <w:color w:val="212121"/>
        </w:rPr>
        <w:t>progrès</w:t>
      </w:r>
      <w:r w:rsidR="003235DF" w:rsidRPr="001D6AFD">
        <w:rPr>
          <w:b/>
        </w:rPr>
        <w:t>:</w:t>
      </w:r>
      <w:proofErr w:type="gramEnd"/>
      <w:r w:rsidR="003235DF" w:rsidRPr="001D6AFD">
        <w:rPr>
          <w:b/>
        </w:rPr>
        <w:t xml:space="preserve"> </w:t>
      </w:r>
      <w:r w:rsidRPr="001D6AFD">
        <w:rPr>
          <w:color w:val="212121"/>
        </w:rPr>
        <w:t>(Limite de 3000 caractères)</w:t>
      </w:r>
    </w:p>
    <w:p w14:paraId="468A17E4" w14:textId="2FE7AB6B" w:rsidR="00F1516C" w:rsidRPr="001D6AFD" w:rsidRDefault="00F1516C" w:rsidP="00F1516C">
      <w:pPr>
        <w:ind w:left="-720"/>
        <w:jc w:val="both"/>
        <w:rPr>
          <w:bCs/>
        </w:rPr>
      </w:pPr>
      <w:r w:rsidRPr="001D6AFD">
        <w:rPr>
          <w:bCs/>
        </w:rPr>
        <w:t>Depuis janvier 2021</w:t>
      </w:r>
      <w:r w:rsidR="00DD62BD">
        <w:rPr>
          <w:bCs/>
        </w:rPr>
        <w:t>,</w:t>
      </w:r>
      <w:r w:rsidRPr="001D6AFD">
        <w:rPr>
          <w:bCs/>
        </w:rPr>
        <w:t xml:space="preserve"> le secrétariat technique du PBF a mis en place un cadre de coordination inter-agences (</w:t>
      </w:r>
      <w:proofErr w:type="spellStart"/>
      <w:r w:rsidRPr="001D6AFD">
        <w:rPr>
          <w:bCs/>
        </w:rPr>
        <w:t>RUNOs</w:t>
      </w:r>
      <w:proofErr w:type="spellEnd"/>
      <w:r w:rsidRPr="001D6AFD">
        <w:rPr>
          <w:bCs/>
        </w:rPr>
        <w:t xml:space="preserve"> et </w:t>
      </w:r>
      <w:proofErr w:type="spellStart"/>
      <w:r w:rsidRPr="001D6AFD">
        <w:rPr>
          <w:bCs/>
        </w:rPr>
        <w:t>NUNOs</w:t>
      </w:r>
      <w:proofErr w:type="spellEnd"/>
      <w:r w:rsidRPr="001D6AFD">
        <w:rPr>
          <w:bCs/>
        </w:rPr>
        <w:t xml:space="preserve">) avec une fréquence mensuelle dont l’objectif principal est de renforcer la cohérence d’action et favoriser les synergies et complémentarités dans la mise en œuvre des initiatives de consolidation de la paix. Toutefois, dans le souci de renforcer l’appropriation et le leadership national sur les initiatives du PBF, ce cadre de coordination a été élargi aux acteurs nationaux notamment les directions et services techniques des institutions nationales impliquées dans la mise en œuvre des projets. Au courant de cette </w:t>
      </w:r>
      <w:r w:rsidR="00C92063" w:rsidRPr="00846808">
        <w:rPr>
          <w:bCs/>
        </w:rPr>
        <w:t>année</w:t>
      </w:r>
      <w:r w:rsidRPr="00846808">
        <w:rPr>
          <w:bCs/>
        </w:rPr>
        <w:t xml:space="preserve">, </w:t>
      </w:r>
      <w:r w:rsidR="00B82549" w:rsidRPr="00846808">
        <w:rPr>
          <w:bCs/>
        </w:rPr>
        <w:t>six</w:t>
      </w:r>
      <w:r w:rsidRPr="00846808">
        <w:rPr>
          <w:bCs/>
        </w:rPr>
        <w:t xml:space="preserve"> réunions de coordinations ont été tenues et plusieurs </w:t>
      </w:r>
      <w:r w:rsidR="00055A15" w:rsidRPr="00846808">
        <w:rPr>
          <w:bCs/>
        </w:rPr>
        <w:t>recommandations ont</w:t>
      </w:r>
      <w:r w:rsidRPr="00846808">
        <w:rPr>
          <w:bCs/>
        </w:rPr>
        <w:t xml:space="preserve"> été </w:t>
      </w:r>
      <w:r w:rsidR="00C92063" w:rsidRPr="00846808">
        <w:rPr>
          <w:bCs/>
        </w:rPr>
        <w:t>formulées</w:t>
      </w:r>
      <w:r w:rsidRPr="00846808">
        <w:rPr>
          <w:bCs/>
        </w:rPr>
        <w:t xml:space="preserve"> p</w:t>
      </w:r>
      <w:r w:rsidRPr="001D6AFD">
        <w:rPr>
          <w:bCs/>
        </w:rPr>
        <w:t xml:space="preserve">our des </w:t>
      </w:r>
      <w:r w:rsidR="00C92063" w:rsidRPr="001D6AFD">
        <w:rPr>
          <w:bCs/>
        </w:rPr>
        <w:t>améliorations</w:t>
      </w:r>
      <w:r w:rsidRPr="001D6AFD">
        <w:rPr>
          <w:bCs/>
        </w:rPr>
        <w:t xml:space="preserve"> dans la mise en œuvre des projets.</w:t>
      </w:r>
    </w:p>
    <w:p w14:paraId="3AC36417" w14:textId="77777777" w:rsidR="00F1516C" w:rsidRPr="001D6AFD" w:rsidRDefault="00F1516C" w:rsidP="00F1516C">
      <w:pPr>
        <w:ind w:left="-720"/>
        <w:jc w:val="both"/>
        <w:rPr>
          <w:bCs/>
        </w:rPr>
      </w:pPr>
      <w:r w:rsidRPr="001D6AFD">
        <w:rPr>
          <w:bCs/>
        </w:rPr>
        <w:t xml:space="preserve"> </w:t>
      </w:r>
    </w:p>
    <w:p w14:paraId="74E38D29" w14:textId="77777777" w:rsidR="00F1516C" w:rsidRPr="001D6AFD" w:rsidRDefault="00F1516C" w:rsidP="00F1516C">
      <w:pPr>
        <w:ind w:left="-720"/>
        <w:jc w:val="both"/>
        <w:rPr>
          <w:bCs/>
        </w:rPr>
      </w:pPr>
      <w:r w:rsidRPr="001D6AFD">
        <w:rPr>
          <w:bCs/>
        </w:rPr>
        <w:t xml:space="preserve">Dans le cadre du renforcement des capacités des acteurs du PBF, le secrétariat technique a organisé deux sessions d’échange et de partage d’information sur les leçons apprises des expériences antérieures avec les fonds globaux notamment le GYPI. Ces deux sessions ont permis d’aborder les forces et faiblesses des propositions de projets élaborés par le UNCT. Les échanges ont notamment porté sur l’analyse des conflits, la formulation des théories de changement, des objectifs et des activités. A l’issue des échanges, le Secrétariat Technique a partagé avec les participants, des connaissances théoriques sur les approches et stratégies pour mieux concevoir des projets de consolidation de la paix. </w:t>
      </w:r>
    </w:p>
    <w:p w14:paraId="58AB50AF" w14:textId="77777777" w:rsidR="00F1516C" w:rsidRPr="001D6AFD" w:rsidRDefault="00F1516C" w:rsidP="00F1516C">
      <w:pPr>
        <w:ind w:left="-720"/>
        <w:jc w:val="both"/>
        <w:rPr>
          <w:bCs/>
        </w:rPr>
      </w:pPr>
    </w:p>
    <w:p w14:paraId="3F432DE7" w14:textId="25996625" w:rsidR="00F1516C" w:rsidRPr="001D6AFD" w:rsidRDefault="00F1516C" w:rsidP="00F1516C">
      <w:pPr>
        <w:ind w:left="-720"/>
        <w:jc w:val="both"/>
        <w:rPr>
          <w:bCs/>
        </w:rPr>
      </w:pPr>
      <w:r w:rsidRPr="001D6AFD">
        <w:rPr>
          <w:bCs/>
        </w:rPr>
        <w:t xml:space="preserve">Dans la même dynamique, le secrétariat du PBF avec un appui du PBSO a NY a entamé un processus d’élaboration du cadre de résultat stratégique du PBF en </w:t>
      </w:r>
      <w:r w:rsidR="00C92063" w:rsidRPr="001D6AFD">
        <w:rPr>
          <w:bCs/>
        </w:rPr>
        <w:t>Haïti</w:t>
      </w:r>
      <w:r w:rsidRPr="001D6AFD">
        <w:rPr>
          <w:bCs/>
        </w:rPr>
        <w:t xml:space="preserve">. Ce cadre devra définir les objectifs macro du PBF en </w:t>
      </w:r>
      <w:r w:rsidR="00C92063" w:rsidRPr="001D6AFD">
        <w:rPr>
          <w:bCs/>
        </w:rPr>
        <w:t>Haïti</w:t>
      </w:r>
      <w:r w:rsidRPr="001D6AFD">
        <w:rPr>
          <w:bCs/>
        </w:rPr>
        <w:t xml:space="preserve"> et qui permettrons de mesurer / évaluer l’impact des investissements du PBF dans le processus de consolidation de la paix. Pour réaliser ce cadre stratégique, l’approche a consisté à développer un plan de renforcement des capacités du UNCT sur le concept du « Peacebuilding » et favoriser une meilleure compréhension par les acteurs des différents aspects de conception, de mise en œuvre et de gestion des projets PBF. A cet effet, trois (3) sessions de formation ont été </w:t>
      </w:r>
      <w:r w:rsidR="004B2785">
        <w:rPr>
          <w:bCs/>
        </w:rPr>
        <w:t>réalisées</w:t>
      </w:r>
      <w:r w:rsidRPr="001D6AFD">
        <w:rPr>
          <w:bCs/>
        </w:rPr>
        <w:t xml:space="preserve"> sur la période d’Avril </w:t>
      </w:r>
      <w:r w:rsidR="00C92063" w:rsidRPr="001D6AFD">
        <w:rPr>
          <w:bCs/>
        </w:rPr>
        <w:t>à</w:t>
      </w:r>
      <w:r w:rsidRPr="001D6AFD">
        <w:rPr>
          <w:bCs/>
        </w:rPr>
        <w:t xml:space="preserve"> Juin. L’objectif de ces sessions </w:t>
      </w:r>
      <w:r w:rsidR="00C92063" w:rsidRPr="001D6AFD">
        <w:rPr>
          <w:bCs/>
        </w:rPr>
        <w:t>était</w:t>
      </w:r>
      <w:r w:rsidRPr="001D6AFD">
        <w:rPr>
          <w:bCs/>
        </w:rPr>
        <w:t xml:space="preserve"> de parvenir à l’élaboration participative du plan de suivi intégré du PBF qui définira les objectifs principaux auxquels tous les projets PBF devront concourir</w:t>
      </w:r>
      <w:r w:rsidR="00C92063" w:rsidRPr="001D6AFD">
        <w:rPr>
          <w:bCs/>
        </w:rPr>
        <w:t>.</w:t>
      </w:r>
      <w:r w:rsidRPr="001D6AFD">
        <w:rPr>
          <w:bCs/>
        </w:rPr>
        <w:t xml:space="preserve">   </w:t>
      </w:r>
    </w:p>
    <w:p w14:paraId="0F44D914" w14:textId="77777777" w:rsidR="00F1516C" w:rsidRPr="001D6AFD" w:rsidRDefault="00F1516C" w:rsidP="00F1516C">
      <w:pPr>
        <w:ind w:left="-720"/>
        <w:jc w:val="both"/>
        <w:rPr>
          <w:bCs/>
        </w:rPr>
      </w:pPr>
    </w:p>
    <w:p w14:paraId="5F4885CB" w14:textId="3614CF0A" w:rsidR="00F1516C" w:rsidRPr="001D6AFD" w:rsidRDefault="00F1516C" w:rsidP="00F1516C">
      <w:pPr>
        <w:ind w:left="-720"/>
        <w:jc w:val="both"/>
        <w:rPr>
          <w:bCs/>
        </w:rPr>
      </w:pPr>
      <w:r w:rsidRPr="001D6AFD">
        <w:rPr>
          <w:bCs/>
        </w:rPr>
        <w:t xml:space="preserve">Dans le cadre de la programmation 2021 et conformément aux orientations du rapport stratégique annuel 2020, trois projets ont été proposé par le Coordonnateur Résident au PBSO. Il s’agit des projets portant sur : l’appui aux processus électorales avec un emphase sur la réduction des violences et notamment celles faites aux femmes, la lutte contre la corruption et la transformation économique. Ces deux derniers projets seront les premiers du genre à être financés par le PBF en Haïti. A date, le projet élection a déjà été approuvé par le PBSO et </w:t>
      </w:r>
      <w:r w:rsidR="00F4131C">
        <w:rPr>
          <w:bCs/>
        </w:rPr>
        <w:t>les activités ont commencé Le</w:t>
      </w:r>
      <w:r w:rsidRPr="001D6AFD">
        <w:rPr>
          <w:bCs/>
        </w:rPr>
        <w:t xml:space="preserve"> projet de lutte contre la corruption </w:t>
      </w:r>
      <w:r w:rsidR="00C92063" w:rsidRPr="001D6AFD">
        <w:rPr>
          <w:bCs/>
        </w:rPr>
        <w:t xml:space="preserve">et de renforcement de la cohésion sociale </w:t>
      </w:r>
      <w:r w:rsidRPr="001D6AFD">
        <w:rPr>
          <w:bCs/>
        </w:rPr>
        <w:t>a également été approuv</w:t>
      </w:r>
      <w:r w:rsidR="00C92063" w:rsidRPr="001D6AFD">
        <w:rPr>
          <w:bCs/>
        </w:rPr>
        <w:t>é</w:t>
      </w:r>
      <w:r w:rsidRPr="001D6AFD">
        <w:rPr>
          <w:bCs/>
        </w:rPr>
        <w:t xml:space="preserve"> par NY au courant du mois de novembre 2021</w:t>
      </w:r>
      <w:r w:rsidR="00F4131C">
        <w:rPr>
          <w:bCs/>
        </w:rPr>
        <w:t xml:space="preserve"> et est en cours de signature</w:t>
      </w:r>
      <w:r w:rsidRPr="001D6AFD">
        <w:rPr>
          <w:bCs/>
        </w:rPr>
        <w:t xml:space="preserve">. Par ailleurs, les consultations pour la finalisation </w:t>
      </w:r>
      <w:r w:rsidR="00C92063" w:rsidRPr="001D6AFD">
        <w:rPr>
          <w:bCs/>
        </w:rPr>
        <w:t>document de projet</w:t>
      </w:r>
      <w:r w:rsidRPr="001D6AFD">
        <w:rPr>
          <w:bCs/>
        </w:rPr>
        <w:t xml:space="preserve"> pour le projet </w:t>
      </w:r>
      <w:r w:rsidRPr="001D6AFD">
        <w:rPr>
          <w:bCs/>
        </w:rPr>
        <w:lastRenderedPageBreak/>
        <w:t xml:space="preserve">de </w:t>
      </w:r>
      <w:r w:rsidR="00DD62BD">
        <w:rPr>
          <w:bCs/>
        </w:rPr>
        <w:t xml:space="preserve">dialogue national et de </w:t>
      </w:r>
      <w:r w:rsidRPr="001D6AFD">
        <w:rPr>
          <w:bCs/>
        </w:rPr>
        <w:t xml:space="preserve">transformation économique sont en cours avec différentes personnes ressources. </w:t>
      </w:r>
    </w:p>
    <w:p w14:paraId="7C41990E" w14:textId="77777777" w:rsidR="00F1516C" w:rsidRPr="001D6AFD" w:rsidRDefault="00F1516C" w:rsidP="00F1516C">
      <w:pPr>
        <w:ind w:left="-720"/>
        <w:jc w:val="both"/>
        <w:rPr>
          <w:bCs/>
        </w:rPr>
      </w:pPr>
    </w:p>
    <w:p w14:paraId="7B99A5E5" w14:textId="526F8ED5" w:rsidR="00F1516C" w:rsidRPr="001D6AFD" w:rsidRDefault="00F1516C" w:rsidP="00F1516C">
      <w:pPr>
        <w:ind w:left="-720"/>
        <w:jc w:val="both"/>
        <w:rPr>
          <w:bCs/>
        </w:rPr>
      </w:pPr>
      <w:r w:rsidRPr="001D6AFD">
        <w:rPr>
          <w:bCs/>
        </w:rPr>
        <w:t xml:space="preserve">En outre, un projet binational regroupant Haïti et la République Dominicaine a démarré le 7 avril avec un budget USD 3,000,000. Le projet porte sur le dialogue binational pour faciliter la résolution pacifique des conflits transfrontaliers </w:t>
      </w:r>
      <w:r w:rsidR="00C92063" w:rsidRPr="001D6AFD">
        <w:rPr>
          <w:bCs/>
        </w:rPr>
        <w:t xml:space="preserve">et est </w:t>
      </w:r>
      <w:r w:rsidRPr="001D6AFD">
        <w:rPr>
          <w:bCs/>
        </w:rPr>
        <w:t xml:space="preserve">mis en œuvre par </w:t>
      </w:r>
      <w:r w:rsidR="00DD62BD">
        <w:rPr>
          <w:bCs/>
        </w:rPr>
        <w:t>l’</w:t>
      </w:r>
      <w:r w:rsidRPr="001D6AFD">
        <w:rPr>
          <w:bCs/>
        </w:rPr>
        <w:t>OIM et le PNUD</w:t>
      </w:r>
      <w:r w:rsidR="00DD62BD">
        <w:rPr>
          <w:bCs/>
        </w:rPr>
        <w:t xml:space="preserve"> Haïti et République Dominicaine</w:t>
      </w:r>
      <w:r w:rsidR="00F4131C">
        <w:rPr>
          <w:bCs/>
        </w:rPr>
        <w:t>.</w:t>
      </w:r>
    </w:p>
    <w:p w14:paraId="507E2D1D" w14:textId="77777777" w:rsidR="00F1516C" w:rsidRPr="001D6AFD" w:rsidRDefault="00F1516C" w:rsidP="00F1516C">
      <w:pPr>
        <w:ind w:left="-720"/>
        <w:jc w:val="both"/>
        <w:rPr>
          <w:bCs/>
        </w:rPr>
      </w:pPr>
    </w:p>
    <w:p w14:paraId="1395932B" w14:textId="080C58D8" w:rsidR="00F1516C" w:rsidRPr="001D6AFD" w:rsidRDefault="00F1516C" w:rsidP="00F1516C">
      <w:pPr>
        <w:ind w:left="-720"/>
        <w:jc w:val="both"/>
        <w:rPr>
          <w:bCs/>
        </w:rPr>
      </w:pPr>
      <w:r w:rsidRPr="001D6AFD">
        <w:rPr>
          <w:bCs/>
        </w:rPr>
        <w:t xml:space="preserve">L’appel </w:t>
      </w:r>
      <w:r w:rsidR="00C92063" w:rsidRPr="001D6AFD">
        <w:rPr>
          <w:bCs/>
        </w:rPr>
        <w:t>à</w:t>
      </w:r>
      <w:r w:rsidRPr="001D6AFD">
        <w:rPr>
          <w:bCs/>
        </w:rPr>
        <w:t xml:space="preserve"> proposition de projet dans le cadre du GYP 2021 a été publié au mois de mai. Pour maximiser les chances du UNCT et proposer des projets innovants et qui répondent aux exigences de qualités, le secrétariat technique avec l’appui du PBSO a NY a organisé une clinique pour conseiller et orienter les </w:t>
      </w:r>
      <w:proofErr w:type="spellStart"/>
      <w:r w:rsidRPr="001D6AFD">
        <w:rPr>
          <w:bCs/>
        </w:rPr>
        <w:t>RUNOs</w:t>
      </w:r>
      <w:proofErr w:type="spellEnd"/>
      <w:r w:rsidRPr="001D6AFD">
        <w:rPr>
          <w:bCs/>
        </w:rPr>
        <w:t xml:space="preserve"> et </w:t>
      </w:r>
      <w:proofErr w:type="spellStart"/>
      <w:r w:rsidRPr="001D6AFD">
        <w:rPr>
          <w:bCs/>
        </w:rPr>
        <w:t>NUNOs</w:t>
      </w:r>
      <w:proofErr w:type="spellEnd"/>
      <w:r w:rsidRPr="001D6AFD">
        <w:rPr>
          <w:bCs/>
        </w:rPr>
        <w:t xml:space="preserve"> qui comptent soumettre des projets. Un total de 7 projets a été revus par la clinique. Les agences ont pu obtenir des orientations sur la portée de leurs projets, les théories du changement, les objectifs et sur l’analyse des conflits. Cet appui fait aux agences a permis que deux projets (</w:t>
      </w:r>
      <w:proofErr w:type="spellStart"/>
      <w:r w:rsidRPr="001D6AFD">
        <w:rPr>
          <w:bCs/>
        </w:rPr>
        <w:t>Concern</w:t>
      </w:r>
      <w:proofErr w:type="spellEnd"/>
      <w:r w:rsidRPr="001D6AFD">
        <w:rPr>
          <w:bCs/>
        </w:rPr>
        <w:t xml:space="preserve"> </w:t>
      </w:r>
      <w:proofErr w:type="spellStart"/>
      <w:r w:rsidRPr="001D6AFD">
        <w:rPr>
          <w:bCs/>
        </w:rPr>
        <w:t>WorldWide</w:t>
      </w:r>
      <w:proofErr w:type="spellEnd"/>
      <w:r w:rsidRPr="001D6AFD">
        <w:rPr>
          <w:bCs/>
        </w:rPr>
        <w:t xml:space="preserve"> et ONU Femmes) soient retenus dans le cadre de l’initiative GYPI. Ces projets ont déjà été soumis au PBSO pour analyse et validation.     </w:t>
      </w:r>
    </w:p>
    <w:p w14:paraId="6C3BA618" w14:textId="77777777" w:rsidR="00F1516C" w:rsidRPr="001D6AFD" w:rsidRDefault="00F1516C" w:rsidP="00F1516C">
      <w:pPr>
        <w:ind w:left="-720"/>
        <w:jc w:val="both"/>
        <w:rPr>
          <w:bCs/>
        </w:rPr>
      </w:pPr>
    </w:p>
    <w:p w14:paraId="475FDFE1" w14:textId="4185DD2C" w:rsidR="00F1516C" w:rsidRPr="001D6AFD" w:rsidRDefault="00F1516C" w:rsidP="00F1516C">
      <w:pPr>
        <w:ind w:left="-720"/>
        <w:jc w:val="both"/>
        <w:rPr>
          <w:bCs/>
        </w:rPr>
      </w:pPr>
      <w:r w:rsidRPr="001D6AFD">
        <w:rPr>
          <w:bCs/>
        </w:rPr>
        <w:t xml:space="preserve">Dans le cadre de son appui </w:t>
      </w:r>
      <w:r w:rsidR="00C92063" w:rsidRPr="001D6AFD">
        <w:rPr>
          <w:bCs/>
        </w:rPr>
        <w:t>à</w:t>
      </w:r>
      <w:r w:rsidRPr="001D6AFD">
        <w:rPr>
          <w:bCs/>
        </w:rPr>
        <w:t xml:space="preserve"> la mise en œuvre des projets, le Secrétariat technique a appuyé tous les projets pour l’élaboration des mini stratégies de communications afin d’assurer la visibilité des projets et s’assurer de l’harmonisation des outils de communication.            </w:t>
      </w:r>
    </w:p>
    <w:p w14:paraId="54BBBF6E" w14:textId="77777777" w:rsidR="00627A1C" w:rsidRPr="001D6AFD" w:rsidRDefault="00627A1C" w:rsidP="00627A1C">
      <w:pPr>
        <w:ind w:left="-720"/>
        <w:rPr>
          <w:b/>
        </w:rPr>
      </w:pPr>
    </w:p>
    <w:p w14:paraId="41ABD3CD" w14:textId="77777777" w:rsidR="00161D02" w:rsidRPr="001D6AFD" w:rsidRDefault="005D15A3" w:rsidP="00627A1C">
      <w:pPr>
        <w:ind w:left="-720"/>
        <w:rPr>
          <w:b/>
        </w:rPr>
      </w:pPr>
      <w:r w:rsidRPr="001D6AFD">
        <w:rPr>
          <w:b/>
          <w:bCs/>
          <w:color w:val="000000"/>
          <w:lang w:eastAsia="en-US"/>
        </w:rPr>
        <w:t>Indiquez toute analyse supplémentaire sur la manière dont l'égalité entre les sexes et l'autonomisation des femmes et / ou l'inclusion</w:t>
      </w:r>
      <w:r w:rsidR="00675507" w:rsidRPr="001D6AFD">
        <w:rPr>
          <w:b/>
          <w:bCs/>
          <w:color w:val="000000"/>
          <w:lang w:eastAsia="en-US"/>
        </w:rPr>
        <w:t xml:space="preserve"> </w:t>
      </w:r>
      <w:r w:rsidRPr="001D6AFD">
        <w:rPr>
          <w:b/>
          <w:bCs/>
          <w:color w:val="000000"/>
          <w:lang w:eastAsia="en-US"/>
        </w:rPr>
        <w:t xml:space="preserve">et la réactivité </w:t>
      </w:r>
      <w:r w:rsidR="00675507" w:rsidRPr="001D6AFD">
        <w:rPr>
          <w:b/>
          <w:bCs/>
          <w:color w:val="000000"/>
          <w:lang w:eastAsia="en-US"/>
        </w:rPr>
        <w:t>aux besoins des</w:t>
      </w:r>
      <w:r w:rsidRPr="001D6AFD">
        <w:rPr>
          <w:b/>
          <w:bCs/>
          <w:color w:val="000000"/>
          <w:lang w:eastAsia="en-US"/>
        </w:rPr>
        <w:t xml:space="preserve"> jeunes ont été assurées dans le cadre de ce </w:t>
      </w:r>
      <w:proofErr w:type="gramStart"/>
      <w:r w:rsidRPr="001D6AFD">
        <w:rPr>
          <w:b/>
          <w:bCs/>
          <w:color w:val="000000"/>
          <w:lang w:eastAsia="en-US"/>
        </w:rPr>
        <w:t>résultat</w:t>
      </w:r>
      <w:r w:rsidR="00161D02" w:rsidRPr="001D6AFD">
        <w:rPr>
          <w:b/>
        </w:rPr>
        <w:t>:</w:t>
      </w:r>
      <w:proofErr w:type="gramEnd"/>
      <w:r w:rsidR="00161D02" w:rsidRPr="001D6AFD">
        <w:rPr>
          <w:b/>
        </w:rPr>
        <w:t xml:space="preserve"> </w:t>
      </w:r>
      <w:r w:rsidR="00161D02" w:rsidRPr="001D6AFD">
        <w:rPr>
          <w:i/>
        </w:rPr>
        <w:t>(</w:t>
      </w:r>
      <w:r w:rsidR="00675507" w:rsidRPr="001D6AFD">
        <w:rPr>
          <w:color w:val="212121"/>
        </w:rPr>
        <w:t>Limite de 1000 caractères</w:t>
      </w:r>
      <w:r w:rsidR="00161D02" w:rsidRPr="001D6AFD">
        <w:rPr>
          <w:i/>
        </w:rPr>
        <w:t>)</w:t>
      </w:r>
    </w:p>
    <w:p w14:paraId="635E1BE9" w14:textId="77777777" w:rsidR="00C92063" w:rsidRPr="001D6AFD" w:rsidRDefault="00C92063" w:rsidP="00C92063">
      <w:pPr>
        <w:ind w:left="-720"/>
        <w:jc w:val="both"/>
        <w:rPr>
          <w:bCs/>
        </w:rPr>
      </w:pPr>
    </w:p>
    <w:p w14:paraId="30E66E75" w14:textId="39FF075C" w:rsidR="00C92063" w:rsidRPr="001D6AFD" w:rsidRDefault="00F4131C" w:rsidP="00C92063">
      <w:pPr>
        <w:ind w:left="-720"/>
        <w:jc w:val="both"/>
        <w:rPr>
          <w:bCs/>
        </w:rPr>
      </w:pPr>
      <w:r>
        <w:rPr>
          <w:bCs/>
        </w:rPr>
        <w:t xml:space="preserve">Le projet a un marqueur de genre 2 et à ce titre, le secrétariat consacre une partie importante de son temps à </w:t>
      </w:r>
      <w:r w:rsidR="00C92063" w:rsidRPr="001D6AFD">
        <w:rPr>
          <w:bCs/>
        </w:rPr>
        <w:t>apport</w:t>
      </w:r>
      <w:r>
        <w:rPr>
          <w:bCs/>
        </w:rPr>
        <w:t>er</w:t>
      </w:r>
      <w:r w:rsidR="00C92063" w:rsidRPr="001D6AFD">
        <w:rPr>
          <w:bCs/>
        </w:rPr>
        <w:t xml:space="preserve"> appui </w:t>
      </w:r>
      <w:r>
        <w:rPr>
          <w:bCs/>
        </w:rPr>
        <w:t xml:space="preserve">spécifique </w:t>
      </w:r>
      <w:r w:rsidR="00C92063" w:rsidRPr="001D6AFD">
        <w:rPr>
          <w:bCs/>
        </w:rPr>
        <w:t>et fai</w:t>
      </w:r>
      <w:r>
        <w:rPr>
          <w:bCs/>
        </w:rPr>
        <w:t>re</w:t>
      </w:r>
      <w:r w:rsidR="00C92063" w:rsidRPr="001D6AFD">
        <w:rPr>
          <w:bCs/>
        </w:rPr>
        <w:t xml:space="preserve"> le plaidoyer auprès des agences pour </w:t>
      </w:r>
      <w:r>
        <w:rPr>
          <w:bCs/>
        </w:rPr>
        <w:t>une meilleure prise en compte du genre dans la formulation, la mise en œuvre et le suivi des projets</w:t>
      </w:r>
      <w:r w:rsidR="00C92063" w:rsidRPr="001D6AFD">
        <w:rPr>
          <w:bCs/>
        </w:rPr>
        <w:t>. Une attention particulière a été portée à la bonne prise en compte de la dimension genre et des jeunes pour tous les projets en cours en termes programmatiques et de suivi-évaluation, en particulier pour les projets en cours d’élaboration.</w:t>
      </w:r>
      <w:r>
        <w:rPr>
          <w:bCs/>
        </w:rPr>
        <w:t xml:space="preserve"> Le secrétariat a aussi appuyé la préparation des soumissions GYPI.</w:t>
      </w:r>
    </w:p>
    <w:p w14:paraId="4B6AAB29" w14:textId="77777777" w:rsidR="00323ABC" w:rsidRPr="001D6AFD" w:rsidRDefault="00323ABC" w:rsidP="007E4FA1">
      <w:pPr>
        <w:rPr>
          <w:b/>
        </w:rPr>
      </w:pPr>
    </w:p>
    <w:p w14:paraId="563533E9" w14:textId="4FDF4D27" w:rsidR="00675507" w:rsidRPr="001D6AFD" w:rsidRDefault="00675507" w:rsidP="00675507">
      <w:pPr>
        <w:ind w:left="-720"/>
        <w:rPr>
          <w:b/>
        </w:rPr>
      </w:pPr>
      <w:r w:rsidRPr="001D6AFD">
        <w:rPr>
          <w:b/>
          <w:u w:val="single"/>
        </w:rPr>
        <w:t xml:space="preserve">Résultat </w:t>
      </w:r>
      <w:proofErr w:type="gramStart"/>
      <w:r w:rsidRPr="001D6AFD">
        <w:rPr>
          <w:b/>
          <w:u w:val="single"/>
        </w:rPr>
        <w:t>2:</w:t>
      </w:r>
      <w:proofErr w:type="gramEnd"/>
      <w:r w:rsidRPr="001D6AFD">
        <w:rPr>
          <w:b/>
        </w:rPr>
        <w:t xml:space="preserve">  </w:t>
      </w:r>
      <w:r w:rsidR="00C92063" w:rsidRPr="001D6AFD">
        <w:rPr>
          <w:rFonts w:eastAsia="Calibri"/>
          <w:b/>
          <w:bCs/>
          <w:lang w:eastAsia="zh-CN"/>
        </w:rPr>
        <w:t>Le Comité d’Orientation Stratégique (COS), le Comité de Pilotage (</w:t>
      </w:r>
      <w:proofErr w:type="spellStart"/>
      <w:r w:rsidR="00C92063" w:rsidRPr="001D6AFD">
        <w:rPr>
          <w:rFonts w:eastAsia="Calibri"/>
          <w:b/>
          <w:bCs/>
          <w:lang w:eastAsia="zh-CN"/>
        </w:rPr>
        <w:t>CoPil</w:t>
      </w:r>
      <w:proofErr w:type="spellEnd"/>
      <w:r w:rsidR="00C92063" w:rsidRPr="001D6AFD">
        <w:rPr>
          <w:rFonts w:eastAsia="Calibri"/>
          <w:b/>
          <w:bCs/>
          <w:lang w:eastAsia="zh-CN"/>
        </w:rPr>
        <w:t>) et le Bureau du Coordonnateur Résident (BCR) sont appuyés afin d’assurer leur rôle</w:t>
      </w:r>
      <w:r w:rsidR="00C92063" w:rsidRPr="001D6AFD">
        <w:rPr>
          <w:b/>
          <w:bCs/>
          <w:i/>
          <w:iCs/>
        </w:rPr>
        <w:t xml:space="preserve"> </w:t>
      </w:r>
      <w:r w:rsidR="00C92063" w:rsidRPr="001D6AFD">
        <w:rPr>
          <w:rFonts w:eastAsia="Calibri"/>
          <w:b/>
          <w:bCs/>
          <w:lang w:eastAsia="zh-CN"/>
        </w:rPr>
        <w:t>d’orientation stratégique, d’endossement des projets PBF et de suivi-évaluation du</w:t>
      </w:r>
      <w:r w:rsidR="00C92063" w:rsidRPr="001D6AFD">
        <w:rPr>
          <w:b/>
          <w:bCs/>
          <w:i/>
          <w:iCs/>
        </w:rPr>
        <w:t xml:space="preserve"> </w:t>
      </w:r>
      <w:r w:rsidR="00C92063" w:rsidRPr="001D6AFD">
        <w:rPr>
          <w:rFonts w:eastAsia="Calibri"/>
          <w:b/>
          <w:bCs/>
          <w:lang w:eastAsia="zh-CN"/>
        </w:rPr>
        <w:t>portefeuille PBF.</w:t>
      </w:r>
    </w:p>
    <w:p w14:paraId="521560B0" w14:textId="77777777" w:rsidR="00675507" w:rsidRPr="001D6AFD" w:rsidRDefault="00675507" w:rsidP="00675507">
      <w:pPr>
        <w:ind w:left="-720"/>
        <w:rPr>
          <w:b/>
        </w:rPr>
      </w:pPr>
    </w:p>
    <w:p w14:paraId="26A26C4B" w14:textId="7F7F3FB9" w:rsidR="00675507" w:rsidRPr="001D6AFD" w:rsidRDefault="00675507" w:rsidP="00C9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r w:rsidRPr="001D6AFD">
        <w:rPr>
          <w:color w:val="212121"/>
        </w:rPr>
        <w:t xml:space="preserve">Veuillez évaluer l'état actuel des progrès du </w:t>
      </w:r>
      <w:proofErr w:type="gramStart"/>
      <w:r w:rsidRPr="001D6AFD">
        <w:rPr>
          <w:color w:val="212121"/>
        </w:rPr>
        <w:t>résultat:</w:t>
      </w:r>
      <w:proofErr w:type="gramEnd"/>
      <w:r w:rsidRPr="001D6AFD">
        <w:rPr>
          <w:b/>
        </w:rPr>
        <w:t xml:space="preserve"> </w:t>
      </w:r>
      <w:r w:rsidR="00C92063" w:rsidRPr="001D6AFD">
        <w:rPr>
          <w:b/>
        </w:rPr>
        <w:t>On Track</w:t>
      </w:r>
    </w:p>
    <w:p w14:paraId="4FBCAA7F" w14:textId="77777777" w:rsidR="00C92063" w:rsidRPr="001D6AFD" w:rsidRDefault="00C92063" w:rsidP="00C920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rPr>
      </w:pPr>
    </w:p>
    <w:p w14:paraId="40213E68" w14:textId="77777777" w:rsidR="00675507" w:rsidRPr="001D6AFD" w:rsidRDefault="00675507" w:rsidP="00675507">
      <w:pPr>
        <w:ind w:left="-720"/>
        <w:jc w:val="both"/>
        <w:rPr>
          <w:i/>
        </w:rPr>
      </w:pPr>
      <w:proofErr w:type="spellStart"/>
      <w:r w:rsidRPr="001D6AFD">
        <w:rPr>
          <w:b/>
        </w:rPr>
        <w:t>Resumé</w:t>
      </w:r>
      <w:proofErr w:type="spellEnd"/>
      <w:r w:rsidRPr="001D6AFD">
        <w:rPr>
          <w:b/>
        </w:rPr>
        <w:t xml:space="preserve"> de </w:t>
      </w:r>
      <w:proofErr w:type="gramStart"/>
      <w:r w:rsidRPr="001D6AFD">
        <w:rPr>
          <w:b/>
          <w:bCs/>
          <w:color w:val="212121"/>
        </w:rPr>
        <w:t>progrès</w:t>
      </w:r>
      <w:r w:rsidRPr="001D6AFD">
        <w:rPr>
          <w:b/>
        </w:rPr>
        <w:t>:</w:t>
      </w:r>
      <w:proofErr w:type="gramEnd"/>
      <w:r w:rsidRPr="001D6AFD">
        <w:rPr>
          <w:b/>
        </w:rPr>
        <w:t xml:space="preserve"> </w:t>
      </w:r>
      <w:r w:rsidRPr="001D6AFD">
        <w:rPr>
          <w:color w:val="212121"/>
        </w:rPr>
        <w:t>(Limite de 3000 caractères)</w:t>
      </w:r>
    </w:p>
    <w:p w14:paraId="3F263565" w14:textId="6F7233A2" w:rsidR="00C92063" w:rsidRPr="001D6AFD" w:rsidRDefault="00C92063" w:rsidP="00C92063">
      <w:pPr>
        <w:ind w:left="-720"/>
        <w:jc w:val="both"/>
        <w:rPr>
          <w:bCs/>
        </w:rPr>
      </w:pPr>
      <w:r w:rsidRPr="001D6AFD">
        <w:rPr>
          <w:bCs/>
        </w:rPr>
        <w:t xml:space="preserve">Le secrétariat technique a eu plusieurs séances de travail avec le Ministère du plan et de la coopération externe pour la préparation et l’organisation du comité de pilotage du PBF. Ces séances de travail ont permis l’élaboration et la validation des termes de références dudit comité qui est l’organe principal de gestion du PBF en Haïti. </w:t>
      </w:r>
      <w:r w:rsidR="004358DE" w:rsidRPr="001D6AFD">
        <w:rPr>
          <w:bCs/>
        </w:rPr>
        <w:t>La</w:t>
      </w:r>
      <w:r w:rsidRPr="001D6AFD">
        <w:rPr>
          <w:bCs/>
        </w:rPr>
        <w:t xml:space="preserve"> première session du comité de pilotage s</w:t>
      </w:r>
      <w:r w:rsidR="004B2785">
        <w:rPr>
          <w:bCs/>
        </w:rPr>
        <w:t>’est</w:t>
      </w:r>
      <w:r w:rsidRPr="001D6AFD">
        <w:rPr>
          <w:bCs/>
        </w:rPr>
        <w:t xml:space="preserve"> ten</w:t>
      </w:r>
      <w:r w:rsidR="004B2785">
        <w:rPr>
          <w:bCs/>
        </w:rPr>
        <w:t>u</w:t>
      </w:r>
      <w:r w:rsidR="004358DE">
        <w:rPr>
          <w:bCs/>
        </w:rPr>
        <w:t>e</w:t>
      </w:r>
      <w:r w:rsidRPr="001D6AFD">
        <w:rPr>
          <w:bCs/>
        </w:rPr>
        <w:t xml:space="preserve"> le 17 juin 2021. Toutefois, et au regard de la résurgence des cas de COVID 19 et de la situation sécuritaire précaire, cette première session du Comité de pilotage </w:t>
      </w:r>
      <w:r w:rsidR="004B2785">
        <w:rPr>
          <w:bCs/>
        </w:rPr>
        <w:t xml:space="preserve">a </w:t>
      </w:r>
      <w:r w:rsidR="004358DE">
        <w:rPr>
          <w:bCs/>
        </w:rPr>
        <w:t>été</w:t>
      </w:r>
      <w:r w:rsidRPr="001D6AFD">
        <w:rPr>
          <w:bCs/>
        </w:rPr>
        <w:t xml:space="preserve"> virtuelle.</w:t>
      </w:r>
    </w:p>
    <w:p w14:paraId="6852F11F" w14:textId="77777777" w:rsidR="00C92063" w:rsidRPr="001D6AFD" w:rsidRDefault="00C92063" w:rsidP="00C92063">
      <w:pPr>
        <w:ind w:left="-720"/>
        <w:jc w:val="both"/>
        <w:rPr>
          <w:bCs/>
        </w:rPr>
      </w:pPr>
    </w:p>
    <w:p w14:paraId="37DB4998" w14:textId="30FDC536" w:rsidR="00C92063" w:rsidRPr="001D6AFD" w:rsidRDefault="00C92063" w:rsidP="00C92063">
      <w:pPr>
        <w:ind w:left="-720"/>
        <w:jc w:val="both"/>
        <w:rPr>
          <w:bCs/>
        </w:rPr>
      </w:pPr>
      <w:r w:rsidRPr="001D6AFD">
        <w:rPr>
          <w:bCs/>
        </w:rPr>
        <w:lastRenderedPageBreak/>
        <w:t xml:space="preserve">Toutefois, </w:t>
      </w:r>
      <w:r w:rsidR="004B2785">
        <w:rPr>
          <w:bCs/>
        </w:rPr>
        <w:t>bien avant la tenue du</w:t>
      </w:r>
      <w:r w:rsidRPr="001D6AFD">
        <w:rPr>
          <w:bCs/>
        </w:rPr>
        <w:t xml:space="preserve"> comité de pilotage, le secrétariat technique a entretenu des échanges réguliers avec la direction de la coopération externe du Ministère du plan afin d’assurer l’ancrage national des projets PBF. Ces échanges ont permis de maintenir le Ministère du plan informé des initiatives majeures entreprises dans le cadre de la consolidation de la paix et solliciter quand cela est nécessaires, des orientations pour l’exécution de certaines activités </w:t>
      </w:r>
    </w:p>
    <w:p w14:paraId="5663E85B" w14:textId="085850F3" w:rsidR="00675507" w:rsidRPr="001D6AFD" w:rsidRDefault="00675507" w:rsidP="00675507">
      <w:pPr>
        <w:ind w:left="-720"/>
        <w:rPr>
          <w:b/>
        </w:rPr>
      </w:pPr>
    </w:p>
    <w:p w14:paraId="51D5DD53" w14:textId="77777777" w:rsidR="00675507" w:rsidRPr="001D6AFD" w:rsidRDefault="00675507" w:rsidP="00675507">
      <w:pPr>
        <w:ind w:left="-720"/>
        <w:rPr>
          <w:b/>
        </w:rPr>
      </w:pPr>
    </w:p>
    <w:p w14:paraId="14989312" w14:textId="77777777" w:rsidR="00675507" w:rsidRPr="001D6AFD" w:rsidRDefault="00675507" w:rsidP="00675507">
      <w:pPr>
        <w:ind w:left="-720"/>
        <w:rPr>
          <w:b/>
        </w:rPr>
      </w:pPr>
      <w:r w:rsidRPr="001D6AFD">
        <w:rPr>
          <w:b/>
          <w:bCs/>
          <w:color w:val="000000"/>
          <w:lang w:eastAsia="en-US"/>
        </w:rPr>
        <w:t xml:space="preserve">Indiquez toute analyse supplémentaire sur la manière dont l'égalité entre les sexes et l'autonomisation des femmes et / ou l'inclusion et la réactivité aux besoins des jeunes ont été assurées dans le cadre de ce </w:t>
      </w:r>
      <w:proofErr w:type="gramStart"/>
      <w:r w:rsidRPr="001D6AFD">
        <w:rPr>
          <w:b/>
          <w:bCs/>
          <w:color w:val="000000"/>
          <w:lang w:eastAsia="en-US"/>
        </w:rPr>
        <w:t>résultat</w:t>
      </w:r>
      <w:r w:rsidRPr="001D6AFD">
        <w:rPr>
          <w:b/>
        </w:rPr>
        <w:t>:</w:t>
      </w:r>
      <w:proofErr w:type="gramEnd"/>
      <w:r w:rsidRPr="001D6AFD">
        <w:rPr>
          <w:b/>
        </w:rPr>
        <w:t xml:space="preserve"> </w:t>
      </w:r>
      <w:r w:rsidRPr="001D6AFD">
        <w:rPr>
          <w:i/>
        </w:rPr>
        <w:t>(</w:t>
      </w:r>
      <w:r w:rsidRPr="001D6AFD">
        <w:rPr>
          <w:color w:val="212121"/>
        </w:rPr>
        <w:t>Limite de 1000 caractères</w:t>
      </w:r>
      <w:r w:rsidRPr="001D6AFD">
        <w:rPr>
          <w:i/>
        </w:rPr>
        <w:t>)</w:t>
      </w:r>
    </w:p>
    <w:p w14:paraId="3C4ECBD1" w14:textId="77777777" w:rsidR="00675507" w:rsidRPr="001D6AFD" w:rsidRDefault="00675507" w:rsidP="00675507">
      <w:pPr>
        <w:ind w:left="-720"/>
        <w:rPr>
          <w:b/>
        </w:rPr>
      </w:pPr>
      <w:r w:rsidRPr="001D6AFD">
        <w:rPr>
          <w:b/>
        </w:rPr>
        <w:fldChar w:fldCharType="begin">
          <w:ffData>
            <w:name w:val=""/>
            <w:enabled/>
            <w:calcOnExit w:val="0"/>
            <w:textInput>
              <w:maxLength w:val="1000"/>
              <w:format w:val="FIRST CAPITAL"/>
            </w:textInput>
          </w:ffData>
        </w:fldChar>
      </w:r>
      <w:r w:rsidRPr="001D6AFD">
        <w:rPr>
          <w:b/>
        </w:rPr>
        <w:instrText xml:space="preserve"> FORMTEXT </w:instrText>
      </w:r>
      <w:r w:rsidRPr="001D6AFD">
        <w:rPr>
          <w:b/>
        </w:rPr>
      </w:r>
      <w:r w:rsidRPr="001D6AFD">
        <w:rPr>
          <w:b/>
        </w:rPr>
        <w:fldChar w:fldCharType="separate"/>
      </w:r>
      <w:r w:rsidRPr="001D6AFD">
        <w:rPr>
          <w:b/>
          <w:noProof/>
        </w:rPr>
        <w:t> </w:t>
      </w:r>
      <w:r w:rsidRPr="001D6AFD">
        <w:rPr>
          <w:b/>
          <w:noProof/>
        </w:rPr>
        <w:t> </w:t>
      </w:r>
      <w:r w:rsidRPr="001D6AFD">
        <w:rPr>
          <w:b/>
          <w:noProof/>
        </w:rPr>
        <w:t> </w:t>
      </w:r>
      <w:r w:rsidRPr="001D6AFD">
        <w:rPr>
          <w:b/>
          <w:noProof/>
        </w:rPr>
        <w:t> </w:t>
      </w:r>
      <w:r w:rsidRPr="001D6AFD">
        <w:rPr>
          <w:b/>
          <w:noProof/>
        </w:rPr>
        <w:t> </w:t>
      </w:r>
      <w:r w:rsidRPr="001D6AFD">
        <w:rPr>
          <w:b/>
        </w:rPr>
        <w:fldChar w:fldCharType="end"/>
      </w:r>
    </w:p>
    <w:p w14:paraId="35EDE632" w14:textId="77777777" w:rsidR="00627A1C" w:rsidRPr="001D6AFD" w:rsidRDefault="00627A1C" w:rsidP="00627A1C">
      <w:pPr>
        <w:ind w:left="-720"/>
        <w:rPr>
          <w:b/>
        </w:rPr>
      </w:pPr>
    </w:p>
    <w:p w14:paraId="74E0D3E8" w14:textId="77777777" w:rsidR="00F5504F" w:rsidRPr="001D6AFD" w:rsidRDefault="00F5504F" w:rsidP="0078600B">
      <w:pPr>
        <w:rPr>
          <w:b/>
        </w:rPr>
      </w:pPr>
    </w:p>
    <w:p w14:paraId="702E72D3" w14:textId="77777777" w:rsidR="00675507" w:rsidRPr="001D6AFD" w:rsidRDefault="00675507" w:rsidP="0078600B">
      <w:pPr>
        <w:rPr>
          <w:b/>
        </w:rPr>
      </w:pPr>
    </w:p>
    <w:p w14:paraId="40F7F91F" w14:textId="77777777" w:rsidR="00675507" w:rsidRPr="001D6AFD" w:rsidRDefault="00675507" w:rsidP="0078600B">
      <w:pPr>
        <w:rPr>
          <w:b/>
        </w:rPr>
      </w:pPr>
    </w:p>
    <w:p w14:paraId="041CE678" w14:textId="77777777" w:rsidR="00675507" w:rsidRPr="001D6AFD" w:rsidRDefault="00675507" w:rsidP="00675507">
      <w:pPr>
        <w:rPr>
          <w:b/>
          <w:u w:val="single"/>
        </w:rPr>
      </w:pPr>
      <w:r w:rsidRPr="001D6AFD">
        <w:rPr>
          <w:b/>
          <w:u w:val="single"/>
        </w:rPr>
        <w:t xml:space="preserve">Partie </w:t>
      </w:r>
      <w:proofErr w:type="gramStart"/>
      <w:r w:rsidRPr="001D6AFD">
        <w:rPr>
          <w:b/>
          <w:u w:val="single"/>
        </w:rPr>
        <w:t>III:</w:t>
      </w:r>
      <w:proofErr w:type="gramEnd"/>
      <w:r w:rsidRPr="001D6AFD">
        <w:rPr>
          <w:b/>
          <w:u w:val="single"/>
        </w:rPr>
        <w:t xml:space="preserve"> Questions transversales</w:t>
      </w:r>
    </w:p>
    <w:p w14:paraId="63C232A7" w14:textId="77777777" w:rsidR="00675507" w:rsidRPr="001D6AFD" w:rsidRDefault="00675507" w:rsidP="00675507">
      <w:pPr>
        <w:ind w:left="360"/>
        <w:rPr>
          <w:b/>
        </w:rPr>
      </w:pPr>
    </w:p>
    <w:p w14:paraId="2C1E1F30" w14:textId="77777777" w:rsidR="00997347" w:rsidRPr="001D6AFD"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1D6AFD" w14:paraId="3278E054" w14:textId="77777777" w:rsidTr="007F7257">
        <w:tc>
          <w:tcPr>
            <w:tcW w:w="4230" w:type="dxa"/>
            <w:shd w:val="clear" w:color="auto" w:fill="auto"/>
          </w:tcPr>
          <w:p w14:paraId="1A9F4B35" w14:textId="77777777" w:rsidR="007118F5" w:rsidRPr="001D6AFD" w:rsidRDefault="00675507" w:rsidP="00234A5E">
            <w:proofErr w:type="gramStart"/>
            <w:r w:rsidRPr="001D6AFD">
              <w:rPr>
                <w:b/>
                <w:bCs/>
                <w:u w:val="single"/>
              </w:rPr>
              <w:t>Suivi</w:t>
            </w:r>
            <w:r w:rsidR="00513612" w:rsidRPr="001D6AFD">
              <w:rPr>
                <w:b/>
                <w:bCs/>
              </w:rPr>
              <w:t>:</w:t>
            </w:r>
            <w:proofErr w:type="gramEnd"/>
            <w:r w:rsidR="00513612" w:rsidRPr="001D6AFD">
              <w:rPr>
                <w:b/>
                <w:bCs/>
              </w:rPr>
              <w:t xml:space="preserve"> </w:t>
            </w:r>
            <w:r w:rsidRPr="001D6AFD">
              <w:t>Indiquez les activités de suivi conduites dans la période du rapport</w:t>
            </w:r>
            <w:r w:rsidR="007118F5" w:rsidRPr="001D6AFD">
              <w:t xml:space="preserve"> (</w:t>
            </w:r>
            <w:r w:rsidRPr="001D6AFD">
              <w:t>Limite de 1000 caractères)</w:t>
            </w:r>
          </w:p>
          <w:p w14:paraId="6C14F0C4" w14:textId="77777777" w:rsidR="007118F5" w:rsidRPr="001D6AFD" w:rsidRDefault="007118F5" w:rsidP="00234A5E">
            <w:pPr>
              <w:rPr>
                <w:iCs/>
              </w:rPr>
            </w:pPr>
          </w:p>
          <w:p w14:paraId="7A657819" w14:textId="77777777" w:rsidR="00997347" w:rsidRPr="001D6AFD" w:rsidRDefault="007118F5" w:rsidP="00234A5E">
            <w:pPr>
              <w:rPr>
                <w:i/>
              </w:rPr>
            </w:pPr>
            <w:r w:rsidRPr="001D6AFD">
              <w:rPr>
                <w:i/>
                <w:iCs/>
              </w:rPr>
              <w:fldChar w:fldCharType="begin">
                <w:ffData>
                  <w:name w:val="Text52"/>
                  <w:enabled/>
                  <w:calcOnExit w:val="0"/>
                  <w:textInput>
                    <w:maxLength w:val="1000"/>
                  </w:textInput>
                </w:ffData>
              </w:fldChar>
            </w:r>
            <w:bookmarkStart w:id="7" w:name="Text52"/>
            <w:r w:rsidRPr="001D6AFD">
              <w:rPr>
                <w:i/>
                <w:iCs/>
              </w:rPr>
              <w:instrText xml:space="preserve"> FORMTEXT </w:instrText>
            </w:r>
            <w:r w:rsidRPr="001D6AFD">
              <w:rPr>
                <w:i/>
                <w:iCs/>
              </w:rPr>
            </w:r>
            <w:r w:rsidRPr="001D6AFD">
              <w:rPr>
                <w:i/>
                <w:iCs/>
              </w:rPr>
              <w:fldChar w:fldCharType="separate"/>
            </w:r>
            <w:r w:rsidRPr="001D6AFD">
              <w:rPr>
                <w:i/>
                <w:iCs/>
                <w:noProof/>
              </w:rPr>
              <w:t> </w:t>
            </w:r>
            <w:r w:rsidRPr="001D6AFD">
              <w:rPr>
                <w:i/>
                <w:iCs/>
                <w:noProof/>
              </w:rPr>
              <w:t> </w:t>
            </w:r>
            <w:r w:rsidRPr="001D6AFD">
              <w:rPr>
                <w:i/>
                <w:iCs/>
                <w:noProof/>
              </w:rPr>
              <w:t> </w:t>
            </w:r>
            <w:r w:rsidRPr="001D6AFD">
              <w:rPr>
                <w:i/>
                <w:iCs/>
                <w:noProof/>
              </w:rPr>
              <w:t> </w:t>
            </w:r>
            <w:r w:rsidRPr="001D6AFD">
              <w:rPr>
                <w:i/>
                <w:iCs/>
                <w:noProof/>
              </w:rPr>
              <w:t> </w:t>
            </w:r>
            <w:r w:rsidRPr="001D6AFD">
              <w:rPr>
                <w:i/>
                <w:iCs/>
              </w:rPr>
              <w:fldChar w:fldCharType="end"/>
            </w:r>
            <w:bookmarkEnd w:id="7"/>
            <w:r w:rsidR="006C1819" w:rsidRPr="001D6AFD">
              <w:rPr>
                <w:i/>
              </w:rPr>
              <w:t xml:space="preserve"> </w:t>
            </w:r>
          </w:p>
          <w:p w14:paraId="21BD62AD" w14:textId="77777777" w:rsidR="007118F5" w:rsidRPr="001D6AFD" w:rsidRDefault="007118F5" w:rsidP="00234A5E"/>
        </w:tc>
        <w:tc>
          <w:tcPr>
            <w:tcW w:w="5940" w:type="dxa"/>
            <w:shd w:val="clear" w:color="auto" w:fill="auto"/>
          </w:tcPr>
          <w:p w14:paraId="797F499B" w14:textId="4CB6E4D8" w:rsidR="00997347" w:rsidRPr="001D6AFD" w:rsidRDefault="00675507" w:rsidP="00AD73D3">
            <w:r w:rsidRPr="001D6AFD">
              <w:t xml:space="preserve">Est-ce que les indicateurs des résultats ont des bases de </w:t>
            </w:r>
            <w:proofErr w:type="gramStart"/>
            <w:r w:rsidRPr="001D6AFD">
              <w:t>référence</w:t>
            </w:r>
            <w:r w:rsidR="007118F5" w:rsidRPr="001D6AFD">
              <w:t>?</w:t>
            </w:r>
            <w:proofErr w:type="gramEnd"/>
            <w:r w:rsidR="007118F5" w:rsidRPr="001D6AFD">
              <w:t xml:space="preserve"> </w:t>
            </w:r>
            <w:r w:rsidR="00C92063" w:rsidRPr="00846808">
              <w:t>Oui</w:t>
            </w:r>
          </w:p>
          <w:p w14:paraId="2337B972" w14:textId="77777777" w:rsidR="007118F5" w:rsidRPr="001D6AFD" w:rsidRDefault="007118F5" w:rsidP="00AD73D3"/>
          <w:p w14:paraId="2BD200E3" w14:textId="06AB3064" w:rsidR="007118F5" w:rsidRPr="001D6AFD" w:rsidRDefault="00675507" w:rsidP="00AD73D3">
            <w:r w:rsidRPr="001D6AFD">
              <w:t xml:space="preserve">Le projet a-t-il lancé des enquêtes de perception ou d'autres collectes de données </w:t>
            </w:r>
            <w:proofErr w:type="gramStart"/>
            <w:r w:rsidRPr="001D6AFD">
              <w:t>communautaires</w:t>
            </w:r>
            <w:r w:rsidR="007118F5" w:rsidRPr="001D6AFD">
              <w:t>?</w:t>
            </w:r>
            <w:proofErr w:type="gramEnd"/>
            <w:r w:rsidR="007118F5" w:rsidRPr="001D6AFD">
              <w:t xml:space="preserve"> </w:t>
            </w:r>
            <w:r w:rsidR="00C92063" w:rsidRPr="001D6AFD">
              <w:t>Non</w:t>
            </w:r>
          </w:p>
        </w:tc>
      </w:tr>
      <w:tr w:rsidR="006C1819" w:rsidRPr="00D161D4" w14:paraId="36A88C83" w14:textId="77777777" w:rsidTr="007F7257">
        <w:tc>
          <w:tcPr>
            <w:tcW w:w="4230" w:type="dxa"/>
            <w:shd w:val="clear" w:color="auto" w:fill="auto"/>
          </w:tcPr>
          <w:p w14:paraId="6242C484" w14:textId="77777777" w:rsidR="006C1819" w:rsidRPr="001D6AFD" w:rsidRDefault="003D4CD7" w:rsidP="005F439F">
            <w:proofErr w:type="gramStart"/>
            <w:r w:rsidRPr="001D6AFD">
              <w:rPr>
                <w:b/>
                <w:bCs/>
                <w:u w:val="single"/>
              </w:rPr>
              <w:t>E</w:t>
            </w:r>
            <w:r w:rsidR="006C1819" w:rsidRPr="001D6AFD">
              <w:rPr>
                <w:b/>
                <w:bCs/>
                <w:u w:val="single"/>
              </w:rPr>
              <w:t>valuation:</w:t>
            </w:r>
            <w:proofErr w:type="gramEnd"/>
            <w:r w:rsidR="006C1819" w:rsidRPr="001D6AFD">
              <w:t xml:space="preserve"> </w:t>
            </w:r>
            <w:r w:rsidR="00675507" w:rsidRPr="001D6AFD">
              <w:t>Est-ce qu’un exercice évaluatif a été conduit pendant la période du rapport</w:t>
            </w:r>
            <w:r w:rsidR="007118F5" w:rsidRPr="001D6AFD">
              <w:t>?</w:t>
            </w:r>
          </w:p>
          <w:p w14:paraId="3679D92A" w14:textId="77777777" w:rsidR="007118F5" w:rsidRPr="001D6AFD" w:rsidRDefault="00280FEA" w:rsidP="007118F5">
            <w:r w:rsidRPr="001D6AFD">
              <w:fldChar w:fldCharType="begin">
                <w:ffData>
                  <w:name w:val=""/>
                  <w:enabled/>
                  <w:calcOnExit w:val="0"/>
                  <w:ddList>
                    <w:listEntry w:val="Veuillez sélectionner"/>
                    <w:listEntry w:val="Oui"/>
                    <w:listEntry w:val="Non"/>
                  </w:ddList>
                </w:ffData>
              </w:fldChar>
            </w:r>
            <w:r w:rsidRPr="001D6AFD">
              <w:instrText xml:space="preserve"> FORMDROPDOWN </w:instrText>
            </w:r>
            <w:r w:rsidR="001714C9">
              <w:fldChar w:fldCharType="separate"/>
            </w:r>
            <w:r w:rsidRPr="001D6AFD">
              <w:fldChar w:fldCharType="end"/>
            </w:r>
          </w:p>
        </w:tc>
        <w:tc>
          <w:tcPr>
            <w:tcW w:w="5940" w:type="dxa"/>
            <w:shd w:val="clear" w:color="auto" w:fill="auto"/>
          </w:tcPr>
          <w:p w14:paraId="7B8CF898" w14:textId="23BD4201" w:rsidR="006C1819" w:rsidRPr="001D6AFD" w:rsidRDefault="00675507" w:rsidP="00E76CA1">
            <w:r w:rsidRPr="001D6AFD">
              <w:t>Budget pour évaluation finale</w:t>
            </w:r>
            <w:r w:rsidR="007118F5" w:rsidRPr="001D6AFD">
              <w:t xml:space="preserve"> (</w:t>
            </w:r>
            <w:r w:rsidRPr="001D6AFD">
              <w:t>réponse obligatoire</w:t>
            </w:r>
            <w:proofErr w:type="gramStart"/>
            <w:r w:rsidR="007118F5" w:rsidRPr="001D6AFD">
              <w:t>)</w:t>
            </w:r>
            <w:r w:rsidR="004D141E" w:rsidRPr="001D6AFD">
              <w:t>:</w:t>
            </w:r>
            <w:proofErr w:type="gramEnd"/>
            <w:r w:rsidR="004D141E" w:rsidRPr="001D6AFD">
              <w:t xml:space="preserve">  </w:t>
            </w:r>
            <w:r w:rsidR="00C92063" w:rsidRPr="001D6AFD">
              <w:t>30 000 USD</w:t>
            </w:r>
          </w:p>
          <w:p w14:paraId="6A29E557" w14:textId="77777777" w:rsidR="004D141E" w:rsidRPr="001D6AFD" w:rsidRDefault="004D141E" w:rsidP="00E76CA1"/>
          <w:p w14:paraId="645019D6" w14:textId="415D6D93" w:rsidR="004D141E" w:rsidRPr="001D6AFD" w:rsidRDefault="00675507" w:rsidP="00E76CA1">
            <w:r w:rsidRPr="001D6AFD">
              <w:t>Si le projet se termine dans les 6 prochains mois, décrire les préparatifs pour l’évaluation</w:t>
            </w:r>
            <w:r w:rsidR="00156C4C" w:rsidRPr="001D6AFD">
              <w:t xml:space="preserve"> </w:t>
            </w:r>
            <w:r w:rsidR="00156C4C" w:rsidRPr="001D6AFD">
              <w:rPr>
                <w:i/>
              </w:rPr>
              <w:t>(</w:t>
            </w:r>
            <w:r w:rsidRPr="001D6AFD">
              <w:t>Limite de 1500 caractères</w:t>
            </w:r>
            <w:proofErr w:type="gramStart"/>
            <w:r w:rsidR="00156C4C" w:rsidRPr="001D6AFD">
              <w:rPr>
                <w:i/>
              </w:rPr>
              <w:t>)</w:t>
            </w:r>
            <w:r w:rsidR="004D141E" w:rsidRPr="001D6AFD">
              <w:t>:</w:t>
            </w:r>
            <w:proofErr w:type="gramEnd"/>
            <w:r w:rsidR="004D141E" w:rsidRPr="001D6AFD">
              <w:t xml:space="preserve"> </w:t>
            </w:r>
            <w:r w:rsidR="00C92063" w:rsidRPr="001D6AFD">
              <w:t>N/A. Une extension de 12 mois sans coût va être demandée.</w:t>
            </w:r>
          </w:p>
          <w:p w14:paraId="6FFC21C6" w14:textId="77777777" w:rsidR="00156C4C" w:rsidRPr="001D6AFD" w:rsidRDefault="00156C4C" w:rsidP="00E76CA1"/>
        </w:tc>
      </w:tr>
      <w:tr w:rsidR="00997347" w:rsidRPr="001D6AFD" w14:paraId="781498F5" w14:textId="77777777" w:rsidTr="007F7257">
        <w:tc>
          <w:tcPr>
            <w:tcW w:w="4230" w:type="dxa"/>
            <w:shd w:val="clear" w:color="auto" w:fill="auto"/>
          </w:tcPr>
          <w:p w14:paraId="7B23407F" w14:textId="77777777" w:rsidR="00997347" w:rsidRPr="001D6AFD" w:rsidRDefault="00675507" w:rsidP="00411A5F">
            <w:r w:rsidRPr="001D6AFD">
              <w:rPr>
                <w:b/>
                <w:bCs/>
                <w:u w:val="single"/>
              </w:rPr>
              <w:t>Effets catalytiques (financiers</w:t>
            </w:r>
            <w:proofErr w:type="gramStart"/>
            <w:r w:rsidRPr="001D6AFD">
              <w:rPr>
                <w:b/>
                <w:bCs/>
                <w:u w:val="single"/>
              </w:rPr>
              <w:t>)</w:t>
            </w:r>
            <w:r w:rsidR="00513612" w:rsidRPr="001D6AFD">
              <w:rPr>
                <w:b/>
                <w:bCs/>
              </w:rPr>
              <w:t>:</w:t>
            </w:r>
            <w:proofErr w:type="gramEnd"/>
            <w:r w:rsidR="00513612" w:rsidRPr="001D6AFD">
              <w:t xml:space="preserve"> </w:t>
            </w:r>
            <w:r w:rsidRPr="001D6AFD">
              <w:t>Indiquez le nom de l'agent de financement et le montant du soutien financier non PBF supplémentaire qui a été obtenu par le projet.</w:t>
            </w:r>
          </w:p>
        </w:tc>
        <w:tc>
          <w:tcPr>
            <w:tcW w:w="5940" w:type="dxa"/>
            <w:shd w:val="clear" w:color="auto" w:fill="auto"/>
          </w:tcPr>
          <w:p w14:paraId="126E5036" w14:textId="6364FDEE" w:rsidR="00997347" w:rsidRPr="001D6AFD" w:rsidRDefault="00675507" w:rsidP="00156C4C">
            <w:r w:rsidRPr="001D6AFD">
              <w:t xml:space="preserve">Nom de </w:t>
            </w:r>
            <w:proofErr w:type="gramStart"/>
            <w:r w:rsidRPr="001D6AFD">
              <w:t>donateur</w:t>
            </w:r>
            <w:r w:rsidR="00156C4C" w:rsidRPr="001D6AFD">
              <w:t>:</w:t>
            </w:r>
            <w:proofErr w:type="gramEnd"/>
            <w:r w:rsidR="00156C4C" w:rsidRPr="001D6AFD">
              <w:t xml:space="preserve">     </w:t>
            </w:r>
            <w:r w:rsidRPr="001D6AFD">
              <w:t>Montant ($)</w:t>
            </w:r>
            <w:r w:rsidR="00156C4C" w:rsidRPr="001D6AFD">
              <w:t>:</w:t>
            </w:r>
          </w:p>
          <w:p w14:paraId="2D07D5B3" w14:textId="77777777" w:rsidR="00156C4C" w:rsidRPr="001D6AFD" w:rsidRDefault="00156C4C" w:rsidP="00156C4C">
            <w:r w:rsidRPr="001D6AFD">
              <w:fldChar w:fldCharType="begin">
                <w:ffData>
                  <w:name w:val="Text46"/>
                  <w:enabled/>
                  <w:calcOnExit w:val="0"/>
                  <w:textInput/>
                </w:ffData>
              </w:fldChar>
            </w:r>
            <w:bookmarkStart w:id="8" w:name="Text46"/>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bookmarkEnd w:id="8"/>
            <w:r w:rsidRPr="001D6AFD">
              <w:t xml:space="preserve">                          </w:t>
            </w:r>
            <w:r w:rsidRPr="001D6AFD">
              <w:fldChar w:fldCharType="begin">
                <w:ffData>
                  <w:name w:val=""/>
                  <w:enabled/>
                  <w:calcOnExit w:val="0"/>
                  <w:textInput>
                    <w:type w:val="number"/>
                    <w:format w:val="0.00"/>
                  </w:textInput>
                </w:ffData>
              </w:fldChar>
            </w:r>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p>
          <w:p w14:paraId="209E02B4" w14:textId="77777777" w:rsidR="00156C4C" w:rsidRPr="001D6AFD" w:rsidRDefault="00156C4C" w:rsidP="00156C4C"/>
          <w:p w14:paraId="68DA8296" w14:textId="77777777" w:rsidR="00156C4C" w:rsidRPr="001D6AFD" w:rsidRDefault="00156C4C" w:rsidP="00156C4C">
            <w:r w:rsidRPr="001D6AFD">
              <w:fldChar w:fldCharType="begin">
                <w:ffData>
                  <w:name w:val="Text47"/>
                  <w:enabled/>
                  <w:calcOnExit w:val="0"/>
                  <w:textInput/>
                </w:ffData>
              </w:fldChar>
            </w:r>
            <w:bookmarkStart w:id="9" w:name="Text47"/>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bookmarkEnd w:id="9"/>
            <w:r w:rsidRPr="001D6AFD">
              <w:t xml:space="preserve">                          </w:t>
            </w:r>
            <w:r w:rsidRPr="001D6AFD">
              <w:fldChar w:fldCharType="begin">
                <w:ffData>
                  <w:name w:val="Text48"/>
                  <w:enabled/>
                  <w:calcOnExit w:val="0"/>
                  <w:textInput>
                    <w:type w:val="number"/>
                    <w:format w:val="0.00"/>
                  </w:textInput>
                </w:ffData>
              </w:fldChar>
            </w:r>
            <w:bookmarkStart w:id="10" w:name="Text48"/>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bookmarkEnd w:id="10"/>
          </w:p>
          <w:p w14:paraId="21D0B479" w14:textId="77777777" w:rsidR="00156C4C" w:rsidRPr="001D6AFD" w:rsidRDefault="00156C4C" w:rsidP="00156C4C"/>
          <w:p w14:paraId="5EA842B9" w14:textId="77777777" w:rsidR="00156C4C" w:rsidRPr="001D6AFD" w:rsidRDefault="00156C4C" w:rsidP="00156C4C">
            <w:r w:rsidRPr="001D6AFD">
              <w:fldChar w:fldCharType="begin">
                <w:ffData>
                  <w:name w:val="Text49"/>
                  <w:enabled/>
                  <w:calcOnExit w:val="0"/>
                  <w:textInput/>
                </w:ffData>
              </w:fldChar>
            </w:r>
            <w:bookmarkStart w:id="11" w:name="Text49"/>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bookmarkEnd w:id="11"/>
            <w:r w:rsidRPr="001D6AFD">
              <w:t xml:space="preserve">                          </w:t>
            </w:r>
            <w:r w:rsidRPr="001D6AFD">
              <w:fldChar w:fldCharType="begin">
                <w:ffData>
                  <w:name w:val="Text50"/>
                  <w:enabled/>
                  <w:calcOnExit w:val="0"/>
                  <w:textInput>
                    <w:type w:val="number"/>
                    <w:format w:val="0.00"/>
                  </w:textInput>
                </w:ffData>
              </w:fldChar>
            </w:r>
            <w:bookmarkStart w:id="12" w:name="Text50"/>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bookmarkEnd w:id="12"/>
          </w:p>
        </w:tc>
      </w:tr>
      <w:tr w:rsidR="002C187A" w:rsidRPr="001D6AFD" w14:paraId="04EF3772" w14:textId="77777777" w:rsidTr="007F7257">
        <w:tc>
          <w:tcPr>
            <w:tcW w:w="4230" w:type="dxa"/>
            <w:shd w:val="clear" w:color="auto" w:fill="auto"/>
          </w:tcPr>
          <w:p w14:paraId="493CE278" w14:textId="77777777" w:rsidR="002C187A" w:rsidRPr="001D6AFD" w:rsidRDefault="00675507" w:rsidP="001A1E86">
            <w:proofErr w:type="gramStart"/>
            <w:r w:rsidRPr="001D6AFD">
              <w:rPr>
                <w:b/>
                <w:bCs/>
                <w:u w:val="single"/>
              </w:rPr>
              <w:t>Autre</w:t>
            </w:r>
            <w:r w:rsidRPr="001D6AFD">
              <w:t>:</w:t>
            </w:r>
            <w:proofErr w:type="gramEnd"/>
            <w:r w:rsidRPr="001D6AFD">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1D6AFD" w:rsidRDefault="002C187A" w:rsidP="009A1CD3"/>
        </w:tc>
        <w:tc>
          <w:tcPr>
            <w:tcW w:w="5940" w:type="dxa"/>
            <w:shd w:val="clear" w:color="auto" w:fill="auto"/>
          </w:tcPr>
          <w:p w14:paraId="1A120CF3" w14:textId="77777777" w:rsidR="007118F5" w:rsidRPr="001D6AFD" w:rsidRDefault="007118F5" w:rsidP="00E76CA1"/>
          <w:p w14:paraId="4187770E" w14:textId="77777777" w:rsidR="002C187A" w:rsidRPr="001D6AFD" w:rsidRDefault="006A07CA" w:rsidP="00E76CA1">
            <w:r w:rsidRPr="001D6AFD">
              <w:fldChar w:fldCharType="begin">
                <w:ffData>
                  <w:name w:val=""/>
                  <w:enabled/>
                  <w:calcOnExit w:val="0"/>
                  <w:textInput>
                    <w:maxLength w:val="1500"/>
                    <w:format w:val="FIRST CAPITAL"/>
                  </w:textInput>
                </w:ffData>
              </w:fldChar>
            </w:r>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p>
        </w:tc>
      </w:tr>
    </w:tbl>
    <w:p w14:paraId="682EBE58" w14:textId="77777777" w:rsidR="00673D6E" w:rsidRPr="001D6AFD" w:rsidRDefault="00673D6E" w:rsidP="00E76CA1">
      <w:pPr>
        <w:rPr>
          <w:b/>
        </w:rPr>
      </w:pPr>
    </w:p>
    <w:p w14:paraId="64491D11" w14:textId="77777777" w:rsidR="00673D6E" w:rsidRPr="001D6AFD" w:rsidRDefault="00673D6E" w:rsidP="00411A5F"/>
    <w:p w14:paraId="6760BFE3" w14:textId="77777777" w:rsidR="002B0F98" w:rsidRPr="001D6AFD" w:rsidRDefault="002B0F98" w:rsidP="00600B5F">
      <w:pPr>
        <w:rPr>
          <w:b/>
          <w:u w:val="single"/>
        </w:rPr>
      </w:pPr>
    </w:p>
    <w:p w14:paraId="73DC0BA9" w14:textId="5A2F65C9" w:rsidR="00600B5F" w:rsidRPr="001D6AFD" w:rsidRDefault="00600B5F" w:rsidP="00600B5F">
      <w:pPr>
        <w:rPr>
          <w:b/>
          <w:u w:val="single"/>
        </w:rPr>
      </w:pPr>
      <w:r w:rsidRPr="001D6AFD">
        <w:rPr>
          <w:b/>
          <w:u w:val="single"/>
        </w:rPr>
        <w:t xml:space="preserve">Partie </w:t>
      </w:r>
      <w:proofErr w:type="gramStart"/>
      <w:r w:rsidRPr="001D6AFD">
        <w:rPr>
          <w:b/>
          <w:u w:val="single"/>
        </w:rPr>
        <w:t>IV:</w:t>
      </w:r>
      <w:proofErr w:type="gramEnd"/>
      <w:r w:rsidRPr="001D6AFD">
        <w:rPr>
          <w:b/>
          <w:u w:val="single"/>
        </w:rPr>
        <w:t xml:space="preserve"> COVID-19</w:t>
      </w:r>
    </w:p>
    <w:p w14:paraId="49C6E36F" w14:textId="00CDAAC4" w:rsidR="00600B5F" w:rsidRPr="001D6AFD" w:rsidRDefault="00547F47" w:rsidP="00600B5F">
      <w:pPr>
        <w:rPr>
          <w:b/>
          <w:bCs/>
        </w:rPr>
      </w:pPr>
      <w:r w:rsidRPr="001D6AFD">
        <w:rPr>
          <w:i/>
          <w:iCs/>
        </w:rPr>
        <w:lastRenderedPageBreak/>
        <w:t>Veuillez répondre à ces questions si le projet a subi des ajustements financiers ou non</w:t>
      </w:r>
      <w:r w:rsidR="006017A2" w:rsidRPr="001D6AFD">
        <w:rPr>
          <w:i/>
          <w:iCs/>
        </w:rPr>
        <w:t xml:space="preserve">-financiers </w:t>
      </w:r>
      <w:r w:rsidRPr="001D6AFD">
        <w:rPr>
          <w:i/>
          <w:iCs/>
        </w:rPr>
        <w:t>en raison de la pandémie COVID-19.</w:t>
      </w:r>
    </w:p>
    <w:p w14:paraId="6E0FF915" w14:textId="77777777" w:rsidR="00600B5F" w:rsidRPr="001D6AFD" w:rsidRDefault="00600B5F" w:rsidP="00600B5F">
      <w:pPr>
        <w:pStyle w:val="ListParagraph"/>
      </w:pPr>
    </w:p>
    <w:p w14:paraId="4CF1284A" w14:textId="5B54298E" w:rsidR="00600B5F" w:rsidRPr="001D6AFD" w:rsidRDefault="001745E8" w:rsidP="001745E8">
      <w:pPr>
        <w:pStyle w:val="ListParagraph"/>
        <w:numPr>
          <w:ilvl w:val="0"/>
          <w:numId w:val="49"/>
        </w:numPr>
      </w:pPr>
      <w:r w:rsidRPr="001D6AFD">
        <w:t xml:space="preserve">Ajustements </w:t>
      </w:r>
      <w:r w:rsidR="00D8543B" w:rsidRPr="001D6AFD">
        <w:t>financiers :</w:t>
      </w:r>
      <w:r w:rsidRPr="001D6AFD">
        <w:t xml:space="preserve"> </w:t>
      </w:r>
      <w:r w:rsidR="00E271E4" w:rsidRPr="001D6AFD">
        <w:t>V</w:t>
      </w:r>
      <w:r w:rsidRPr="001D6AFD">
        <w:t>euillez indiquer le montant total en USD des ajustements liés au COVID-19</w:t>
      </w:r>
      <w:r w:rsidR="00E271E4" w:rsidRPr="001D6AFD">
        <w:t>.</w:t>
      </w:r>
    </w:p>
    <w:p w14:paraId="5AA36B62" w14:textId="77777777" w:rsidR="00600B5F" w:rsidRPr="001D6AFD" w:rsidRDefault="00600B5F" w:rsidP="00600B5F"/>
    <w:p w14:paraId="4A5B79E6" w14:textId="77777777" w:rsidR="00600B5F" w:rsidRPr="001D6AFD" w:rsidRDefault="00600B5F" w:rsidP="00600B5F">
      <w:pPr>
        <w:ind w:left="2160"/>
      </w:pPr>
      <w:r w:rsidRPr="001D6AFD">
        <w:t>$</w:t>
      </w:r>
      <w:r w:rsidRPr="001D6AFD">
        <w:fldChar w:fldCharType="begin">
          <w:ffData>
            <w:name w:val=""/>
            <w:enabled/>
            <w:calcOnExit w:val="0"/>
            <w:textInput>
              <w:maxLength w:val="100"/>
              <w:format w:val="FIRST CAPITAL"/>
            </w:textInput>
          </w:ffData>
        </w:fldChar>
      </w:r>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p>
    <w:p w14:paraId="32604A97" w14:textId="77777777" w:rsidR="00600B5F" w:rsidRPr="001D6AFD" w:rsidRDefault="00600B5F" w:rsidP="00600B5F"/>
    <w:p w14:paraId="15268D0E" w14:textId="76ED47D1" w:rsidR="00600B5F" w:rsidRPr="001D6AFD" w:rsidRDefault="003107C9" w:rsidP="003107C9">
      <w:pPr>
        <w:pStyle w:val="ListParagraph"/>
        <w:numPr>
          <w:ilvl w:val="0"/>
          <w:numId w:val="49"/>
        </w:numPr>
      </w:pPr>
      <w:r w:rsidRPr="001D6AFD">
        <w:t xml:space="preserve">Ajustements non-financiers : </w:t>
      </w:r>
      <w:r w:rsidR="00E271E4" w:rsidRPr="001D6AFD">
        <w:t>V</w:t>
      </w:r>
      <w:r w:rsidRPr="001D6AFD">
        <w:t>euillez indiquer tout ajustement du projet qui n'a pas eu de conséquences financières</w:t>
      </w:r>
      <w:r w:rsidR="00E271E4" w:rsidRPr="001D6AFD">
        <w:t>.</w:t>
      </w:r>
    </w:p>
    <w:p w14:paraId="678F86D1" w14:textId="6876733F" w:rsidR="00600B5F" w:rsidRPr="001D6AFD" w:rsidRDefault="00C92063" w:rsidP="00600B5F">
      <w:r w:rsidRPr="001D6AFD">
        <w:t xml:space="preserve">Les </w:t>
      </w:r>
      <w:r w:rsidR="004358DE" w:rsidRPr="001D6AFD">
        <w:t>réunions</w:t>
      </w:r>
      <w:r w:rsidRPr="001D6AFD">
        <w:t xml:space="preserve"> de coordination mensuelles et la </w:t>
      </w:r>
      <w:r w:rsidR="004358DE" w:rsidRPr="001D6AFD">
        <w:t>première</w:t>
      </w:r>
      <w:r w:rsidRPr="001D6AFD">
        <w:t xml:space="preserve"> session du </w:t>
      </w:r>
      <w:r w:rsidR="004358DE" w:rsidRPr="001D6AFD">
        <w:t>comité</w:t>
      </w:r>
      <w:r w:rsidRPr="001D6AFD">
        <w:t xml:space="preserve"> de pilotage se tiennent en mode virtuel. Le spécialiste de M&amp;E a travaillé à distance pendant les premiers mois de son contrat. </w:t>
      </w:r>
    </w:p>
    <w:p w14:paraId="4B6F17C3" w14:textId="50CDD5CB" w:rsidR="00600B5F" w:rsidRPr="001D6AFD" w:rsidRDefault="002D6DA0" w:rsidP="002D6DA0">
      <w:pPr>
        <w:pStyle w:val="ListParagraph"/>
        <w:numPr>
          <w:ilvl w:val="0"/>
          <w:numId w:val="49"/>
        </w:numPr>
      </w:pPr>
      <w:r w:rsidRPr="001D6AFD">
        <w:t>Veuillez sélectionner toutes les catégories qui décrivent les ajustements du projet (et inclure des détails dans les sections générales de ce rapport)</w:t>
      </w:r>
      <w:r w:rsidR="002B0F98" w:rsidRPr="001D6AFD">
        <w:t xml:space="preserve"> : </w:t>
      </w:r>
    </w:p>
    <w:p w14:paraId="322AEE35" w14:textId="77777777" w:rsidR="00A6484C" w:rsidRPr="001D6AFD" w:rsidRDefault="00A6484C" w:rsidP="00A6484C">
      <w:pPr>
        <w:pStyle w:val="ListParagraph"/>
      </w:pPr>
    </w:p>
    <w:p w14:paraId="7FEF6AAE" w14:textId="59CDF331" w:rsidR="00600B5F" w:rsidRPr="001D6AFD" w:rsidRDefault="001714C9" w:rsidP="00600B5F">
      <w:sdt>
        <w:sdtPr>
          <w:id w:val="402566072"/>
          <w14:checkbox>
            <w14:checked w14:val="0"/>
            <w14:checkedState w14:val="2612" w14:font="MS Gothic"/>
            <w14:uncheckedState w14:val="2610" w14:font="MS Gothic"/>
          </w14:checkbox>
        </w:sdtPr>
        <w:sdtEndPr/>
        <w:sdtContent>
          <w:r w:rsidR="00600B5F" w:rsidRPr="001D6AFD">
            <w:rPr>
              <w:rFonts w:ascii="Segoe UI Symbol" w:eastAsia="MS Gothic" w:hAnsi="Segoe UI Symbol" w:cs="Segoe UI Symbol"/>
            </w:rPr>
            <w:t>☐</w:t>
          </w:r>
        </w:sdtContent>
      </w:sdt>
      <w:r w:rsidR="00600B5F" w:rsidRPr="001D6AFD">
        <w:t xml:space="preserve"> </w:t>
      </w:r>
      <w:r w:rsidR="00CB5499" w:rsidRPr="001D6AFD">
        <w:t>Renforcer les capacités de gestion de crise et de communication</w:t>
      </w:r>
    </w:p>
    <w:p w14:paraId="57FB4B2F" w14:textId="77777777" w:rsidR="009E329B" w:rsidRPr="001D6AFD" w:rsidRDefault="001714C9" w:rsidP="009E329B">
      <w:sdt>
        <w:sdtPr>
          <w:id w:val="1706904896"/>
          <w14:checkbox>
            <w14:checked w14:val="0"/>
            <w14:checkedState w14:val="2612" w14:font="MS Gothic"/>
            <w14:uncheckedState w14:val="2610" w14:font="MS Gothic"/>
          </w14:checkbox>
        </w:sdtPr>
        <w:sdtEndPr/>
        <w:sdtContent>
          <w:r w:rsidR="00600B5F" w:rsidRPr="001D6AFD">
            <w:rPr>
              <w:rFonts w:ascii="Segoe UI Symbol" w:eastAsia="MS Gothic" w:hAnsi="Segoe UI Symbol" w:cs="Segoe UI Symbol"/>
            </w:rPr>
            <w:t>☐</w:t>
          </w:r>
        </w:sdtContent>
      </w:sdt>
      <w:r w:rsidR="00600B5F" w:rsidRPr="001D6AFD">
        <w:t xml:space="preserve"> </w:t>
      </w:r>
      <w:r w:rsidR="009E329B" w:rsidRPr="001D6AFD">
        <w:t>Assurer une réponse et une reprise inclusives et équitables</w:t>
      </w:r>
    </w:p>
    <w:p w14:paraId="0C9C9505" w14:textId="08BC45A4" w:rsidR="00600B5F" w:rsidRPr="001D6AFD" w:rsidRDefault="001714C9" w:rsidP="009E329B">
      <w:sdt>
        <w:sdtPr>
          <w:id w:val="1028075960"/>
          <w14:checkbox>
            <w14:checked w14:val="0"/>
            <w14:checkedState w14:val="2612" w14:font="MS Gothic"/>
            <w14:uncheckedState w14:val="2610" w14:font="MS Gothic"/>
          </w14:checkbox>
        </w:sdtPr>
        <w:sdtEndPr/>
        <w:sdtContent>
          <w:r w:rsidR="00600B5F" w:rsidRPr="001D6AFD">
            <w:rPr>
              <w:rFonts w:ascii="Segoe UI Symbol" w:eastAsia="MS Gothic" w:hAnsi="Segoe UI Symbol" w:cs="Segoe UI Symbol"/>
            </w:rPr>
            <w:t>☐</w:t>
          </w:r>
        </w:sdtContent>
      </w:sdt>
      <w:r w:rsidR="00600B5F" w:rsidRPr="001D6AFD">
        <w:t xml:space="preserve"> </w:t>
      </w:r>
      <w:r w:rsidR="00953C30" w:rsidRPr="001D6AFD">
        <w:t>Renforcer la cohésion sociale intercommunautaire et la gestion des frontières</w:t>
      </w:r>
    </w:p>
    <w:p w14:paraId="6E0D87A0" w14:textId="0DAD893D" w:rsidR="00600B5F" w:rsidRPr="001D6AFD" w:rsidRDefault="001714C9" w:rsidP="00600B5F">
      <w:sdt>
        <w:sdtPr>
          <w:id w:val="1433550173"/>
          <w14:checkbox>
            <w14:checked w14:val="0"/>
            <w14:checkedState w14:val="2612" w14:font="MS Gothic"/>
            <w14:uncheckedState w14:val="2610" w14:font="MS Gothic"/>
          </w14:checkbox>
        </w:sdtPr>
        <w:sdtEndPr/>
        <w:sdtContent>
          <w:r w:rsidR="00600B5F" w:rsidRPr="001D6AFD">
            <w:rPr>
              <w:rFonts w:ascii="Segoe UI Symbol" w:eastAsia="MS Gothic" w:hAnsi="Segoe UI Symbol" w:cs="Segoe UI Symbol"/>
            </w:rPr>
            <w:t>☐</w:t>
          </w:r>
        </w:sdtContent>
      </w:sdt>
      <w:r w:rsidR="00600B5F" w:rsidRPr="001D6AFD">
        <w:t xml:space="preserve"> </w:t>
      </w:r>
      <w:r w:rsidR="00782959" w:rsidRPr="001D6AFD">
        <w:t xml:space="preserve">Lutter contre le discours de haine et la stigmatisation et </w:t>
      </w:r>
      <w:r w:rsidR="00B330C2" w:rsidRPr="001D6AFD">
        <w:t>répondre</w:t>
      </w:r>
      <w:r w:rsidR="00782959" w:rsidRPr="001D6AFD">
        <w:t xml:space="preserve"> </w:t>
      </w:r>
      <w:r w:rsidR="00B330C2" w:rsidRPr="001D6AFD">
        <w:t>aux</w:t>
      </w:r>
      <w:r w:rsidR="00782959" w:rsidRPr="001D6AFD">
        <w:t xml:space="preserve"> traumatismes</w:t>
      </w:r>
    </w:p>
    <w:p w14:paraId="13727351" w14:textId="4F133F18" w:rsidR="00600B5F" w:rsidRPr="001D6AFD" w:rsidRDefault="001714C9" w:rsidP="00600B5F">
      <w:sdt>
        <w:sdtPr>
          <w:id w:val="-197162951"/>
          <w14:checkbox>
            <w14:checked w14:val="0"/>
            <w14:checkedState w14:val="2612" w14:font="MS Gothic"/>
            <w14:uncheckedState w14:val="2610" w14:font="MS Gothic"/>
          </w14:checkbox>
        </w:sdtPr>
        <w:sdtEndPr/>
        <w:sdtContent>
          <w:r w:rsidR="00600B5F" w:rsidRPr="001D6AFD">
            <w:rPr>
              <w:rFonts w:ascii="Segoe UI Symbol" w:eastAsia="MS Gothic" w:hAnsi="Segoe UI Symbol" w:cs="Segoe UI Symbol"/>
            </w:rPr>
            <w:t>☐</w:t>
          </w:r>
        </w:sdtContent>
      </w:sdt>
      <w:r w:rsidR="00600B5F" w:rsidRPr="001D6AFD">
        <w:t xml:space="preserve"> </w:t>
      </w:r>
      <w:r w:rsidR="005D653E" w:rsidRPr="001D6AFD">
        <w:t xml:space="preserve">Soutenir l'appel du SG </w:t>
      </w:r>
      <w:r w:rsidR="00970D92" w:rsidRPr="001D6AFD">
        <w:t>au « </w:t>
      </w:r>
      <w:r w:rsidR="005D653E" w:rsidRPr="001D6AFD">
        <w:t>cessez-le-feu mondial</w:t>
      </w:r>
      <w:r w:rsidR="00970D92" w:rsidRPr="001D6AFD">
        <w:t> »</w:t>
      </w:r>
    </w:p>
    <w:p w14:paraId="28BEA6AB" w14:textId="72AEFDFD" w:rsidR="00600B5F" w:rsidRPr="001D6AFD" w:rsidRDefault="001714C9" w:rsidP="00600B5F">
      <w:sdt>
        <w:sdtPr>
          <w:id w:val="810906333"/>
          <w14:checkbox>
            <w14:checked w14:val="0"/>
            <w14:checkedState w14:val="2612" w14:font="MS Gothic"/>
            <w14:uncheckedState w14:val="2610" w14:font="MS Gothic"/>
          </w14:checkbox>
        </w:sdtPr>
        <w:sdtEndPr/>
        <w:sdtContent>
          <w:r w:rsidR="00600B5F" w:rsidRPr="001D6AFD">
            <w:rPr>
              <w:rFonts w:ascii="Segoe UI Symbol" w:eastAsia="MS Gothic" w:hAnsi="Segoe UI Symbol" w:cs="Segoe UI Symbol"/>
            </w:rPr>
            <w:t>☐</w:t>
          </w:r>
        </w:sdtContent>
      </w:sdt>
      <w:r w:rsidR="00600B5F" w:rsidRPr="001D6AFD">
        <w:t xml:space="preserve"> </w:t>
      </w:r>
      <w:r w:rsidR="00970D92" w:rsidRPr="001D6AFD">
        <w:t>Autres</w:t>
      </w:r>
      <w:r w:rsidR="00600B5F" w:rsidRPr="001D6AFD">
        <w:t xml:space="preserve"> (</w:t>
      </w:r>
      <w:r w:rsidR="00970D92" w:rsidRPr="001D6AFD">
        <w:t xml:space="preserve">veuillez </w:t>
      </w:r>
      <w:r w:rsidR="00B82E71" w:rsidRPr="001D6AFD">
        <w:t>préciser</w:t>
      </w:r>
      <w:proofErr w:type="gramStart"/>
      <w:r w:rsidR="00600B5F" w:rsidRPr="001D6AFD">
        <w:t>):</w:t>
      </w:r>
      <w:proofErr w:type="gramEnd"/>
      <w:r w:rsidR="00600B5F" w:rsidRPr="001D6AFD">
        <w:t xml:space="preserve"> </w:t>
      </w:r>
      <w:r w:rsidR="00600B5F" w:rsidRPr="001D6AFD">
        <w:fldChar w:fldCharType="begin">
          <w:ffData>
            <w:name w:val=""/>
            <w:enabled/>
            <w:calcOnExit w:val="0"/>
            <w:textInput>
              <w:maxLength w:val="1500"/>
              <w:format w:val="FIRST CAPITAL"/>
            </w:textInput>
          </w:ffData>
        </w:fldChar>
      </w:r>
      <w:r w:rsidR="00600B5F" w:rsidRPr="001D6AFD">
        <w:instrText xml:space="preserve"> FORMTEXT </w:instrText>
      </w:r>
      <w:r w:rsidR="00600B5F" w:rsidRPr="001D6AFD">
        <w:fldChar w:fldCharType="separate"/>
      </w:r>
      <w:r w:rsidR="00600B5F" w:rsidRPr="001D6AFD">
        <w:rPr>
          <w:noProof/>
        </w:rPr>
        <w:t> </w:t>
      </w:r>
      <w:r w:rsidR="00600B5F" w:rsidRPr="001D6AFD">
        <w:rPr>
          <w:noProof/>
        </w:rPr>
        <w:t> </w:t>
      </w:r>
      <w:r w:rsidR="00600B5F" w:rsidRPr="001D6AFD">
        <w:rPr>
          <w:noProof/>
        </w:rPr>
        <w:t> </w:t>
      </w:r>
      <w:r w:rsidR="00600B5F" w:rsidRPr="001D6AFD">
        <w:rPr>
          <w:noProof/>
        </w:rPr>
        <w:t> </w:t>
      </w:r>
      <w:r w:rsidR="00600B5F" w:rsidRPr="001D6AFD">
        <w:rPr>
          <w:noProof/>
        </w:rPr>
        <w:t> </w:t>
      </w:r>
      <w:r w:rsidR="00600B5F" w:rsidRPr="001D6AFD">
        <w:fldChar w:fldCharType="end"/>
      </w:r>
    </w:p>
    <w:p w14:paraId="350CC976" w14:textId="77777777" w:rsidR="00600B5F" w:rsidRPr="001D6AFD" w:rsidRDefault="00600B5F" w:rsidP="00600B5F">
      <w:pPr>
        <w:ind w:left="2160"/>
      </w:pPr>
    </w:p>
    <w:p w14:paraId="46997774" w14:textId="7BBA6F8E" w:rsidR="00600B5F" w:rsidRPr="001D6AFD" w:rsidRDefault="00FD0105" w:rsidP="00600B5F">
      <w:r w:rsidRPr="001D6AFD">
        <w:t>Le cas échéant, veuillez partager une histoire de réussite COVID-19 de ce projet (</w:t>
      </w:r>
      <w:r w:rsidR="004C4272" w:rsidRPr="001D6AFD">
        <w:rPr>
          <w:i/>
          <w:iCs/>
        </w:rPr>
        <w:t xml:space="preserve">i.e. </w:t>
      </w:r>
      <w:r w:rsidR="00D61557" w:rsidRPr="001D6AFD">
        <w:rPr>
          <w:i/>
          <w:iCs/>
        </w:rPr>
        <w:t>comment les ajustements de ce projet ont fait une différence et ont contribué à une réponse positive à la pandémie / empêché les tensions ou la violence liées à la pandémie, etc</w:t>
      </w:r>
      <w:r w:rsidR="00600B5F" w:rsidRPr="001D6AFD">
        <w:rPr>
          <w:i/>
          <w:iCs/>
        </w:rPr>
        <w:t>.</w:t>
      </w:r>
      <w:r w:rsidR="00600B5F" w:rsidRPr="001D6AFD">
        <w:t>)</w:t>
      </w:r>
    </w:p>
    <w:p w14:paraId="088870D7" w14:textId="77777777" w:rsidR="00600B5F" w:rsidRPr="001D6AFD" w:rsidRDefault="00600B5F" w:rsidP="00600B5F"/>
    <w:p w14:paraId="755D9775" w14:textId="77777777" w:rsidR="00600B5F" w:rsidRPr="001D6AFD" w:rsidRDefault="00600B5F" w:rsidP="00600B5F">
      <w:r w:rsidRPr="001D6AFD">
        <w:fldChar w:fldCharType="begin">
          <w:ffData>
            <w:name w:val=""/>
            <w:enabled/>
            <w:calcOnExit w:val="0"/>
            <w:textInput>
              <w:maxLength w:val="2000"/>
              <w:format w:val="FIRST CAPITAL"/>
            </w:textInput>
          </w:ffData>
        </w:fldChar>
      </w:r>
      <w:r w:rsidRPr="001D6AFD">
        <w:instrText xml:space="preserve"> FORMTEXT </w:instrText>
      </w:r>
      <w:r w:rsidRPr="001D6AFD">
        <w:fldChar w:fldCharType="separate"/>
      </w:r>
      <w:r w:rsidRPr="001D6AFD">
        <w:rPr>
          <w:noProof/>
        </w:rPr>
        <w:t> </w:t>
      </w:r>
      <w:r w:rsidRPr="001D6AFD">
        <w:rPr>
          <w:noProof/>
        </w:rPr>
        <w:t> </w:t>
      </w:r>
      <w:r w:rsidRPr="001D6AFD">
        <w:rPr>
          <w:noProof/>
        </w:rPr>
        <w:t> </w:t>
      </w:r>
      <w:r w:rsidRPr="001D6AFD">
        <w:rPr>
          <w:noProof/>
        </w:rPr>
        <w:t> </w:t>
      </w:r>
      <w:r w:rsidRPr="001D6AFD">
        <w:rPr>
          <w:noProof/>
        </w:rPr>
        <w:t> </w:t>
      </w:r>
      <w:r w:rsidRPr="001D6AFD">
        <w:fldChar w:fldCharType="end"/>
      </w:r>
    </w:p>
    <w:p w14:paraId="22885BEA" w14:textId="77777777" w:rsidR="00600B5F" w:rsidRPr="001D6AFD" w:rsidRDefault="00600B5F" w:rsidP="00600B5F">
      <w:pPr>
        <w:ind w:left="2160"/>
      </w:pPr>
    </w:p>
    <w:p w14:paraId="63ED12FA" w14:textId="77777777" w:rsidR="004E3B3E" w:rsidRPr="001D6AFD" w:rsidRDefault="004E3B3E" w:rsidP="0078600B">
      <w:pPr>
        <w:sectPr w:rsidR="004E3B3E" w:rsidRPr="001D6AFD" w:rsidSect="0078600B">
          <w:pgSz w:w="11906" w:h="16838"/>
          <w:pgMar w:top="1440" w:right="1800" w:bottom="1440" w:left="1800" w:header="720" w:footer="720" w:gutter="0"/>
          <w:cols w:space="720"/>
          <w:docGrid w:linePitch="360"/>
        </w:sectPr>
      </w:pPr>
    </w:p>
    <w:p w14:paraId="5634A3B1" w14:textId="77777777" w:rsidR="00DF24B9" w:rsidRPr="001D6AFD"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Pr="001D6AFD"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Pr="001D6AFD" w:rsidRDefault="00675507" w:rsidP="00675507">
      <w:pPr>
        <w:pStyle w:val="HTMLPreformatted"/>
        <w:shd w:val="clear" w:color="auto" w:fill="FFFFFF"/>
        <w:rPr>
          <w:rFonts w:ascii="Times New Roman" w:hAnsi="Times New Roman" w:cs="Times New Roman"/>
          <w:b/>
          <w:sz w:val="24"/>
          <w:szCs w:val="24"/>
          <w:u w:val="single"/>
          <w:lang w:val="fr-FR" w:eastAsia="en-GB"/>
        </w:rPr>
      </w:pPr>
      <w:r w:rsidRPr="001D6AFD">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1D6AFD">
        <w:rPr>
          <w:rFonts w:ascii="Times New Roman" w:hAnsi="Times New Roman" w:cs="Times New Roman"/>
          <w:b/>
          <w:sz w:val="24"/>
          <w:szCs w:val="24"/>
          <w:u w:val="single"/>
          <w:lang w:val="fr-FR" w:eastAsia="en-GB"/>
        </w:rPr>
        <w:t>INDICATEURS:</w:t>
      </w:r>
      <w:proofErr w:type="gramEnd"/>
      <w:r w:rsidRPr="001D6AFD">
        <w:rPr>
          <w:rFonts w:ascii="Times New Roman" w:hAnsi="Times New Roman" w:cs="Times New Roman"/>
          <w:b/>
          <w:sz w:val="24"/>
          <w:szCs w:val="24"/>
          <w:u w:val="single"/>
          <w:lang w:val="fr-FR" w:eastAsia="en-GB"/>
        </w:rPr>
        <w:t xml:space="preserve"> </w:t>
      </w:r>
    </w:p>
    <w:p w14:paraId="6354B688" w14:textId="77777777" w:rsidR="00675507" w:rsidRPr="001D6AFD"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1D6AFD" w:rsidRDefault="00675507" w:rsidP="00675507">
      <w:pPr>
        <w:pStyle w:val="HTMLPreformatted"/>
        <w:shd w:val="clear" w:color="auto" w:fill="FFFFFF"/>
        <w:rPr>
          <w:rFonts w:ascii="Times New Roman" w:hAnsi="Times New Roman" w:cs="Times New Roman"/>
          <w:color w:val="212121"/>
          <w:sz w:val="22"/>
          <w:szCs w:val="22"/>
          <w:lang w:val="fr-FR"/>
        </w:rPr>
      </w:pPr>
      <w:r w:rsidRPr="001D6AFD">
        <w:rPr>
          <w:rFonts w:ascii="Times New Roman" w:hAnsi="Times New Roman" w:cs="Times New Roman"/>
          <w:color w:val="212121"/>
          <w:sz w:val="22"/>
          <w:szCs w:val="22"/>
          <w:lang w:val="fr-FR"/>
        </w:rPr>
        <w:t>Utilise</w:t>
      </w:r>
      <w:r w:rsidR="00826923" w:rsidRPr="001D6AFD">
        <w:rPr>
          <w:rFonts w:ascii="Times New Roman" w:hAnsi="Times New Roman" w:cs="Times New Roman"/>
          <w:color w:val="212121"/>
          <w:sz w:val="22"/>
          <w:szCs w:val="22"/>
          <w:lang w:val="fr-FR"/>
        </w:rPr>
        <w:t>r</w:t>
      </w:r>
      <w:r w:rsidRPr="001D6AFD">
        <w:rPr>
          <w:rFonts w:ascii="Times New Roman" w:hAnsi="Times New Roman" w:cs="Times New Roman"/>
          <w:color w:val="212121"/>
          <w:sz w:val="22"/>
          <w:szCs w:val="22"/>
          <w:lang w:val="fr-FR"/>
        </w:rPr>
        <w:t xml:space="preserve"> le cadre de résultats du projet conformément au document de projet approuvé ou à toute modification </w:t>
      </w:r>
      <w:r w:rsidR="00826923" w:rsidRPr="001D6AFD">
        <w:rPr>
          <w:rFonts w:ascii="Times New Roman" w:hAnsi="Times New Roman" w:cs="Times New Roman"/>
          <w:color w:val="212121"/>
          <w:sz w:val="22"/>
          <w:szCs w:val="22"/>
          <w:lang w:val="fr-FR"/>
        </w:rPr>
        <w:t xml:space="preserve">et </w:t>
      </w:r>
      <w:r w:rsidRPr="001D6AFD">
        <w:rPr>
          <w:rFonts w:ascii="Times New Roman" w:hAnsi="Times New Roman" w:cs="Times New Roman"/>
          <w:color w:val="212121"/>
          <w:sz w:val="22"/>
          <w:szCs w:val="22"/>
          <w:lang w:val="fr-FR"/>
        </w:rPr>
        <w:t>fournir une mise à jour sur la réalisation des indicateurs clés au niveau des résultats et des produits dans le tableau ci-dessous. Veuillez sélectionnez les produits et les indicateurs les 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1D6AFD" w:rsidRDefault="00675507" w:rsidP="00675507">
      <w:pPr>
        <w:outlineLvl w:val="0"/>
        <w:rPr>
          <w:sz w:val="22"/>
          <w:szCs w:val="22"/>
          <w:lang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D161D4" w14:paraId="55AC7DE0" w14:textId="77777777" w:rsidTr="00826923">
        <w:trPr>
          <w:tblHeader/>
        </w:trPr>
        <w:tc>
          <w:tcPr>
            <w:tcW w:w="1530" w:type="dxa"/>
          </w:tcPr>
          <w:p w14:paraId="17B19ECD" w14:textId="77777777" w:rsidR="00826923" w:rsidRPr="001D6AFD" w:rsidRDefault="00826923" w:rsidP="003B4F6E">
            <w:pPr>
              <w:jc w:val="center"/>
              <w:rPr>
                <w:b/>
                <w:szCs w:val="20"/>
                <w:lang w:eastAsia="en-US"/>
              </w:rPr>
            </w:pPr>
          </w:p>
        </w:tc>
        <w:tc>
          <w:tcPr>
            <w:tcW w:w="2070" w:type="dxa"/>
            <w:shd w:val="clear" w:color="auto" w:fill="EEECE1"/>
          </w:tcPr>
          <w:p w14:paraId="1425E9C7" w14:textId="77777777" w:rsidR="00826923" w:rsidRPr="001D6AFD" w:rsidRDefault="00826923" w:rsidP="003B4F6E">
            <w:pPr>
              <w:jc w:val="center"/>
              <w:rPr>
                <w:b/>
                <w:szCs w:val="20"/>
                <w:lang w:eastAsia="en-US"/>
              </w:rPr>
            </w:pPr>
            <w:r w:rsidRPr="001D6AFD">
              <w:rPr>
                <w:b/>
                <w:szCs w:val="20"/>
                <w:lang w:eastAsia="en-US"/>
              </w:rPr>
              <w:t>Indicateurs</w:t>
            </w:r>
          </w:p>
        </w:tc>
        <w:tc>
          <w:tcPr>
            <w:tcW w:w="1530" w:type="dxa"/>
            <w:shd w:val="clear" w:color="auto" w:fill="EEECE1"/>
          </w:tcPr>
          <w:p w14:paraId="0D863FD4" w14:textId="77777777" w:rsidR="00826923" w:rsidRPr="001D6AFD" w:rsidRDefault="00826923" w:rsidP="003B4F6E">
            <w:pPr>
              <w:jc w:val="center"/>
              <w:rPr>
                <w:b/>
                <w:szCs w:val="20"/>
                <w:lang w:eastAsia="en-US"/>
              </w:rPr>
            </w:pPr>
            <w:r w:rsidRPr="001D6AFD">
              <w:rPr>
                <w:b/>
                <w:szCs w:val="20"/>
                <w:lang w:eastAsia="en-US"/>
              </w:rPr>
              <w:t xml:space="preserve">Base de </w:t>
            </w:r>
            <w:proofErr w:type="gramStart"/>
            <w:r w:rsidRPr="001D6AFD">
              <w:rPr>
                <w:b/>
                <w:szCs w:val="20"/>
                <w:lang w:eastAsia="en-US"/>
              </w:rPr>
              <w:t>donnée</w:t>
            </w:r>
            <w:proofErr w:type="gramEnd"/>
          </w:p>
        </w:tc>
        <w:tc>
          <w:tcPr>
            <w:tcW w:w="1620" w:type="dxa"/>
            <w:shd w:val="clear" w:color="auto" w:fill="EEECE1"/>
          </w:tcPr>
          <w:p w14:paraId="724B54E5" w14:textId="77777777" w:rsidR="00826923" w:rsidRPr="001D6AFD" w:rsidRDefault="00826923" w:rsidP="003B4F6E">
            <w:pPr>
              <w:jc w:val="center"/>
              <w:rPr>
                <w:b/>
                <w:szCs w:val="20"/>
                <w:lang w:eastAsia="en-US"/>
              </w:rPr>
            </w:pPr>
            <w:r w:rsidRPr="001D6AFD">
              <w:rPr>
                <w:b/>
                <w:szCs w:val="20"/>
                <w:lang w:eastAsia="en-US"/>
              </w:rPr>
              <w:t>Cible de fin de projet</w:t>
            </w:r>
          </w:p>
        </w:tc>
        <w:tc>
          <w:tcPr>
            <w:tcW w:w="2070" w:type="dxa"/>
          </w:tcPr>
          <w:p w14:paraId="4F04CDD3" w14:textId="4CB321B2" w:rsidR="00826923" w:rsidRPr="001D6AFD" w:rsidRDefault="001D6AFD" w:rsidP="003B4F6E">
            <w:pPr>
              <w:jc w:val="center"/>
              <w:rPr>
                <w:b/>
                <w:szCs w:val="20"/>
                <w:lang w:eastAsia="en-US"/>
              </w:rPr>
            </w:pPr>
            <w:r w:rsidRPr="001D6AFD">
              <w:rPr>
                <w:b/>
                <w:szCs w:val="20"/>
                <w:lang w:eastAsia="en-US"/>
              </w:rPr>
              <w:t>Étapes</w:t>
            </w:r>
            <w:r w:rsidR="00826923" w:rsidRPr="001D6AFD">
              <w:rPr>
                <w:b/>
                <w:szCs w:val="20"/>
                <w:lang w:eastAsia="en-US"/>
              </w:rPr>
              <w:t xml:space="preserve"> d’indicateur/ </w:t>
            </w:r>
            <w:proofErr w:type="spellStart"/>
            <w:r w:rsidR="00826923" w:rsidRPr="001D6AFD">
              <w:rPr>
                <w:b/>
                <w:szCs w:val="20"/>
                <w:lang w:eastAsia="en-US"/>
              </w:rPr>
              <w:t>milestone</w:t>
            </w:r>
            <w:proofErr w:type="spellEnd"/>
          </w:p>
        </w:tc>
        <w:tc>
          <w:tcPr>
            <w:tcW w:w="2070" w:type="dxa"/>
          </w:tcPr>
          <w:p w14:paraId="06590294" w14:textId="77777777" w:rsidR="00826923" w:rsidRPr="001D6AFD" w:rsidRDefault="00826923" w:rsidP="003B4F6E">
            <w:pPr>
              <w:jc w:val="center"/>
              <w:rPr>
                <w:b/>
                <w:szCs w:val="20"/>
                <w:lang w:eastAsia="en-US"/>
              </w:rPr>
            </w:pPr>
            <w:r w:rsidRPr="001D6AFD">
              <w:rPr>
                <w:b/>
                <w:szCs w:val="20"/>
                <w:lang w:eastAsia="en-US"/>
              </w:rPr>
              <w:t>Progrès actuel de l’indicateur</w:t>
            </w:r>
          </w:p>
        </w:tc>
        <w:tc>
          <w:tcPr>
            <w:tcW w:w="4140" w:type="dxa"/>
          </w:tcPr>
          <w:p w14:paraId="1FC4A2F6" w14:textId="77777777" w:rsidR="00826923" w:rsidRPr="001D6AFD" w:rsidRDefault="00826923" w:rsidP="003B4F6E">
            <w:pPr>
              <w:jc w:val="center"/>
              <w:rPr>
                <w:b/>
                <w:szCs w:val="20"/>
                <w:lang w:eastAsia="en-US"/>
              </w:rPr>
            </w:pPr>
            <w:r w:rsidRPr="001D6AFD">
              <w:rPr>
                <w:b/>
                <w:szCs w:val="20"/>
                <w:lang w:eastAsia="en-US"/>
              </w:rPr>
              <w:t>Raisons pour les retards ou changements</w:t>
            </w:r>
          </w:p>
        </w:tc>
      </w:tr>
      <w:tr w:rsidR="00C31E9B" w:rsidRPr="00D161D4" w14:paraId="66F874FD" w14:textId="77777777" w:rsidTr="00826923">
        <w:trPr>
          <w:trHeight w:val="548"/>
        </w:trPr>
        <w:tc>
          <w:tcPr>
            <w:tcW w:w="1530" w:type="dxa"/>
            <w:vMerge w:val="restart"/>
          </w:tcPr>
          <w:p w14:paraId="5565D14A" w14:textId="77777777" w:rsidR="00C31E9B" w:rsidRPr="001D6AFD" w:rsidRDefault="00C31E9B" w:rsidP="00C31E9B">
            <w:pPr>
              <w:rPr>
                <w:b/>
                <w:szCs w:val="20"/>
                <w:lang w:eastAsia="en-US"/>
              </w:rPr>
            </w:pPr>
            <w:r w:rsidRPr="001D6AFD">
              <w:rPr>
                <w:b/>
                <w:szCs w:val="20"/>
                <w:lang w:eastAsia="en-US"/>
              </w:rPr>
              <w:t>Résultat 1</w:t>
            </w:r>
          </w:p>
          <w:p w14:paraId="0C1D1E73"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La coordination, le suivi-évaluation et l'élaboration des rapports sur les résultats du portefeuille du PBF sont assurés par le</w:t>
            </w:r>
          </w:p>
          <w:p w14:paraId="3E1AF8B2" w14:textId="5425E9DC" w:rsidR="00C31E9B" w:rsidRPr="001D6AFD" w:rsidRDefault="00C31E9B" w:rsidP="00C31E9B">
            <w:pPr>
              <w:rPr>
                <w:b/>
                <w:szCs w:val="20"/>
                <w:lang w:eastAsia="en-US"/>
              </w:rPr>
            </w:pPr>
            <w:r w:rsidRPr="001D6AFD">
              <w:rPr>
                <w:rFonts w:eastAsia="Calibri"/>
                <w:sz w:val="16"/>
                <w:szCs w:val="16"/>
                <w:lang w:eastAsia="zh-CN"/>
              </w:rPr>
              <w:t>Secrétariat du PBF.</w:t>
            </w:r>
          </w:p>
        </w:tc>
        <w:tc>
          <w:tcPr>
            <w:tcW w:w="2070" w:type="dxa"/>
            <w:shd w:val="clear" w:color="auto" w:fill="EEECE1"/>
          </w:tcPr>
          <w:p w14:paraId="23E9A2C4" w14:textId="49AF968A" w:rsidR="00C31E9B" w:rsidRPr="001D6AFD" w:rsidRDefault="00C31E9B" w:rsidP="00C31E9B">
            <w:pPr>
              <w:jc w:val="both"/>
              <w:rPr>
                <w:lang w:eastAsia="en-US"/>
              </w:rPr>
            </w:pPr>
            <w:r w:rsidRPr="001D6AFD">
              <w:rPr>
                <w:lang w:eastAsia="en-US"/>
              </w:rPr>
              <w:t>Indicateur 1.1</w:t>
            </w:r>
          </w:p>
          <w:p w14:paraId="0BAA20C5" w14:textId="5515FC7D" w:rsidR="00C31E9B" w:rsidRPr="001D6AFD" w:rsidRDefault="00C31E9B" w:rsidP="00C31E9B">
            <w:pPr>
              <w:jc w:val="both"/>
              <w:rPr>
                <w:szCs w:val="20"/>
                <w:lang w:eastAsia="en-US"/>
              </w:rPr>
            </w:pPr>
            <w:r w:rsidRPr="001D6AFD">
              <w:rPr>
                <w:rFonts w:eastAsia="Calibri"/>
                <w:sz w:val="16"/>
                <w:szCs w:val="16"/>
                <w:lang w:eastAsia="zh-CN"/>
              </w:rPr>
              <w:t>Indicateur 1a :  # de mécanismes de coordination créés ou mis en place au sein des structures existantes.</w:t>
            </w:r>
          </w:p>
        </w:tc>
        <w:tc>
          <w:tcPr>
            <w:tcW w:w="1530" w:type="dxa"/>
            <w:shd w:val="clear" w:color="auto" w:fill="EEECE1"/>
          </w:tcPr>
          <w:p w14:paraId="7504FF59"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 xml:space="preserve">Niveau de référence : 0 </w:t>
            </w:r>
          </w:p>
          <w:p w14:paraId="18B7E136" w14:textId="1CC60D9D" w:rsidR="00C31E9B" w:rsidRPr="001D6AFD" w:rsidRDefault="00C31E9B" w:rsidP="00C31E9B">
            <w:pPr>
              <w:rPr>
                <w:szCs w:val="20"/>
                <w:lang w:eastAsia="en-US"/>
              </w:rPr>
            </w:pPr>
          </w:p>
        </w:tc>
        <w:tc>
          <w:tcPr>
            <w:tcW w:w="1620" w:type="dxa"/>
            <w:shd w:val="clear" w:color="auto" w:fill="EEECE1"/>
          </w:tcPr>
          <w:p w14:paraId="61479E92" w14:textId="09C43886" w:rsidR="00C31E9B" w:rsidRPr="001D6AFD" w:rsidRDefault="00C31E9B" w:rsidP="00C31E9B">
            <w:r w:rsidRPr="001D6AFD">
              <w:rPr>
                <w:rFonts w:eastAsia="Calibri"/>
                <w:sz w:val="16"/>
                <w:szCs w:val="16"/>
                <w:lang w:eastAsia="zh-CN"/>
              </w:rPr>
              <w:t xml:space="preserve">Cible : 7 (1 unité opérationnelle par projet thématique PBF. Groupe Effet 5, </w:t>
            </w:r>
            <w:proofErr w:type="spellStart"/>
            <w:r w:rsidRPr="001D6AFD">
              <w:rPr>
                <w:rFonts w:eastAsia="Calibri"/>
                <w:sz w:val="16"/>
                <w:szCs w:val="16"/>
                <w:lang w:eastAsia="zh-CN"/>
              </w:rPr>
              <w:t>CoPil</w:t>
            </w:r>
            <w:proofErr w:type="spellEnd"/>
            <w:r w:rsidRPr="001D6AFD">
              <w:rPr>
                <w:rFonts w:eastAsia="Calibri"/>
                <w:sz w:val="14"/>
                <w:szCs w:val="14"/>
                <w:lang w:eastAsia="zh-CN"/>
              </w:rPr>
              <w:t xml:space="preserve"> et COS.</w:t>
            </w:r>
          </w:p>
        </w:tc>
        <w:tc>
          <w:tcPr>
            <w:tcW w:w="2070" w:type="dxa"/>
          </w:tcPr>
          <w:p w14:paraId="139B2B99" w14:textId="0F7549BB" w:rsidR="00C31E9B" w:rsidRPr="001D6AFD" w:rsidRDefault="00C31E9B" w:rsidP="00C31E9B">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42E436EB" w14:textId="2CF5E134" w:rsidR="00C31E9B" w:rsidRPr="00696A22" w:rsidRDefault="00B82549" w:rsidP="00C31E9B">
            <w:pPr>
              <w:rPr>
                <w:bCs/>
                <w:sz w:val="16"/>
                <w:szCs w:val="16"/>
              </w:rPr>
            </w:pPr>
            <w:r w:rsidRPr="00696A22">
              <w:rPr>
                <w:bCs/>
                <w:sz w:val="16"/>
                <w:szCs w:val="16"/>
                <w:lang w:val="en-US" w:eastAsia="en-US"/>
              </w:rPr>
              <w:t>6</w:t>
            </w:r>
          </w:p>
        </w:tc>
        <w:tc>
          <w:tcPr>
            <w:tcW w:w="4140" w:type="dxa"/>
          </w:tcPr>
          <w:p w14:paraId="481BA0E6" w14:textId="60980601" w:rsidR="00C31E9B" w:rsidRPr="00696A22" w:rsidRDefault="00B82549" w:rsidP="00C31E9B">
            <w:pPr>
              <w:rPr>
                <w:bCs/>
                <w:sz w:val="16"/>
                <w:szCs w:val="16"/>
              </w:rPr>
            </w:pPr>
            <w:r w:rsidRPr="00696A22">
              <w:rPr>
                <w:bCs/>
                <w:sz w:val="16"/>
                <w:szCs w:val="16"/>
                <w:lang w:eastAsia="en-US"/>
              </w:rPr>
              <w:t>Les réunions</w:t>
            </w:r>
            <w:r w:rsidR="00C31E9B" w:rsidRPr="00696A22">
              <w:rPr>
                <w:bCs/>
                <w:sz w:val="16"/>
                <w:szCs w:val="16"/>
                <w:lang w:eastAsia="en-US"/>
              </w:rPr>
              <w:t xml:space="preserve"> de coordination mensuelle se tiennent depuis janvier 2021</w:t>
            </w:r>
          </w:p>
        </w:tc>
      </w:tr>
      <w:tr w:rsidR="00C31E9B" w:rsidRPr="001D6AFD" w14:paraId="08556BB5" w14:textId="77777777" w:rsidTr="00826923">
        <w:trPr>
          <w:trHeight w:val="548"/>
        </w:trPr>
        <w:tc>
          <w:tcPr>
            <w:tcW w:w="1530" w:type="dxa"/>
            <w:vMerge/>
          </w:tcPr>
          <w:p w14:paraId="64ACFB27" w14:textId="77777777" w:rsidR="00C31E9B" w:rsidRPr="001D6AFD" w:rsidRDefault="00C31E9B" w:rsidP="00C31E9B">
            <w:pPr>
              <w:rPr>
                <w:b/>
                <w:szCs w:val="20"/>
                <w:lang w:eastAsia="en-US"/>
              </w:rPr>
            </w:pPr>
          </w:p>
        </w:tc>
        <w:tc>
          <w:tcPr>
            <w:tcW w:w="2070" w:type="dxa"/>
            <w:shd w:val="clear" w:color="auto" w:fill="EEECE1"/>
          </w:tcPr>
          <w:p w14:paraId="2BB1D075" w14:textId="21A65202" w:rsidR="00C31E9B" w:rsidRPr="001D6AFD" w:rsidRDefault="00C31E9B" w:rsidP="00C31E9B">
            <w:pPr>
              <w:jc w:val="both"/>
              <w:rPr>
                <w:lang w:eastAsia="en-US"/>
              </w:rPr>
            </w:pPr>
            <w:r w:rsidRPr="001D6AFD">
              <w:rPr>
                <w:lang w:eastAsia="en-US"/>
              </w:rPr>
              <w:t>Indicateur 1.2</w:t>
            </w:r>
          </w:p>
          <w:p w14:paraId="422C644E" w14:textId="5F96D532" w:rsidR="00C31E9B" w:rsidRPr="001D6AFD" w:rsidRDefault="00C31E9B" w:rsidP="00C31E9B">
            <w:pPr>
              <w:jc w:val="both"/>
              <w:rPr>
                <w:szCs w:val="20"/>
                <w:lang w:eastAsia="en-US"/>
              </w:rPr>
            </w:pPr>
            <w:r w:rsidRPr="001D6AFD">
              <w:rPr>
                <w:rFonts w:eastAsia="Calibri"/>
                <w:sz w:val="16"/>
                <w:szCs w:val="16"/>
                <w:lang w:eastAsia="zh-CN"/>
              </w:rPr>
              <w:t xml:space="preserve">Indicateur 1b : # de rapports semestriels du Secrétariat du PBF élaborés et approuvés par le </w:t>
            </w:r>
            <w:proofErr w:type="spellStart"/>
            <w:r w:rsidRPr="001D6AFD">
              <w:rPr>
                <w:rFonts w:eastAsia="Calibri"/>
                <w:sz w:val="16"/>
                <w:szCs w:val="16"/>
                <w:lang w:eastAsia="zh-CN"/>
              </w:rPr>
              <w:t>CoPil</w:t>
            </w:r>
            <w:proofErr w:type="spellEnd"/>
            <w:r w:rsidRPr="001D6AFD">
              <w:rPr>
                <w:rFonts w:eastAsia="Calibri"/>
                <w:sz w:val="16"/>
                <w:szCs w:val="16"/>
                <w:lang w:eastAsia="zh-CN"/>
              </w:rPr>
              <w:t>.</w:t>
            </w:r>
          </w:p>
        </w:tc>
        <w:tc>
          <w:tcPr>
            <w:tcW w:w="1530" w:type="dxa"/>
            <w:shd w:val="clear" w:color="auto" w:fill="EEECE1"/>
          </w:tcPr>
          <w:p w14:paraId="3C10E6DE" w14:textId="4AECE480" w:rsidR="00C31E9B" w:rsidRPr="001D6AFD" w:rsidRDefault="00C31E9B" w:rsidP="00C31E9B">
            <w:r w:rsidRPr="001D6AFD">
              <w:rPr>
                <w:rFonts w:eastAsia="Calibri"/>
                <w:sz w:val="16"/>
                <w:szCs w:val="16"/>
                <w:lang w:eastAsia="zh-CN"/>
              </w:rPr>
              <w:t>Niveau de référence : 0</w:t>
            </w:r>
          </w:p>
        </w:tc>
        <w:tc>
          <w:tcPr>
            <w:tcW w:w="1620" w:type="dxa"/>
            <w:shd w:val="clear" w:color="auto" w:fill="EEECE1"/>
          </w:tcPr>
          <w:p w14:paraId="6F75A704" w14:textId="011F282F" w:rsidR="00C31E9B" w:rsidRPr="001D6AFD" w:rsidRDefault="00C31E9B" w:rsidP="00C31E9B">
            <w:r w:rsidRPr="001D6AFD">
              <w:rPr>
                <w:rFonts w:eastAsia="Calibri"/>
                <w:sz w:val="16"/>
                <w:szCs w:val="16"/>
                <w:lang w:eastAsia="zh-CN"/>
              </w:rPr>
              <w:t>Cible : 4</w:t>
            </w:r>
          </w:p>
        </w:tc>
        <w:tc>
          <w:tcPr>
            <w:tcW w:w="2070" w:type="dxa"/>
          </w:tcPr>
          <w:p w14:paraId="0F953287" w14:textId="1A6376AE" w:rsidR="00C31E9B" w:rsidRPr="001D6AFD" w:rsidRDefault="00C31E9B" w:rsidP="00C31E9B">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69C01213" w14:textId="2D22BDC8" w:rsidR="00C31E9B" w:rsidRPr="00696A22" w:rsidRDefault="005648A5" w:rsidP="00C31E9B">
            <w:pPr>
              <w:rPr>
                <w:bCs/>
                <w:sz w:val="16"/>
                <w:szCs w:val="16"/>
              </w:rPr>
            </w:pPr>
            <w:r w:rsidRPr="00696A22">
              <w:rPr>
                <w:bCs/>
                <w:sz w:val="16"/>
                <w:szCs w:val="16"/>
                <w:lang w:eastAsia="en-US"/>
              </w:rPr>
              <w:t>01</w:t>
            </w:r>
            <w:r w:rsidR="00C31E9B" w:rsidRPr="00696A22">
              <w:rPr>
                <w:bCs/>
                <w:sz w:val="16"/>
                <w:szCs w:val="16"/>
                <w:lang w:eastAsia="en-US"/>
              </w:rPr>
              <w:t xml:space="preserve"> rapport semestriel </w:t>
            </w:r>
          </w:p>
        </w:tc>
        <w:tc>
          <w:tcPr>
            <w:tcW w:w="4140" w:type="dxa"/>
          </w:tcPr>
          <w:p w14:paraId="0882431D" w14:textId="24296861" w:rsidR="00C31E9B" w:rsidRPr="00696A22" w:rsidRDefault="00C31E9B" w:rsidP="00C31E9B">
            <w:pPr>
              <w:rPr>
                <w:bCs/>
                <w:sz w:val="16"/>
                <w:szCs w:val="16"/>
              </w:rPr>
            </w:pPr>
          </w:p>
        </w:tc>
      </w:tr>
      <w:tr w:rsidR="00C31E9B" w:rsidRPr="001D6AFD" w14:paraId="6A860399" w14:textId="77777777" w:rsidTr="00826923">
        <w:trPr>
          <w:trHeight w:val="548"/>
        </w:trPr>
        <w:tc>
          <w:tcPr>
            <w:tcW w:w="1530" w:type="dxa"/>
            <w:vMerge/>
          </w:tcPr>
          <w:p w14:paraId="5011ACC2" w14:textId="77777777" w:rsidR="00C31E9B" w:rsidRPr="001D6AFD" w:rsidRDefault="00C31E9B" w:rsidP="00C31E9B">
            <w:pPr>
              <w:rPr>
                <w:szCs w:val="20"/>
                <w:lang w:eastAsia="en-US"/>
              </w:rPr>
            </w:pPr>
          </w:p>
        </w:tc>
        <w:tc>
          <w:tcPr>
            <w:tcW w:w="2070" w:type="dxa"/>
            <w:shd w:val="clear" w:color="auto" w:fill="EEECE1"/>
          </w:tcPr>
          <w:p w14:paraId="0AAA4E01" w14:textId="063F8ECB" w:rsidR="00C31E9B" w:rsidRPr="001D6AFD" w:rsidRDefault="00C31E9B" w:rsidP="00C31E9B">
            <w:pPr>
              <w:jc w:val="both"/>
              <w:rPr>
                <w:lang w:eastAsia="en-US"/>
              </w:rPr>
            </w:pPr>
            <w:r w:rsidRPr="001D6AFD">
              <w:rPr>
                <w:lang w:eastAsia="en-US"/>
              </w:rPr>
              <w:t>Indicateur 1.3</w:t>
            </w:r>
          </w:p>
          <w:p w14:paraId="733FDA2D" w14:textId="427F4605" w:rsidR="00C31E9B" w:rsidRPr="001D6AFD" w:rsidRDefault="00C31E9B" w:rsidP="00C31E9B">
            <w:pPr>
              <w:jc w:val="both"/>
              <w:rPr>
                <w:szCs w:val="20"/>
                <w:lang w:eastAsia="en-US"/>
              </w:rPr>
            </w:pPr>
            <w:r w:rsidRPr="001D6AFD">
              <w:rPr>
                <w:rFonts w:eastAsia="Calibri"/>
                <w:sz w:val="16"/>
                <w:szCs w:val="16"/>
                <w:lang w:eastAsia="zh-CN"/>
              </w:rPr>
              <w:t>Indicateur 1c : # de rapports annuels d’activités du Secrétariat du PBF élaborés et approuvés par le COS</w:t>
            </w:r>
          </w:p>
        </w:tc>
        <w:tc>
          <w:tcPr>
            <w:tcW w:w="1530" w:type="dxa"/>
            <w:shd w:val="clear" w:color="auto" w:fill="EEECE1"/>
          </w:tcPr>
          <w:p w14:paraId="73A1EFF3" w14:textId="57D64751" w:rsidR="00C31E9B" w:rsidRPr="001D6AFD" w:rsidRDefault="00C31E9B" w:rsidP="00C31E9B">
            <w:r w:rsidRPr="001D6AFD">
              <w:rPr>
                <w:rFonts w:eastAsia="Calibri"/>
                <w:sz w:val="16"/>
                <w:szCs w:val="16"/>
                <w:lang w:eastAsia="zh-CN"/>
              </w:rPr>
              <w:t>Niveau de référence : 0</w:t>
            </w:r>
          </w:p>
        </w:tc>
        <w:tc>
          <w:tcPr>
            <w:tcW w:w="1620" w:type="dxa"/>
            <w:shd w:val="clear" w:color="auto" w:fill="EEECE1"/>
          </w:tcPr>
          <w:p w14:paraId="267F2402" w14:textId="3294D73B" w:rsidR="00C31E9B" w:rsidRPr="001D6AFD" w:rsidRDefault="00C31E9B" w:rsidP="00C31E9B">
            <w:r w:rsidRPr="001D6AFD">
              <w:rPr>
                <w:rFonts w:eastAsia="Calibri"/>
                <w:sz w:val="16"/>
                <w:szCs w:val="16"/>
                <w:lang w:eastAsia="zh-CN"/>
              </w:rPr>
              <w:t>Cible : 2</w:t>
            </w:r>
          </w:p>
        </w:tc>
        <w:tc>
          <w:tcPr>
            <w:tcW w:w="2070" w:type="dxa"/>
          </w:tcPr>
          <w:p w14:paraId="76951566" w14:textId="2D690482" w:rsidR="00C31E9B" w:rsidRPr="001D6AFD" w:rsidRDefault="00C31E9B" w:rsidP="00C31E9B">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5062DE7E" w14:textId="6BA14037" w:rsidR="00C31E9B" w:rsidRPr="00696A22" w:rsidRDefault="005648A5" w:rsidP="00C31E9B">
            <w:pPr>
              <w:rPr>
                <w:bCs/>
                <w:sz w:val="16"/>
                <w:szCs w:val="16"/>
              </w:rPr>
            </w:pPr>
            <w:r w:rsidRPr="00696A22">
              <w:rPr>
                <w:bCs/>
                <w:sz w:val="16"/>
                <w:szCs w:val="16"/>
                <w:lang w:val="en-US" w:eastAsia="en-US"/>
              </w:rPr>
              <w:t>1</w:t>
            </w:r>
          </w:p>
        </w:tc>
        <w:tc>
          <w:tcPr>
            <w:tcW w:w="4140" w:type="dxa"/>
          </w:tcPr>
          <w:p w14:paraId="7BFE6C19" w14:textId="63962861" w:rsidR="00C31E9B" w:rsidRPr="00696A22" w:rsidRDefault="00C31E9B" w:rsidP="00C31E9B">
            <w:pPr>
              <w:rPr>
                <w:bCs/>
                <w:sz w:val="16"/>
                <w:szCs w:val="16"/>
              </w:rPr>
            </w:pPr>
          </w:p>
        </w:tc>
      </w:tr>
      <w:tr w:rsidR="00C31E9B" w:rsidRPr="001D6AFD" w14:paraId="6329F38F" w14:textId="77777777" w:rsidTr="00826923">
        <w:trPr>
          <w:trHeight w:val="548"/>
        </w:trPr>
        <w:tc>
          <w:tcPr>
            <w:tcW w:w="1530" w:type="dxa"/>
            <w:vMerge/>
          </w:tcPr>
          <w:p w14:paraId="7ACCD4A5" w14:textId="77777777" w:rsidR="00C31E9B" w:rsidRPr="001D6AFD" w:rsidRDefault="00C31E9B" w:rsidP="00C31E9B">
            <w:pPr>
              <w:rPr>
                <w:szCs w:val="20"/>
                <w:lang w:eastAsia="en-US"/>
              </w:rPr>
            </w:pPr>
          </w:p>
        </w:tc>
        <w:tc>
          <w:tcPr>
            <w:tcW w:w="2070" w:type="dxa"/>
            <w:shd w:val="clear" w:color="auto" w:fill="EEECE1"/>
          </w:tcPr>
          <w:p w14:paraId="527ADED1" w14:textId="56539740" w:rsidR="00C31E9B" w:rsidRPr="001D6AFD" w:rsidRDefault="00C31E9B" w:rsidP="00C31E9B">
            <w:pPr>
              <w:jc w:val="both"/>
              <w:rPr>
                <w:lang w:eastAsia="en-US"/>
              </w:rPr>
            </w:pPr>
            <w:r w:rsidRPr="001D6AFD">
              <w:rPr>
                <w:lang w:eastAsia="en-US"/>
              </w:rPr>
              <w:t>Indicateur 1.4</w:t>
            </w:r>
          </w:p>
          <w:p w14:paraId="1F06C171" w14:textId="4EC2E373" w:rsidR="00C31E9B" w:rsidRPr="001D6AFD" w:rsidRDefault="00C31E9B" w:rsidP="00C31E9B">
            <w:pPr>
              <w:jc w:val="both"/>
              <w:rPr>
                <w:szCs w:val="20"/>
                <w:lang w:eastAsia="en-US"/>
              </w:rPr>
            </w:pPr>
            <w:r w:rsidRPr="001D6AFD">
              <w:rPr>
                <w:rFonts w:eastAsia="Calibri"/>
                <w:sz w:val="16"/>
                <w:szCs w:val="16"/>
                <w:lang w:eastAsia="zh-CN"/>
              </w:rPr>
              <w:t>Indicateur 1d : # de rapports annuels de suivi-évaluation du portefeuille PRF élaborés et approuvés par le COS</w:t>
            </w:r>
          </w:p>
        </w:tc>
        <w:tc>
          <w:tcPr>
            <w:tcW w:w="1530" w:type="dxa"/>
            <w:shd w:val="clear" w:color="auto" w:fill="EEECE1"/>
          </w:tcPr>
          <w:p w14:paraId="259C7F5B" w14:textId="77777777" w:rsidR="00C31E9B" w:rsidRPr="001D6AFD" w:rsidRDefault="00C31E9B" w:rsidP="00C31E9B">
            <w:pPr>
              <w:rPr>
                <w:sz w:val="16"/>
                <w:szCs w:val="16"/>
                <w:lang w:eastAsia="en-US"/>
              </w:rPr>
            </w:pPr>
            <w:r w:rsidRPr="001D6AFD">
              <w:rPr>
                <w:rFonts w:eastAsia="Calibri"/>
                <w:sz w:val="16"/>
                <w:szCs w:val="16"/>
                <w:lang w:eastAsia="zh-CN"/>
              </w:rPr>
              <w:t>Niveau de référence : 0</w:t>
            </w:r>
          </w:p>
          <w:p w14:paraId="6137DD7F" w14:textId="77777777" w:rsidR="00C31E9B" w:rsidRPr="001D6AFD" w:rsidRDefault="00C31E9B" w:rsidP="00C31E9B">
            <w:pPr>
              <w:rPr>
                <w:b/>
                <w:sz w:val="22"/>
                <w:szCs w:val="22"/>
                <w:lang w:eastAsia="en-US"/>
              </w:rPr>
            </w:pPr>
          </w:p>
        </w:tc>
        <w:tc>
          <w:tcPr>
            <w:tcW w:w="1620" w:type="dxa"/>
            <w:shd w:val="clear" w:color="auto" w:fill="EEECE1"/>
          </w:tcPr>
          <w:p w14:paraId="37393BFC" w14:textId="6A8149F4" w:rsidR="00C31E9B" w:rsidRPr="001D6AFD" w:rsidRDefault="00C31E9B" w:rsidP="00C31E9B">
            <w:pPr>
              <w:rPr>
                <w:b/>
                <w:sz w:val="22"/>
                <w:szCs w:val="22"/>
                <w:lang w:eastAsia="en-US"/>
              </w:rPr>
            </w:pPr>
            <w:r w:rsidRPr="001D6AFD">
              <w:rPr>
                <w:rFonts w:eastAsia="Calibri"/>
                <w:sz w:val="16"/>
                <w:szCs w:val="16"/>
                <w:lang w:eastAsia="zh-CN"/>
              </w:rPr>
              <w:t>Cible : 2</w:t>
            </w:r>
          </w:p>
        </w:tc>
        <w:tc>
          <w:tcPr>
            <w:tcW w:w="2070" w:type="dxa"/>
          </w:tcPr>
          <w:p w14:paraId="29BF0D23" w14:textId="77777777" w:rsidR="00C31E9B" w:rsidRPr="001D6AFD" w:rsidRDefault="00C31E9B" w:rsidP="00C31E9B">
            <w:pPr>
              <w:rPr>
                <w:b/>
                <w:sz w:val="22"/>
                <w:szCs w:val="22"/>
                <w:lang w:eastAsia="en-US"/>
              </w:rPr>
            </w:pPr>
          </w:p>
        </w:tc>
        <w:tc>
          <w:tcPr>
            <w:tcW w:w="2070" w:type="dxa"/>
          </w:tcPr>
          <w:p w14:paraId="2167C258" w14:textId="1A6AE32B" w:rsidR="00C31E9B" w:rsidRPr="00696A22" w:rsidRDefault="00C31E9B" w:rsidP="00C31E9B">
            <w:pPr>
              <w:rPr>
                <w:bCs/>
                <w:sz w:val="16"/>
                <w:szCs w:val="16"/>
                <w:lang w:eastAsia="en-US"/>
              </w:rPr>
            </w:pPr>
            <w:r w:rsidRPr="00696A22">
              <w:rPr>
                <w:bCs/>
                <w:sz w:val="16"/>
                <w:szCs w:val="16"/>
                <w:lang w:val="en-US" w:eastAsia="en-US"/>
              </w:rPr>
              <w:t>0</w:t>
            </w:r>
          </w:p>
        </w:tc>
        <w:tc>
          <w:tcPr>
            <w:tcW w:w="4140" w:type="dxa"/>
          </w:tcPr>
          <w:p w14:paraId="24978083" w14:textId="1297F499" w:rsidR="00C31E9B" w:rsidRPr="00696A22" w:rsidRDefault="00C31E9B" w:rsidP="00C31E9B">
            <w:pPr>
              <w:rPr>
                <w:bCs/>
                <w:sz w:val="16"/>
                <w:szCs w:val="16"/>
                <w:lang w:eastAsia="en-US"/>
              </w:rPr>
            </w:pPr>
          </w:p>
        </w:tc>
      </w:tr>
      <w:tr w:rsidR="00C31E9B" w:rsidRPr="001D6AFD" w14:paraId="5804B447" w14:textId="77777777" w:rsidTr="00826923">
        <w:trPr>
          <w:trHeight w:val="548"/>
        </w:trPr>
        <w:tc>
          <w:tcPr>
            <w:tcW w:w="1530" w:type="dxa"/>
            <w:vMerge w:val="restart"/>
          </w:tcPr>
          <w:p w14:paraId="324502FD" w14:textId="77777777" w:rsidR="00C31E9B" w:rsidRPr="001D6AFD" w:rsidRDefault="00C31E9B" w:rsidP="00C31E9B">
            <w:pPr>
              <w:rPr>
                <w:szCs w:val="20"/>
                <w:lang w:eastAsia="en-US"/>
              </w:rPr>
            </w:pPr>
            <w:r w:rsidRPr="001D6AFD">
              <w:rPr>
                <w:szCs w:val="20"/>
                <w:lang w:eastAsia="en-US"/>
              </w:rPr>
              <w:t>Produit 1.1</w:t>
            </w:r>
          </w:p>
          <w:p w14:paraId="1C9067CC" w14:textId="0CF992F1" w:rsidR="00C31E9B" w:rsidRPr="001D6AFD" w:rsidRDefault="00C31E9B" w:rsidP="00C31E9B">
            <w:pPr>
              <w:rPr>
                <w:szCs w:val="20"/>
                <w:lang w:eastAsia="en-US"/>
              </w:rPr>
            </w:pPr>
            <w:r w:rsidRPr="001D6AFD">
              <w:rPr>
                <w:rFonts w:eastAsia="Calibri"/>
                <w:sz w:val="16"/>
                <w:szCs w:val="16"/>
                <w:lang w:eastAsia="zh-CN"/>
              </w:rPr>
              <w:t xml:space="preserve">Le Secrétariat du PBF est mis en </w:t>
            </w:r>
            <w:r w:rsidRPr="001D6AFD">
              <w:rPr>
                <w:rFonts w:eastAsia="Calibri"/>
                <w:sz w:val="16"/>
                <w:szCs w:val="16"/>
                <w:lang w:eastAsia="zh-CN"/>
              </w:rPr>
              <w:lastRenderedPageBreak/>
              <w:t>place au sein du BCR</w:t>
            </w:r>
          </w:p>
          <w:p w14:paraId="6AEAC650" w14:textId="77777777" w:rsidR="00C31E9B" w:rsidRPr="001D6AFD" w:rsidRDefault="00C31E9B" w:rsidP="00C31E9B">
            <w:pPr>
              <w:rPr>
                <w:b/>
                <w:szCs w:val="20"/>
                <w:lang w:eastAsia="en-US"/>
              </w:rPr>
            </w:pPr>
          </w:p>
        </w:tc>
        <w:tc>
          <w:tcPr>
            <w:tcW w:w="2070" w:type="dxa"/>
            <w:shd w:val="clear" w:color="auto" w:fill="EEECE1"/>
          </w:tcPr>
          <w:p w14:paraId="32C26448" w14:textId="2204AC28" w:rsidR="00C31E9B" w:rsidRPr="001D6AFD" w:rsidRDefault="00C31E9B" w:rsidP="00C31E9B">
            <w:pPr>
              <w:jc w:val="both"/>
              <w:rPr>
                <w:lang w:eastAsia="en-US"/>
              </w:rPr>
            </w:pPr>
            <w:r w:rsidRPr="001D6AFD">
              <w:rPr>
                <w:lang w:eastAsia="en-US"/>
              </w:rPr>
              <w:lastRenderedPageBreak/>
              <w:t>Indicateur 1.1.1</w:t>
            </w:r>
          </w:p>
          <w:p w14:paraId="2625E4F1" w14:textId="668DF6CB" w:rsidR="00C31E9B" w:rsidRPr="001D6AFD" w:rsidRDefault="00C31E9B" w:rsidP="00C31E9B">
            <w:pPr>
              <w:jc w:val="both"/>
              <w:rPr>
                <w:szCs w:val="20"/>
                <w:lang w:eastAsia="en-US"/>
              </w:rPr>
            </w:pPr>
            <w:r w:rsidRPr="001D6AFD">
              <w:rPr>
                <w:rFonts w:eastAsia="Calibri"/>
                <w:sz w:val="18"/>
                <w:szCs w:val="18"/>
                <w:lang w:eastAsia="zh-CN"/>
              </w:rPr>
              <w:t># de personnel identifié et recruté</w:t>
            </w:r>
          </w:p>
        </w:tc>
        <w:tc>
          <w:tcPr>
            <w:tcW w:w="1530" w:type="dxa"/>
            <w:shd w:val="clear" w:color="auto" w:fill="EEECE1"/>
          </w:tcPr>
          <w:p w14:paraId="16CCB956" w14:textId="493DE8D6" w:rsidR="00C31E9B" w:rsidRPr="001D6AFD" w:rsidRDefault="00C31E9B" w:rsidP="00C31E9B">
            <w:r w:rsidRPr="001D6AFD">
              <w:rPr>
                <w:rFonts w:eastAsia="Calibri"/>
                <w:sz w:val="16"/>
                <w:szCs w:val="16"/>
                <w:lang w:eastAsia="zh-CN"/>
              </w:rPr>
              <w:t>Niveau de référence : 0</w:t>
            </w:r>
          </w:p>
        </w:tc>
        <w:tc>
          <w:tcPr>
            <w:tcW w:w="1620" w:type="dxa"/>
            <w:shd w:val="clear" w:color="auto" w:fill="EEECE1"/>
          </w:tcPr>
          <w:p w14:paraId="46EECC2B" w14:textId="665E4202" w:rsidR="00C31E9B" w:rsidRPr="001D6AFD" w:rsidRDefault="00C31E9B" w:rsidP="00C31E9B">
            <w:r w:rsidRPr="001D6AFD">
              <w:rPr>
                <w:rFonts w:eastAsia="Calibri"/>
                <w:sz w:val="16"/>
                <w:szCs w:val="16"/>
                <w:lang w:eastAsia="zh-CN"/>
              </w:rPr>
              <w:t>Niveau de référence : 0</w:t>
            </w:r>
          </w:p>
        </w:tc>
        <w:tc>
          <w:tcPr>
            <w:tcW w:w="2070" w:type="dxa"/>
          </w:tcPr>
          <w:p w14:paraId="521B62BD" w14:textId="44E891D2" w:rsidR="00C31E9B" w:rsidRPr="001D6AFD" w:rsidRDefault="00C31E9B" w:rsidP="00C31E9B">
            <w:r w:rsidRPr="001D6AFD">
              <w:rPr>
                <w:bCs/>
                <w:sz w:val="16"/>
                <w:szCs w:val="16"/>
                <w:lang w:eastAsia="en-US"/>
              </w:rPr>
              <w:t>Cible : 3</w:t>
            </w:r>
          </w:p>
        </w:tc>
        <w:tc>
          <w:tcPr>
            <w:tcW w:w="2070" w:type="dxa"/>
          </w:tcPr>
          <w:p w14:paraId="7FA7D3AF" w14:textId="09F87C55" w:rsidR="00C31E9B" w:rsidRPr="00696A22" w:rsidRDefault="005648A5" w:rsidP="00C31E9B">
            <w:pPr>
              <w:rPr>
                <w:bCs/>
                <w:sz w:val="16"/>
                <w:szCs w:val="16"/>
              </w:rPr>
            </w:pPr>
            <w:r w:rsidRPr="00696A22">
              <w:rPr>
                <w:bCs/>
                <w:sz w:val="16"/>
                <w:szCs w:val="16"/>
                <w:lang w:val="en-US" w:eastAsia="en-US"/>
              </w:rPr>
              <w:fldChar w:fldCharType="begin">
                <w:ffData>
                  <w:name w:val=""/>
                  <w:enabled/>
                  <w:calcOnExit w:val="0"/>
                  <w:textInput>
                    <w:default w:val="3"/>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3</w:t>
            </w:r>
            <w:r w:rsidRPr="00696A22">
              <w:rPr>
                <w:bCs/>
                <w:sz w:val="16"/>
                <w:szCs w:val="16"/>
                <w:lang w:val="en-US" w:eastAsia="en-US"/>
              </w:rPr>
              <w:fldChar w:fldCharType="end"/>
            </w:r>
          </w:p>
        </w:tc>
        <w:tc>
          <w:tcPr>
            <w:tcW w:w="4140" w:type="dxa"/>
          </w:tcPr>
          <w:p w14:paraId="6470D769" w14:textId="1CC66DD2" w:rsidR="00C31E9B" w:rsidRPr="00696A22" w:rsidRDefault="00C31E9B" w:rsidP="00C31E9B">
            <w:pPr>
              <w:rPr>
                <w:bCs/>
                <w:sz w:val="16"/>
                <w:szCs w:val="16"/>
              </w:rPr>
            </w:pPr>
          </w:p>
        </w:tc>
      </w:tr>
      <w:tr w:rsidR="00C31E9B" w:rsidRPr="001D6AFD" w14:paraId="15BD3BE2" w14:textId="77777777" w:rsidTr="00826923">
        <w:trPr>
          <w:trHeight w:val="512"/>
        </w:trPr>
        <w:tc>
          <w:tcPr>
            <w:tcW w:w="1530" w:type="dxa"/>
            <w:vMerge/>
          </w:tcPr>
          <w:p w14:paraId="4784FF87" w14:textId="77777777" w:rsidR="00C31E9B" w:rsidRPr="001D6AFD" w:rsidRDefault="00C31E9B" w:rsidP="00C31E9B">
            <w:pPr>
              <w:rPr>
                <w:b/>
                <w:szCs w:val="20"/>
                <w:lang w:eastAsia="en-US"/>
              </w:rPr>
            </w:pPr>
          </w:p>
        </w:tc>
        <w:tc>
          <w:tcPr>
            <w:tcW w:w="2070" w:type="dxa"/>
            <w:shd w:val="clear" w:color="auto" w:fill="EEECE1"/>
          </w:tcPr>
          <w:p w14:paraId="7658C8D8" w14:textId="47E88DCB" w:rsidR="00C31E9B" w:rsidRPr="001D6AFD" w:rsidRDefault="00C31E9B" w:rsidP="00C31E9B">
            <w:pPr>
              <w:jc w:val="both"/>
              <w:rPr>
                <w:lang w:eastAsia="en-US"/>
              </w:rPr>
            </w:pPr>
            <w:r w:rsidRPr="001D6AFD">
              <w:rPr>
                <w:lang w:eastAsia="en-US"/>
              </w:rPr>
              <w:t>Indicateur 1.1.2</w:t>
            </w:r>
          </w:p>
          <w:p w14:paraId="471E0B77"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 d’équipements informatiques ct bureautiques fournis au</w:t>
            </w:r>
          </w:p>
          <w:p w14:paraId="795B5971" w14:textId="66AABDF4" w:rsidR="00C31E9B" w:rsidRPr="001D6AFD" w:rsidRDefault="00C31E9B" w:rsidP="00C31E9B">
            <w:pPr>
              <w:jc w:val="both"/>
              <w:rPr>
                <w:szCs w:val="20"/>
                <w:lang w:eastAsia="en-US"/>
              </w:rPr>
            </w:pPr>
            <w:r w:rsidRPr="001D6AFD">
              <w:rPr>
                <w:rFonts w:eastAsia="Calibri"/>
                <w:sz w:val="16"/>
                <w:szCs w:val="16"/>
                <w:lang w:eastAsia="zh-CN"/>
              </w:rPr>
              <w:t>Secrétariat du PBF</w:t>
            </w:r>
          </w:p>
        </w:tc>
        <w:tc>
          <w:tcPr>
            <w:tcW w:w="1530" w:type="dxa"/>
            <w:shd w:val="clear" w:color="auto" w:fill="EEECE1"/>
          </w:tcPr>
          <w:p w14:paraId="408334AB" w14:textId="001833D5" w:rsidR="00C31E9B" w:rsidRPr="001D6AFD" w:rsidRDefault="00C31E9B" w:rsidP="00C31E9B">
            <w:r w:rsidRPr="001D6AFD">
              <w:rPr>
                <w:rFonts w:eastAsia="Calibri"/>
                <w:sz w:val="16"/>
                <w:szCs w:val="16"/>
                <w:lang w:eastAsia="zh-CN"/>
              </w:rPr>
              <w:t>Niveau de référence : 0</w:t>
            </w:r>
          </w:p>
        </w:tc>
        <w:tc>
          <w:tcPr>
            <w:tcW w:w="1620" w:type="dxa"/>
            <w:shd w:val="clear" w:color="auto" w:fill="EEECE1"/>
          </w:tcPr>
          <w:p w14:paraId="04885E44" w14:textId="5C30CAF4" w:rsidR="00C31E9B" w:rsidRPr="001D6AFD" w:rsidRDefault="00C31E9B" w:rsidP="00C31E9B">
            <w:r w:rsidRPr="001D6AFD">
              <w:rPr>
                <w:rFonts w:eastAsia="Calibri"/>
                <w:sz w:val="16"/>
                <w:szCs w:val="16"/>
                <w:lang w:eastAsia="zh-CN"/>
              </w:rPr>
              <w:t>Niveau de référence : 0</w:t>
            </w:r>
          </w:p>
        </w:tc>
        <w:tc>
          <w:tcPr>
            <w:tcW w:w="2070" w:type="dxa"/>
          </w:tcPr>
          <w:p w14:paraId="7E94F785" w14:textId="70A3CC51" w:rsidR="00C31E9B" w:rsidRPr="001D6AFD" w:rsidRDefault="00C31E9B" w:rsidP="00C31E9B">
            <w:r w:rsidRPr="001D6AFD">
              <w:rPr>
                <w:bCs/>
                <w:sz w:val="16"/>
                <w:szCs w:val="16"/>
                <w:lang w:eastAsia="en-US"/>
              </w:rPr>
              <w:t>Cible : 1</w:t>
            </w:r>
          </w:p>
        </w:tc>
        <w:tc>
          <w:tcPr>
            <w:tcW w:w="2070" w:type="dxa"/>
          </w:tcPr>
          <w:p w14:paraId="33E89896" w14:textId="574A4B9D" w:rsidR="00C31E9B" w:rsidRPr="00696A22" w:rsidRDefault="005648A5" w:rsidP="00C31E9B">
            <w:pPr>
              <w:rPr>
                <w:bCs/>
                <w:sz w:val="16"/>
                <w:szCs w:val="16"/>
              </w:rPr>
            </w:pPr>
            <w:r w:rsidRPr="00696A22">
              <w:rPr>
                <w:bCs/>
                <w:sz w:val="16"/>
                <w:szCs w:val="16"/>
                <w:lang w:val="en-US" w:eastAsia="en-US"/>
              </w:rPr>
              <w:fldChar w:fldCharType="begin">
                <w:ffData>
                  <w:name w:val=""/>
                  <w:enabled/>
                  <w:calcOnExit w:val="0"/>
                  <w:textInput>
                    <w:default w:val="1"/>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1</w:t>
            </w:r>
            <w:r w:rsidRPr="00696A22">
              <w:rPr>
                <w:bCs/>
                <w:sz w:val="16"/>
                <w:szCs w:val="16"/>
                <w:lang w:val="en-US" w:eastAsia="en-US"/>
              </w:rPr>
              <w:fldChar w:fldCharType="end"/>
            </w:r>
          </w:p>
        </w:tc>
        <w:tc>
          <w:tcPr>
            <w:tcW w:w="4140" w:type="dxa"/>
          </w:tcPr>
          <w:p w14:paraId="7D32824A" w14:textId="5843A6B1" w:rsidR="00C31E9B" w:rsidRPr="00696A22" w:rsidRDefault="00C31E9B" w:rsidP="00C31E9B">
            <w:pPr>
              <w:rPr>
                <w:bCs/>
                <w:sz w:val="16"/>
                <w:szCs w:val="16"/>
              </w:rPr>
            </w:pPr>
          </w:p>
        </w:tc>
      </w:tr>
      <w:tr w:rsidR="00C31E9B" w:rsidRPr="001D6AFD" w14:paraId="0B2EE17F" w14:textId="77777777" w:rsidTr="00826923">
        <w:trPr>
          <w:trHeight w:val="440"/>
        </w:trPr>
        <w:tc>
          <w:tcPr>
            <w:tcW w:w="1530" w:type="dxa"/>
            <w:vMerge w:val="restart"/>
          </w:tcPr>
          <w:p w14:paraId="17AF0F44" w14:textId="77777777" w:rsidR="00C31E9B" w:rsidRPr="001D6AFD" w:rsidRDefault="00C31E9B" w:rsidP="00C31E9B">
            <w:pPr>
              <w:rPr>
                <w:szCs w:val="20"/>
                <w:lang w:eastAsia="en-US"/>
              </w:rPr>
            </w:pPr>
            <w:r w:rsidRPr="001D6AFD">
              <w:rPr>
                <w:szCs w:val="20"/>
                <w:lang w:eastAsia="en-US"/>
              </w:rPr>
              <w:t>Produit 1.2</w:t>
            </w:r>
          </w:p>
          <w:p w14:paraId="1EDB8B1F"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Le cadre stratégique et technique pour l’identification de projets de consolidation de la paix ayant un effet catalytique est mis en place,</w:t>
            </w:r>
          </w:p>
          <w:p w14:paraId="6774DC88"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 complémentarité avec d'autres plans stratégiques (UNDAF, PSDH, mandat et documents de planification stratégique du</w:t>
            </w:r>
          </w:p>
          <w:p w14:paraId="31E96617" w14:textId="093D370F" w:rsidR="00C31E9B" w:rsidRPr="001D6AFD" w:rsidRDefault="00C31E9B" w:rsidP="00C31E9B">
            <w:pPr>
              <w:rPr>
                <w:szCs w:val="20"/>
                <w:lang w:eastAsia="en-US"/>
              </w:rPr>
            </w:pPr>
            <w:r w:rsidRPr="001D6AFD">
              <w:rPr>
                <w:rFonts w:eastAsia="Calibri"/>
                <w:sz w:val="16"/>
                <w:szCs w:val="16"/>
                <w:lang w:eastAsia="zh-CN"/>
              </w:rPr>
              <w:t xml:space="preserve">BINUH </w:t>
            </w:r>
            <w:proofErr w:type="spellStart"/>
            <w:r w:rsidRPr="001D6AFD">
              <w:rPr>
                <w:rFonts w:eastAsia="Calibri"/>
                <w:sz w:val="16"/>
                <w:szCs w:val="16"/>
                <w:lang w:eastAsia="zh-CN"/>
              </w:rPr>
              <w:t>etc</w:t>
            </w:r>
            <w:proofErr w:type="spellEnd"/>
            <w:r w:rsidRPr="001D6AFD">
              <w:rPr>
                <w:rFonts w:eastAsia="Calibri"/>
                <w:sz w:val="16"/>
                <w:szCs w:val="16"/>
                <w:lang w:eastAsia="zh-CN"/>
              </w:rPr>
              <w:t>).</w:t>
            </w:r>
          </w:p>
        </w:tc>
        <w:tc>
          <w:tcPr>
            <w:tcW w:w="2070" w:type="dxa"/>
            <w:shd w:val="clear" w:color="auto" w:fill="EEECE1"/>
          </w:tcPr>
          <w:p w14:paraId="162803A0" w14:textId="456245CA" w:rsidR="00C31E9B" w:rsidRPr="001D6AFD" w:rsidRDefault="00C31E9B" w:rsidP="00C31E9B">
            <w:pPr>
              <w:jc w:val="both"/>
              <w:rPr>
                <w:lang w:eastAsia="en-US"/>
              </w:rPr>
            </w:pPr>
            <w:r w:rsidRPr="001D6AFD">
              <w:rPr>
                <w:lang w:eastAsia="en-US"/>
              </w:rPr>
              <w:t>Indicateur 1.2.1</w:t>
            </w:r>
          </w:p>
          <w:p w14:paraId="7575463B" w14:textId="181FC979" w:rsidR="00C31E9B" w:rsidRPr="001D6AFD" w:rsidRDefault="00C31E9B" w:rsidP="00C31E9B">
            <w:pPr>
              <w:jc w:val="both"/>
              <w:rPr>
                <w:szCs w:val="20"/>
                <w:lang w:eastAsia="en-US"/>
              </w:rPr>
            </w:pPr>
            <w:r w:rsidRPr="001D6AFD">
              <w:rPr>
                <w:rFonts w:eastAsia="Calibri"/>
                <w:sz w:val="16"/>
                <w:szCs w:val="16"/>
                <w:lang w:eastAsia="zh-CN"/>
              </w:rPr>
              <w:t># de cartographies des acteurs intervenant dans la consolidation de la paix élaborées et actualisées régulièrement (au moins deux fois par an)</w:t>
            </w:r>
          </w:p>
        </w:tc>
        <w:tc>
          <w:tcPr>
            <w:tcW w:w="1530" w:type="dxa"/>
            <w:shd w:val="clear" w:color="auto" w:fill="EEECE1"/>
          </w:tcPr>
          <w:p w14:paraId="2F1437DA" w14:textId="6BB27EAE" w:rsidR="00C31E9B" w:rsidRPr="001D6AFD" w:rsidRDefault="00C31E9B" w:rsidP="00C31E9B">
            <w:r w:rsidRPr="001D6AFD">
              <w:rPr>
                <w:rFonts w:eastAsia="Calibri"/>
                <w:sz w:val="16"/>
                <w:szCs w:val="16"/>
                <w:lang w:eastAsia="zh-CN"/>
              </w:rPr>
              <w:t>Niveau de référence : 0</w:t>
            </w:r>
          </w:p>
        </w:tc>
        <w:tc>
          <w:tcPr>
            <w:tcW w:w="1620" w:type="dxa"/>
            <w:shd w:val="clear" w:color="auto" w:fill="EEECE1"/>
          </w:tcPr>
          <w:p w14:paraId="35AF67C2" w14:textId="06B46234" w:rsidR="00C31E9B" w:rsidRPr="001D6AFD" w:rsidRDefault="00C31E9B" w:rsidP="00C31E9B">
            <w:r w:rsidRPr="001D6AFD">
              <w:rPr>
                <w:rFonts w:eastAsia="Calibri"/>
                <w:sz w:val="16"/>
                <w:szCs w:val="16"/>
                <w:lang w:eastAsia="zh-CN"/>
              </w:rPr>
              <w:t>Niveau de référence : 0</w:t>
            </w:r>
          </w:p>
        </w:tc>
        <w:tc>
          <w:tcPr>
            <w:tcW w:w="2070" w:type="dxa"/>
          </w:tcPr>
          <w:p w14:paraId="252C54D8" w14:textId="0B9A500C" w:rsidR="00C31E9B" w:rsidRPr="001D6AFD" w:rsidRDefault="00C31E9B" w:rsidP="00C31E9B">
            <w:r w:rsidRPr="001D6AFD">
              <w:rPr>
                <w:bCs/>
                <w:sz w:val="16"/>
                <w:szCs w:val="16"/>
                <w:lang w:eastAsia="en-US"/>
              </w:rPr>
              <w:t>Cible : 1</w:t>
            </w:r>
          </w:p>
        </w:tc>
        <w:tc>
          <w:tcPr>
            <w:tcW w:w="2070" w:type="dxa"/>
          </w:tcPr>
          <w:p w14:paraId="30BFB45E" w14:textId="4ED75E2C" w:rsidR="00C31E9B" w:rsidRPr="00696A22" w:rsidRDefault="00C31E9B" w:rsidP="00C31E9B">
            <w:pPr>
              <w:rPr>
                <w:bCs/>
                <w:sz w:val="16"/>
                <w:szCs w:val="16"/>
              </w:rPr>
            </w:pPr>
            <w:r w:rsidRPr="00696A22">
              <w:rPr>
                <w:bCs/>
                <w:sz w:val="16"/>
                <w:szCs w:val="16"/>
                <w:lang w:val="en-US" w:eastAsia="en-US"/>
              </w:rPr>
              <w:fldChar w:fldCharType="begin">
                <w:ffData>
                  <w:name w:val=""/>
                  <w:enabled/>
                  <w:calcOnExit w:val="0"/>
                  <w:textInput>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sz w:val="16"/>
                <w:szCs w:val="16"/>
                <w:lang w:val="en-US" w:eastAsia="en-US"/>
              </w:rPr>
              <w:fldChar w:fldCharType="end"/>
            </w:r>
          </w:p>
        </w:tc>
        <w:tc>
          <w:tcPr>
            <w:tcW w:w="4140" w:type="dxa"/>
          </w:tcPr>
          <w:p w14:paraId="45774214" w14:textId="5FFF6E9D" w:rsidR="00C31E9B" w:rsidRPr="00696A22" w:rsidRDefault="00C31E9B" w:rsidP="00C31E9B">
            <w:pPr>
              <w:rPr>
                <w:bCs/>
                <w:sz w:val="16"/>
                <w:szCs w:val="16"/>
              </w:rPr>
            </w:pPr>
            <w:r w:rsidRPr="00696A22">
              <w:rPr>
                <w:bCs/>
                <w:sz w:val="16"/>
                <w:szCs w:val="16"/>
                <w:lang w:val="en-US" w:eastAsia="en-US"/>
              </w:rPr>
              <w:t>0</w:t>
            </w:r>
          </w:p>
        </w:tc>
      </w:tr>
      <w:tr w:rsidR="00C31E9B" w:rsidRPr="001D6AFD" w14:paraId="3F95CC23" w14:textId="77777777" w:rsidTr="00826923">
        <w:trPr>
          <w:trHeight w:val="467"/>
        </w:trPr>
        <w:tc>
          <w:tcPr>
            <w:tcW w:w="1530" w:type="dxa"/>
            <w:vMerge/>
          </w:tcPr>
          <w:p w14:paraId="208D6BA7" w14:textId="77777777" w:rsidR="00C31E9B" w:rsidRPr="001D6AFD" w:rsidRDefault="00C31E9B" w:rsidP="00C31E9B">
            <w:pPr>
              <w:rPr>
                <w:b/>
                <w:szCs w:val="20"/>
                <w:lang w:eastAsia="en-US"/>
              </w:rPr>
            </w:pPr>
          </w:p>
        </w:tc>
        <w:tc>
          <w:tcPr>
            <w:tcW w:w="2070" w:type="dxa"/>
            <w:shd w:val="clear" w:color="auto" w:fill="EEECE1"/>
          </w:tcPr>
          <w:p w14:paraId="1974757D" w14:textId="3F4BE3DA" w:rsidR="00C31E9B" w:rsidRPr="001D6AFD" w:rsidRDefault="00C31E9B" w:rsidP="00C31E9B">
            <w:pPr>
              <w:jc w:val="both"/>
              <w:rPr>
                <w:lang w:eastAsia="en-US"/>
              </w:rPr>
            </w:pPr>
            <w:r w:rsidRPr="001D6AFD">
              <w:rPr>
                <w:lang w:eastAsia="en-US"/>
              </w:rPr>
              <w:t>Indicateur 1.2.2</w:t>
            </w:r>
          </w:p>
          <w:p w14:paraId="5F819A0F" w14:textId="23CBEC5E" w:rsidR="00C31E9B" w:rsidRPr="001D6AFD" w:rsidRDefault="00C31E9B" w:rsidP="00C31E9B">
            <w:pPr>
              <w:jc w:val="both"/>
              <w:rPr>
                <w:szCs w:val="20"/>
                <w:lang w:eastAsia="en-US"/>
              </w:rPr>
            </w:pPr>
            <w:r w:rsidRPr="001D6AFD">
              <w:rPr>
                <w:bCs/>
                <w:sz w:val="16"/>
                <w:szCs w:val="16"/>
                <w:lang w:eastAsia="en-US"/>
              </w:rPr>
              <w:t>#  de mises à jour de l’analyse de conflits</w:t>
            </w:r>
          </w:p>
        </w:tc>
        <w:tc>
          <w:tcPr>
            <w:tcW w:w="1530" w:type="dxa"/>
            <w:shd w:val="clear" w:color="auto" w:fill="EEECE1"/>
          </w:tcPr>
          <w:p w14:paraId="0A000B97" w14:textId="2B7E0C3F" w:rsidR="00C31E9B" w:rsidRPr="001D6AFD" w:rsidRDefault="00C31E9B" w:rsidP="00C31E9B">
            <w:r w:rsidRPr="001D6AFD">
              <w:rPr>
                <w:rFonts w:eastAsia="Calibri"/>
                <w:sz w:val="16"/>
                <w:szCs w:val="16"/>
                <w:lang w:eastAsia="zh-CN"/>
              </w:rPr>
              <w:t>Niveau de référence : 0</w:t>
            </w:r>
          </w:p>
        </w:tc>
        <w:tc>
          <w:tcPr>
            <w:tcW w:w="1620" w:type="dxa"/>
            <w:shd w:val="clear" w:color="auto" w:fill="EEECE1"/>
          </w:tcPr>
          <w:p w14:paraId="3EC9670A" w14:textId="643797BC" w:rsidR="00C31E9B" w:rsidRPr="001D6AFD" w:rsidRDefault="00C31E9B" w:rsidP="00C31E9B">
            <w:r w:rsidRPr="001D6AFD">
              <w:rPr>
                <w:rFonts w:eastAsia="Calibri"/>
                <w:sz w:val="16"/>
                <w:szCs w:val="16"/>
                <w:lang w:eastAsia="zh-CN"/>
              </w:rPr>
              <w:t>Niveau de référence : 0</w:t>
            </w:r>
          </w:p>
        </w:tc>
        <w:tc>
          <w:tcPr>
            <w:tcW w:w="2070" w:type="dxa"/>
          </w:tcPr>
          <w:p w14:paraId="4F82B38A" w14:textId="74737C92" w:rsidR="00C31E9B" w:rsidRPr="001D6AFD" w:rsidRDefault="00C31E9B" w:rsidP="00C31E9B">
            <w:r w:rsidRPr="001D6AFD">
              <w:rPr>
                <w:bCs/>
                <w:sz w:val="16"/>
                <w:szCs w:val="16"/>
                <w:lang w:eastAsia="en-US"/>
              </w:rPr>
              <w:t>Cible : 2</w:t>
            </w:r>
          </w:p>
        </w:tc>
        <w:tc>
          <w:tcPr>
            <w:tcW w:w="2070" w:type="dxa"/>
          </w:tcPr>
          <w:p w14:paraId="642E84DB" w14:textId="5982B3B8" w:rsidR="00C31E9B" w:rsidRPr="00696A22" w:rsidRDefault="00C31E9B" w:rsidP="00C31E9B">
            <w:pPr>
              <w:rPr>
                <w:bCs/>
                <w:sz w:val="16"/>
                <w:szCs w:val="16"/>
              </w:rPr>
            </w:pPr>
            <w:r w:rsidRPr="00696A22">
              <w:rPr>
                <w:bCs/>
                <w:sz w:val="16"/>
                <w:szCs w:val="16"/>
                <w:lang w:val="en-US" w:eastAsia="en-US"/>
              </w:rPr>
              <w:fldChar w:fldCharType="begin">
                <w:ffData>
                  <w:name w:val=""/>
                  <w:enabled/>
                  <w:calcOnExit w:val="0"/>
                  <w:textInput>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noProof/>
                <w:sz w:val="16"/>
                <w:szCs w:val="16"/>
                <w:lang w:val="en-US" w:eastAsia="en-US"/>
              </w:rPr>
              <w:t> </w:t>
            </w:r>
            <w:r w:rsidRPr="00696A22">
              <w:rPr>
                <w:bCs/>
                <w:sz w:val="16"/>
                <w:szCs w:val="16"/>
                <w:lang w:val="en-US" w:eastAsia="en-US"/>
              </w:rPr>
              <w:fldChar w:fldCharType="end"/>
            </w:r>
          </w:p>
        </w:tc>
        <w:tc>
          <w:tcPr>
            <w:tcW w:w="4140" w:type="dxa"/>
          </w:tcPr>
          <w:p w14:paraId="67ABA996" w14:textId="4AF47A22" w:rsidR="00C31E9B" w:rsidRPr="00696A22" w:rsidRDefault="00C31E9B" w:rsidP="00C31E9B">
            <w:pPr>
              <w:rPr>
                <w:bCs/>
                <w:sz w:val="16"/>
                <w:szCs w:val="16"/>
              </w:rPr>
            </w:pPr>
            <w:r w:rsidRPr="00696A22">
              <w:rPr>
                <w:bCs/>
                <w:sz w:val="16"/>
                <w:szCs w:val="16"/>
                <w:lang w:val="en-US" w:eastAsia="en-US"/>
              </w:rPr>
              <w:t>0</w:t>
            </w:r>
          </w:p>
        </w:tc>
      </w:tr>
      <w:tr w:rsidR="00C31E9B" w:rsidRPr="001D6AFD" w14:paraId="56107B62" w14:textId="77777777" w:rsidTr="00826923">
        <w:trPr>
          <w:trHeight w:val="467"/>
        </w:trPr>
        <w:tc>
          <w:tcPr>
            <w:tcW w:w="1530" w:type="dxa"/>
            <w:vMerge/>
          </w:tcPr>
          <w:p w14:paraId="74BA73D4" w14:textId="77777777" w:rsidR="00C31E9B" w:rsidRPr="001D6AFD" w:rsidRDefault="00C31E9B" w:rsidP="00C31E9B">
            <w:pPr>
              <w:rPr>
                <w:b/>
                <w:szCs w:val="20"/>
                <w:lang w:eastAsia="en-US"/>
              </w:rPr>
            </w:pPr>
          </w:p>
        </w:tc>
        <w:tc>
          <w:tcPr>
            <w:tcW w:w="2070" w:type="dxa"/>
            <w:shd w:val="clear" w:color="auto" w:fill="EEECE1"/>
          </w:tcPr>
          <w:p w14:paraId="1DA88982" w14:textId="065EFBB9" w:rsidR="00C31E9B" w:rsidRPr="001D6AFD" w:rsidRDefault="00C31E9B" w:rsidP="00C31E9B">
            <w:pPr>
              <w:jc w:val="both"/>
              <w:rPr>
                <w:lang w:eastAsia="en-US"/>
              </w:rPr>
            </w:pPr>
            <w:r w:rsidRPr="001D6AFD">
              <w:rPr>
                <w:lang w:eastAsia="en-US"/>
              </w:rPr>
              <w:t>Indicateur 1.2.3</w:t>
            </w:r>
          </w:p>
          <w:p w14:paraId="65AFF1AD"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 de requêtes facilitées</w:t>
            </w:r>
          </w:p>
          <w:p w14:paraId="2FFA8B9F" w14:textId="77777777" w:rsidR="00C31E9B" w:rsidRPr="001D6AFD" w:rsidRDefault="00C31E9B" w:rsidP="00C31E9B">
            <w:pPr>
              <w:jc w:val="both"/>
              <w:rPr>
                <w:szCs w:val="20"/>
                <w:lang w:eastAsia="en-US"/>
              </w:rPr>
            </w:pPr>
          </w:p>
        </w:tc>
        <w:tc>
          <w:tcPr>
            <w:tcW w:w="1530" w:type="dxa"/>
            <w:shd w:val="clear" w:color="auto" w:fill="EEECE1"/>
          </w:tcPr>
          <w:p w14:paraId="29D7758E"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39CB1320" w14:textId="77777777" w:rsidR="00C31E9B" w:rsidRPr="001D6AFD" w:rsidRDefault="00C31E9B" w:rsidP="00C31E9B">
            <w:pPr>
              <w:rPr>
                <w:b/>
                <w:sz w:val="22"/>
                <w:szCs w:val="22"/>
                <w:lang w:eastAsia="en-US"/>
              </w:rPr>
            </w:pPr>
          </w:p>
        </w:tc>
        <w:tc>
          <w:tcPr>
            <w:tcW w:w="1620" w:type="dxa"/>
            <w:shd w:val="clear" w:color="auto" w:fill="EEECE1"/>
          </w:tcPr>
          <w:p w14:paraId="1FFE58F3"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3EA98D97" w14:textId="77777777" w:rsidR="00C31E9B" w:rsidRPr="001D6AFD" w:rsidRDefault="00C31E9B" w:rsidP="00C31E9B">
            <w:pPr>
              <w:rPr>
                <w:b/>
                <w:sz w:val="22"/>
                <w:szCs w:val="22"/>
                <w:lang w:eastAsia="en-US"/>
              </w:rPr>
            </w:pPr>
          </w:p>
        </w:tc>
        <w:tc>
          <w:tcPr>
            <w:tcW w:w="2070" w:type="dxa"/>
          </w:tcPr>
          <w:p w14:paraId="09A9A0F7" w14:textId="7BA719A5" w:rsidR="00C31E9B" w:rsidRPr="001D6AFD" w:rsidRDefault="00C31E9B" w:rsidP="00C31E9B">
            <w:pPr>
              <w:rPr>
                <w:b/>
                <w:sz w:val="22"/>
                <w:szCs w:val="22"/>
                <w:lang w:eastAsia="en-US"/>
              </w:rPr>
            </w:pPr>
            <w:r w:rsidRPr="001D6AFD">
              <w:rPr>
                <w:bCs/>
                <w:sz w:val="16"/>
                <w:szCs w:val="16"/>
                <w:lang w:eastAsia="en-US"/>
              </w:rPr>
              <w:t xml:space="preserve">Cible : 1 </w:t>
            </w:r>
          </w:p>
        </w:tc>
        <w:tc>
          <w:tcPr>
            <w:tcW w:w="2070" w:type="dxa"/>
          </w:tcPr>
          <w:p w14:paraId="4B90E5AB" w14:textId="441B95F4" w:rsidR="00C31E9B" w:rsidRPr="00696A22" w:rsidRDefault="005648A5" w:rsidP="00C31E9B">
            <w:pPr>
              <w:rPr>
                <w:bCs/>
                <w:sz w:val="16"/>
                <w:szCs w:val="16"/>
                <w:lang w:eastAsia="en-US"/>
              </w:rPr>
            </w:pPr>
            <w:r w:rsidRPr="00696A22">
              <w:rPr>
                <w:bCs/>
                <w:sz w:val="16"/>
                <w:szCs w:val="16"/>
                <w:lang w:eastAsia="en-US"/>
              </w:rPr>
              <w:t>3</w:t>
            </w:r>
          </w:p>
        </w:tc>
        <w:tc>
          <w:tcPr>
            <w:tcW w:w="4140" w:type="dxa"/>
          </w:tcPr>
          <w:p w14:paraId="10C7A4F8" w14:textId="31F94D69" w:rsidR="00C31E9B" w:rsidRPr="00696A22" w:rsidRDefault="00C31E9B" w:rsidP="00C31E9B">
            <w:pPr>
              <w:rPr>
                <w:bCs/>
                <w:sz w:val="16"/>
                <w:szCs w:val="16"/>
                <w:lang w:eastAsia="en-US"/>
              </w:rPr>
            </w:pPr>
          </w:p>
        </w:tc>
      </w:tr>
      <w:tr w:rsidR="00C31E9B" w:rsidRPr="001D6AFD" w14:paraId="3265814C" w14:textId="77777777" w:rsidTr="00826923">
        <w:trPr>
          <w:trHeight w:val="467"/>
        </w:trPr>
        <w:tc>
          <w:tcPr>
            <w:tcW w:w="1530" w:type="dxa"/>
            <w:vMerge/>
          </w:tcPr>
          <w:p w14:paraId="2EBAE6EA" w14:textId="77777777" w:rsidR="00C31E9B" w:rsidRPr="001D6AFD" w:rsidRDefault="00C31E9B" w:rsidP="00C31E9B">
            <w:pPr>
              <w:rPr>
                <w:b/>
                <w:szCs w:val="20"/>
                <w:lang w:eastAsia="en-US"/>
              </w:rPr>
            </w:pPr>
          </w:p>
        </w:tc>
        <w:tc>
          <w:tcPr>
            <w:tcW w:w="2070" w:type="dxa"/>
            <w:shd w:val="clear" w:color="auto" w:fill="EEECE1"/>
          </w:tcPr>
          <w:p w14:paraId="49C59E27" w14:textId="22FB692F" w:rsidR="00C31E9B" w:rsidRPr="001D6AFD" w:rsidRDefault="00C31E9B" w:rsidP="00C31E9B">
            <w:pPr>
              <w:jc w:val="both"/>
              <w:rPr>
                <w:lang w:eastAsia="en-US"/>
              </w:rPr>
            </w:pPr>
            <w:r w:rsidRPr="001D6AFD">
              <w:rPr>
                <w:lang w:eastAsia="en-US"/>
              </w:rPr>
              <w:t>Indicateur 1.2.4</w:t>
            </w:r>
          </w:p>
          <w:p w14:paraId="53396750" w14:textId="3D5128A4" w:rsidR="00C31E9B" w:rsidRPr="001D6AFD" w:rsidRDefault="00C31E9B" w:rsidP="00C31E9B">
            <w:pPr>
              <w:jc w:val="both"/>
              <w:rPr>
                <w:szCs w:val="20"/>
                <w:lang w:eastAsia="en-US"/>
              </w:rPr>
            </w:pPr>
            <w:r w:rsidRPr="001D6AFD">
              <w:rPr>
                <w:rFonts w:eastAsia="Calibri"/>
                <w:sz w:val="16"/>
                <w:szCs w:val="16"/>
                <w:lang w:eastAsia="zh-CN"/>
              </w:rPr>
              <w:t># de projets développés</w:t>
            </w:r>
          </w:p>
        </w:tc>
        <w:tc>
          <w:tcPr>
            <w:tcW w:w="1530" w:type="dxa"/>
            <w:shd w:val="clear" w:color="auto" w:fill="EEECE1"/>
          </w:tcPr>
          <w:p w14:paraId="5C3D4CC4" w14:textId="6D90F9B0" w:rsidR="00C31E9B" w:rsidRPr="001D6AFD" w:rsidRDefault="00C31E9B" w:rsidP="00C31E9B">
            <w:pPr>
              <w:rPr>
                <w:b/>
                <w:sz w:val="22"/>
                <w:szCs w:val="22"/>
                <w:lang w:eastAsia="en-US"/>
              </w:rPr>
            </w:pPr>
            <w:r w:rsidRPr="001D6AFD">
              <w:rPr>
                <w:rFonts w:eastAsia="Calibri"/>
                <w:sz w:val="16"/>
                <w:szCs w:val="16"/>
                <w:lang w:eastAsia="zh-CN"/>
              </w:rPr>
              <w:t>Niveau de Référence : 0</w:t>
            </w:r>
          </w:p>
        </w:tc>
        <w:tc>
          <w:tcPr>
            <w:tcW w:w="1620" w:type="dxa"/>
            <w:shd w:val="clear" w:color="auto" w:fill="EEECE1"/>
          </w:tcPr>
          <w:p w14:paraId="36B6D9D7" w14:textId="6F087AA7" w:rsidR="00C31E9B" w:rsidRPr="001D6AFD" w:rsidRDefault="00C31E9B" w:rsidP="00C31E9B">
            <w:pPr>
              <w:rPr>
                <w:b/>
                <w:sz w:val="22"/>
                <w:szCs w:val="22"/>
                <w:lang w:eastAsia="en-US"/>
              </w:rPr>
            </w:pPr>
            <w:r w:rsidRPr="001D6AFD">
              <w:rPr>
                <w:rFonts w:eastAsia="Calibri"/>
                <w:sz w:val="16"/>
                <w:szCs w:val="16"/>
                <w:lang w:eastAsia="zh-CN"/>
              </w:rPr>
              <w:t>Niveau de Référence : 0</w:t>
            </w:r>
          </w:p>
        </w:tc>
        <w:tc>
          <w:tcPr>
            <w:tcW w:w="2070" w:type="dxa"/>
          </w:tcPr>
          <w:p w14:paraId="1FCFD065" w14:textId="10910C4D" w:rsidR="00C31E9B" w:rsidRPr="001D6AFD" w:rsidRDefault="00C31E9B" w:rsidP="00C31E9B">
            <w:pPr>
              <w:rPr>
                <w:b/>
                <w:sz w:val="22"/>
                <w:szCs w:val="22"/>
                <w:lang w:eastAsia="en-US"/>
              </w:rPr>
            </w:pPr>
            <w:r w:rsidRPr="001D6AFD">
              <w:rPr>
                <w:bCs/>
                <w:sz w:val="16"/>
                <w:szCs w:val="16"/>
                <w:lang w:eastAsia="en-US"/>
              </w:rPr>
              <w:t>Cible : 2</w:t>
            </w:r>
          </w:p>
        </w:tc>
        <w:tc>
          <w:tcPr>
            <w:tcW w:w="2070" w:type="dxa"/>
          </w:tcPr>
          <w:p w14:paraId="027A6A84" w14:textId="706B25B5" w:rsidR="00C31E9B" w:rsidRPr="00696A22" w:rsidRDefault="005648A5" w:rsidP="00C31E9B">
            <w:pPr>
              <w:rPr>
                <w:bCs/>
                <w:sz w:val="16"/>
                <w:szCs w:val="16"/>
                <w:lang w:eastAsia="en-US"/>
              </w:rPr>
            </w:pPr>
            <w:r w:rsidRPr="00696A22">
              <w:rPr>
                <w:bCs/>
                <w:sz w:val="16"/>
                <w:szCs w:val="16"/>
                <w:lang w:eastAsia="en-US"/>
              </w:rPr>
              <w:t>4</w:t>
            </w:r>
          </w:p>
        </w:tc>
        <w:tc>
          <w:tcPr>
            <w:tcW w:w="4140" w:type="dxa"/>
          </w:tcPr>
          <w:p w14:paraId="2D5509CB" w14:textId="6A9307DF" w:rsidR="00C31E9B" w:rsidRPr="00696A22" w:rsidRDefault="00C31E9B" w:rsidP="00C31E9B">
            <w:pPr>
              <w:rPr>
                <w:bCs/>
                <w:sz w:val="16"/>
                <w:szCs w:val="16"/>
                <w:lang w:eastAsia="en-US"/>
              </w:rPr>
            </w:pPr>
          </w:p>
        </w:tc>
      </w:tr>
      <w:tr w:rsidR="00C31E9B" w:rsidRPr="001D6AFD" w14:paraId="1E99B14A" w14:textId="77777777" w:rsidTr="00826923">
        <w:trPr>
          <w:trHeight w:val="467"/>
        </w:trPr>
        <w:tc>
          <w:tcPr>
            <w:tcW w:w="1530" w:type="dxa"/>
            <w:vMerge/>
          </w:tcPr>
          <w:p w14:paraId="5BC88D39" w14:textId="77777777" w:rsidR="00C31E9B" w:rsidRPr="001D6AFD" w:rsidRDefault="00C31E9B" w:rsidP="00C31E9B">
            <w:pPr>
              <w:rPr>
                <w:b/>
                <w:szCs w:val="20"/>
                <w:lang w:eastAsia="en-US"/>
              </w:rPr>
            </w:pPr>
          </w:p>
        </w:tc>
        <w:tc>
          <w:tcPr>
            <w:tcW w:w="2070" w:type="dxa"/>
            <w:shd w:val="clear" w:color="auto" w:fill="EEECE1"/>
          </w:tcPr>
          <w:p w14:paraId="6DC7B42B" w14:textId="76B1D615" w:rsidR="00C31E9B" w:rsidRPr="001D6AFD" w:rsidRDefault="00C31E9B" w:rsidP="00C31E9B">
            <w:pPr>
              <w:jc w:val="both"/>
              <w:rPr>
                <w:lang w:eastAsia="en-US"/>
              </w:rPr>
            </w:pPr>
            <w:r w:rsidRPr="001D6AFD">
              <w:rPr>
                <w:lang w:eastAsia="en-US"/>
              </w:rPr>
              <w:t>Indicateur 1.2.5</w:t>
            </w:r>
          </w:p>
          <w:p w14:paraId="37DE98E7" w14:textId="2157D0BB" w:rsidR="00C31E9B" w:rsidRPr="001D6AFD" w:rsidRDefault="00C31E9B" w:rsidP="00C31E9B">
            <w:pPr>
              <w:jc w:val="both"/>
              <w:rPr>
                <w:szCs w:val="20"/>
                <w:lang w:eastAsia="en-US"/>
              </w:rPr>
            </w:pPr>
            <w:r w:rsidRPr="001D6AFD">
              <w:rPr>
                <w:rFonts w:eastAsia="Calibri"/>
                <w:sz w:val="16"/>
                <w:szCs w:val="16"/>
                <w:lang w:eastAsia="zh-CN"/>
              </w:rPr>
              <w:t>% de l’enveloppe totale du PBF soit allouée aux questions de genre et/ou à un soutien pour l’autonomisation des femmes, en conformité avec les directives du PBF</w:t>
            </w:r>
          </w:p>
        </w:tc>
        <w:tc>
          <w:tcPr>
            <w:tcW w:w="1530" w:type="dxa"/>
            <w:shd w:val="clear" w:color="auto" w:fill="EEECE1"/>
          </w:tcPr>
          <w:p w14:paraId="40EF5A32"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719C9D8C" w14:textId="77777777" w:rsidR="00C31E9B" w:rsidRPr="001D6AFD" w:rsidRDefault="00C31E9B" w:rsidP="00C31E9B">
            <w:pPr>
              <w:rPr>
                <w:b/>
                <w:sz w:val="22"/>
                <w:szCs w:val="22"/>
                <w:lang w:eastAsia="en-US"/>
              </w:rPr>
            </w:pPr>
          </w:p>
        </w:tc>
        <w:tc>
          <w:tcPr>
            <w:tcW w:w="1620" w:type="dxa"/>
            <w:shd w:val="clear" w:color="auto" w:fill="EEECE1"/>
          </w:tcPr>
          <w:p w14:paraId="7EF78CD1"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2054F694" w14:textId="620F45D9" w:rsidR="00C31E9B" w:rsidRPr="001D6AFD" w:rsidRDefault="00C31E9B" w:rsidP="00C31E9B">
            <w:pPr>
              <w:rPr>
                <w:b/>
                <w:sz w:val="22"/>
                <w:szCs w:val="22"/>
                <w:lang w:eastAsia="en-US"/>
              </w:rPr>
            </w:pPr>
          </w:p>
        </w:tc>
        <w:tc>
          <w:tcPr>
            <w:tcW w:w="2070" w:type="dxa"/>
          </w:tcPr>
          <w:p w14:paraId="768442D6" w14:textId="79E218D8" w:rsidR="00C31E9B" w:rsidRPr="001D6AFD" w:rsidRDefault="00C31E9B" w:rsidP="00C31E9B">
            <w:pPr>
              <w:rPr>
                <w:b/>
                <w:sz w:val="22"/>
                <w:szCs w:val="22"/>
                <w:lang w:eastAsia="en-US"/>
              </w:rPr>
            </w:pPr>
            <w:r w:rsidRPr="001D6AFD">
              <w:rPr>
                <w:rFonts w:eastAsia="Calibri"/>
                <w:sz w:val="16"/>
                <w:szCs w:val="16"/>
                <w:lang w:eastAsia="zh-CN"/>
              </w:rPr>
              <w:t>Cible : 15%</w:t>
            </w:r>
          </w:p>
        </w:tc>
        <w:tc>
          <w:tcPr>
            <w:tcW w:w="2070" w:type="dxa"/>
          </w:tcPr>
          <w:p w14:paraId="4B04F8FD" w14:textId="23102C76" w:rsidR="00C31E9B" w:rsidRPr="00696A22" w:rsidRDefault="007A6929" w:rsidP="00C31E9B">
            <w:pPr>
              <w:rPr>
                <w:bCs/>
                <w:sz w:val="16"/>
                <w:szCs w:val="16"/>
                <w:lang w:eastAsia="en-US"/>
              </w:rPr>
            </w:pPr>
            <w:r w:rsidRPr="00696A22">
              <w:rPr>
                <w:bCs/>
                <w:sz w:val="16"/>
                <w:szCs w:val="16"/>
                <w:lang w:val="en-US" w:eastAsia="en-US"/>
              </w:rPr>
              <w:t>2</w:t>
            </w:r>
            <w:r w:rsidR="008A31BE" w:rsidRPr="00696A22">
              <w:rPr>
                <w:bCs/>
                <w:sz w:val="16"/>
                <w:szCs w:val="16"/>
                <w:lang w:val="en-US" w:eastAsia="en-US"/>
              </w:rPr>
              <w:t>8</w:t>
            </w:r>
            <w:r w:rsidRPr="00696A22">
              <w:rPr>
                <w:bCs/>
                <w:sz w:val="16"/>
                <w:szCs w:val="16"/>
                <w:lang w:val="en-US" w:eastAsia="en-US"/>
              </w:rPr>
              <w:t>%</w:t>
            </w:r>
          </w:p>
        </w:tc>
        <w:tc>
          <w:tcPr>
            <w:tcW w:w="4140" w:type="dxa"/>
          </w:tcPr>
          <w:p w14:paraId="18D0D575" w14:textId="0D5D0580" w:rsidR="00C31E9B" w:rsidRPr="00696A22" w:rsidRDefault="00C31E9B" w:rsidP="00C31E9B">
            <w:pPr>
              <w:rPr>
                <w:bCs/>
                <w:sz w:val="16"/>
                <w:szCs w:val="16"/>
                <w:lang w:eastAsia="en-US"/>
              </w:rPr>
            </w:pPr>
          </w:p>
        </w:tc>
      </w:tr>
      <w:tr w:rsidR="00C31E9B" w:rsidRPr="001D6AFD" w14:paraId="4CC8423E" w14:textId="77777777" w:rsidTr="00826923">
        <w:trPr>
          <w:trHeight w:val="422"/>
        </w:trPr>
        <w:tc>
          <w:tcPr>
            <w:tcW w:w="1530" w:type="dxa"/>
            <w:vMerge w:val="restart"/>
          </w:tcPr>
          <w:p w14:paraId="70C54316" w14:textId="77777777" w:rsidR="00C31E9B" w:rsidRPr="001D6AFD" w:rsidRDefault="00C31E9B" w:rsidP="00C31E9B">
            <w:pPr>
              <w:rPr>
                <w:szCs w:val="20"/>
                <w:lang w:eastAsia="en-US"/>
              </w:rPr>
            </w:pPr>
            <w:r w:rsidRPr="001D6AFD">
              <w:rPr>
                <w:szCs w:val="20"/>
                <w:lang w:eastAsia="en-US"/>
              </w:rPr>
              <w:t>Produit 1.3</w:t>
            </w:r>
          </w:p>
          <w:p w14:paraId="5AABA42B" w14:textId="34666EC0" w:rsidR="00C31E9B" w:rsidRPr="001D6AFD" w:rsidRDefault="00C31E9B" w:rsidP="00C31E9B">
            <w:pPr>
              <w:rPr>
                <w:szCs w:val="20"/>
                <w:lang w:eastAsia="en-US"/>
              </w:rPr>
            </w:pPr>
            <w:r w:rsidRPr="001D6AFD">
              <w:rPr>
                <w:rFonts w:eastAsia="Calibri"/>
                <w:sz w:val="16"/>
                <w:szCs w:val="16"/>
                <w:lang w:eastAsia="zh-CN"/>
              </w:rPr>
              <w:t xml:space="preserve">Des mécanismes de coordination entre les projets et les partenaires clés sont </w:t>
            </w:r>
            <w:r w:rsidRPr="001D6AFD">
              <w:rPr>
                <w:rFonts w:eastAsia="Calibri"/>
                <w:sz w:val="16"/>
                <w:szCs w:val="16"/>
                <w:lang w:eastAsia="zh-CN"/>
              </w:rPr>
              <w:lastRenderedPageBreak/>
              <w:t>mis en place pour assurer la réalisation des résultats stratégiques du portefeuille PBF et la cohérence et la synergie entre les projets ct les activités.</w:t>
            </w:r>
          </w:p>
        </w:tc>
        <w:tc>
          <w:tcPr>
            <w:tcW w:w="2070" w:type="dxa"/>
            <w:shd w:val="clear" w:color="auto" w:fill="EEECE1"/>
          </w:tcPr>
          <w:p w14:paraId="4ADB5CD3" w14:textId="098DB0F6" w:rsidR="00C31E9B" w:rsidRPr="001D6AFD" w:rsidRDefault="00C31E9B" w:rsidP="00C31E9B">
            <w:pPr>
              <w:jc w:val="both"/>
              <w:rPr>
                <w:lang w:eastAsia="en-US"/>
              </w:rPr>
            </w:pPr>
            <w:r w:rsidRPr="001D6AFD">
              <w:rPr>
                <w:lang w:eastAsia="en-US"/>
              </w:rPr>
              <w:lastRenderedPageBreak/>
              <w:t>Indicateur 1.3.1</w:t>
            </w:r>
          </w:p>
          <w:p w14:paraId="5C84E012"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 de réunions de coordination avec le Coordonnateur résident et le BCR</w:t>
            </w:r>
          </w:p>
          <w:p w14:paraId="13F4F9B7" w14:textId="3963F5D9" w:rsidR="00C31E9B" w:rsidRPr="001D6AFD" w:rsidRDefault="00C31E9B" w:rsidP="00C31E9B">
            <w:pPr>
              <w:jc w:val="both"/>
              <w:rPr>
                <w:szCs w:val="20"/>
                <w:lang w:eastAsia="en-US"/>
              </w:rPr>
            </w:pPr>
          </w:p>
        </w:tc>
        <w:tc>
          <w:tcPr>
            <w:tcW w:w="1530" w:type="dxa"/>
            <w:shd w:val="clear" w:color="auto" w:fill="EEECE1"/>
          </w:tcPr>
          <w:p w14:paraId="1CA49242"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lastRenderedPageBreak/>
              <w:t>Niveau de référence : 0</w:t>
            </w:r>
          </w:p>
          <w:p w14:paraId="381C8E37" w14:textId="7094EF13" w:rsidR="00C31E9B" w:rsidRPr="001D6AFD" w:rsidRDefault="00C31E9B" w:rsidP="00C31E9B"/>
        </w:tc>
        <w:tc>
          <w:tcPr>
            <w:tcW w:w="1620" w:type="dxa"/>
            <w:shd w:val="clear" w:color="auto" w:fill="EEECE1"/>
          </w:tcPr>
          <w:p w14:paraId="6C08E0D6"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3A889851" w14:textId="59187863" w:rsidR="00C31E9B" w:rsidRPr="001D6AFD" w:rsidRDefault="00C31E9B" w:rsidP="00C31E9B"/>
        </w:tc>
        <w:tc>
          <w:tcPr>
            <w:tcW w:w="2070" w:type="dxa"/>
          </w:tcPr>
          <w:p w14:paraId="25482814" w14:textId="4ACAAE55" w:rsidR="00C31E9B" w:rsidRPr="001D6AFD" w:rsidRDefault="00C31E9B" w:rsidP="00C31E9B">
            <w:r w:rsidRPr="001D6AFD">
              <w:rPr>
                <w:rFonts w:eastAsia="Calibri"/>
                <w:sz w:val="16"/>
                <w:szCs w:val="16"/>
                <w:lang w:eastAsia="zh-CN"/>
              </w:rPr>
              <w:t>Cible : 48</w:t>
            </w:r>
          </w:p>
        </w:tc>
        <w:tc>
          <w:tcPr>
            <w:tcW w:w="2070" w:type="dxa"/>
          </w:tcPr>
          <w:p w14:paraId="5C365A23" w14:textId="18CF46F0" w:rsidR="00C31E9B" w:rsidRPr="00696A22" w:rsidRDefault="008A31BE" w:rsidP="00C31E9B">
            <w:pPr>
              <w:rPr>
                <w:bCs/>
                <w:sz w:val="16"/>
                <w:szCs w:val="16"/>
              </w:rPr>
            </w:pPr>
            <w:r w:rsidRPr="00696A22">
              <w:rPr>
                <w:bCs/>
                <w:sz w:val="16"/>
                <w:szCs w:val="16"/>
                <w:lang w:val="en-US" w:eastAsia="en-US"/>
              </w:rPr>
              <w:fldChar w:fldCharType="begin">
                <w:ffData>
                  <w:name w:val=""/>
                  <w:enabled/>
                  <w:calcOnExit w:val="0"/>
                  <w:textInput>
                    <w:default w:val="13"/>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13</w:t>
            </w:r>
            <w:r w:rsidRPr="00696A22">
              <w:rPr>
                <w:bCs/>
                <w:sz w:val="16"/>
                <w:szCs w:val="16"/>
                <w:lang w:val="en-US" w:eastAsia="en-US"/>
              </w:rPr>
              <w:fldChar w:fldCharType="end"/>
            </w:r>
          </w:p>
        </w:tc>
        <w:tc>
          <w:tcPr>
            <w:tcW w:w="4140" w:type="dxa"/>
          </w:tcPr>
          <w:p w14:paraId="2C2CC682" w14:textId="70E93E83" w:rsidR="00C31E9B" w:rsidRPr="00696A22" w:rsidRDefault="00C31E9B" w:rsidP="00C31E9B">
            <w:pPr>
              <w:rPr>
                <w:bCs/>
                <w:sz w:val="16"/>
                <w:szCs w:val="16"/>
              </w:rPr>
            </w:pPr>
          </w:p>
        </w:tc>
      </w:tr>
      <w:tr w:rsidR="00C31E9B" w:rsidRPr="001D6AFD" w14:paraId="00C542B2" w14:textId="77777777" w:rsidTr="00826923">
        <w:trPr>
          <w:trHeight w:val="422"/>
        </w:trPr>
        <w:tc>
          <w:tcPr>
            <w:tcW w:w="1530" w:type="dxa"/>
            <w:vMerge/>
          </w:tcPr>
          <w:p w14:paraId="39A21645" w14:textId="77777777" w:rsidR="00C31E9B" w:rsidRPr="001D6AFD" w:rsidRDefault="00C31E9B" w:rsidP="00C31E9B">
            <w:pPr>
              <w:rPr>
                <w:b/>
                <w:szCs w:val="20"/>
                <w:lang w:eastAsia="en-US"/>
              </w:rPr>
            </w:pPr>
          </w:p>
        </w:tc>
        <w:tc>
          <w:tcPr>
            <w:tcW w:w="2070" w:type="dxa"/>
            <w:shd w:val="clear" w:color="auto" w:fill="EEECE1"/>
          </w:tcPr>
          <w:p w14:paraId="3875A889" w14:textId="38270D1C" w:rsidR="00C31E9B" w:rsidRPr="001D6AFD" w:rsidRDefault="00C31E9B" w:rsidP="00C31E9B">
            <w:pPr>
              <w:jc w:val="both"/>
              <w:rPr>
                <w:lang w:eastAsia="en-US"/>
              </w:rPr>
            </w:pPr>
            <w:r w:rsidRPr="001D6AFD">
              <w:rPr>
                <w:lang w:eastAsia="en-US"/>
              </w:rPr>
              <w:t>Indicateur 1.3.2</w:t>
            </w:r>
          </w:p>
          <w:p w14:paraId="393760B4" w14:textId="14CF6E1B" w:rsidR="00C31E9B" w:rsidRPr="001D6AFD" w:rsidRDefault="00C31E9B" w:rsidP="00C31E9B">
            <w:pPr>
              <w:jc w:val="both"/>
              <w:rPr>
                <w:szCs w:val="20"/>
                <w:lang w:eastAsia="en-US"/>
              </w:rPr>
            </w:pPr>
            <w:r w:rsidRPr="001D6AFD">
              <w:rPr>
                <w:rFonts w:eastAsia="Calibri"/>
                <w:sz w:val="16"/>
                <w:szCs w:val="16"/>
                <w:lang w:eastAsia="zh-CN"/>
              </w:rPr>
              <w:t># de réunions des unités opérationnelles des projets PBF auxquelles le Secrétariat du PBF participe</w:t>
            </w:r>
          </w:p>
        </w:tc>
        <w:tc>
          <w:tcPr>
            <w:tcW w:w="1530" w:type="dxa"/>
            <w:shd w:val="clear" w:color="auto" w:fill="EEECE1"/>
          </w:tcPr>
          <w:p w14:paraId="7D8B75CB"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1C85A585" w14:textId="74BFCF95" w:rsidR="00C31E9B" w:rsidRPr="001D6AFD" w:rsidRDefault="00C31E9B" w:rsidP="00C31E9B"/>
        </w:tc>
        <w:tc>
          <w:tcPr>
            <w:tcW w:w="1620" w:type="dxa"/>
            <w:shd w:val="clear" w:color="auto" w:fill="EEECE1"/>
          </w:tcPr>
          <w:p w14:paraId="2E3DCD2C"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4E2BA7C6" w14:textId="24D8DA5C" w:rsidR="00C31E9B" w:rsidRPr="001D6AFD" w:rsidRDefault="00C31E9B" w:rsidP="00C31E9B"/>
        </w:tc>
        <w:tc>
          <w:tcPr>
            <w:tcW w:w="2070" w:type="dxa"/>
          </w:tcPr>
          <w:p w14:paraId="7BD02334" w14:textId="13F4CAFB" w:rsidR="00C31E9B" w:rsidRPr="001D6AFD" w:rsidRDefault="00C31E9B" w:rsidP="00C31E9B">
            <w:r w:rsidRPr="001D6AFD">
              <w:rPr>
                <w:rFonts w:eastAsia="Calibri"/>
                <w:sz w:val="16"/>
                <w:szCs w:val="16"/>
                <w:lang w:eastAsia="zh-CN"/>
              </w:rPr>
              <w:t>Cible : 80%des réunions mensuelles des unités de chaque projet thématique PBF (80% de 24X4 = 77)</w:t>
            </w:r>
          </w:p>
        </w:tc>
        <w:tc>
          <w:tcPr>
            <w:tcW w:w="2070" w:type="dxa"/>
          </w:tcPr>
          <w:p w14:paraId="7AE37EA5" w14:textId="5CFEA9B8" w:rsidR="00C31E9B" w:rsidRPr="00696A22" w:rsidRDefault="008A31BE" w:rsidP="00C31E9B">
            <w:pPr>
              <w:rPr>
                <w:bCs/>
                <w:sz w:val="16"/>
                <w:szCs w:val="16"/>
              </w:rPr>
            </w:pPr>
            <w:r w:rsidRPr="00696A22">
              <w:rPr>
                <w:bCs/>
                <w:sz w:val="16"/>
                <w:szCs w:val="16"/>
                <w:lang w:val="en-US" w:eastAsia="en-US"/>
              </w:rPr>
              <w:fldChar w:fldCharType="begin">
                <w:ffData>
                  <w:name w:val=""/>
                  <w:enabled/>
                  <w:calcOnExit w:val="0"/>
                  <w:textInput>
                    <w:default w:val="8%"/>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8%</w:t>
            </w:r>
            <w:r w:rsidRPr="00696A22">
              <w:rPr>
                <w:bCs/>
                <w:sz w:val="16"/>
                <w:szCs w:val="16"/>
                <w:lang w:val="en-US" w:eastAsia="en-US"/>
              </w:rPr>
              <w:fldChar w:fldCharType="end"/>
            </w:r>
          </w:p>
        </w:tc>
        <w:tc>
          <w:tcPr>
            <w:tcW w:w="4140" w:type="dxa"/>
          </w:tcPr>
          <w:p w14:paraId="047E6A6B" w14:textId="3F102432" w:rsidR="00C31E9B" w:rsidRPr="00696A22" w:rsidRDefault="00C31E9B" w:rsidP="00C31E9B">
            <w:pPr>
              <w:rPr>
                <w:bCs/>
                <w:sz w:val="16"/>
                <w:szCs w:val="16"/>
              </w:rPr>
            </w:pPr>
          </w:p>
        </w:tc>
      </w:tr>
      <w:tr w:rsidR="00C31E9B" w:rsidRPr="00D161D4" w14:paraId="0BC5A457" w14:textId="77777777" w:rsidTr="00826923">
        <w:trPr>
          <w:trHeight w:val="422"/>
        </w:trPr>
        <w:tc>
          <w:tcPr>
            <w:tcW w:w="1530" w:type="dxa"/>
            <w:vMerge/>
          </w:tcPr>
          <w:p w14:paraId="0BB4897F" w14:textId="77777777" w:rsidR="00C31E9B" w:rsidRPr="001D6AFD" w:rsidRDefault="00C31E9B" w:rsidP="00C31E9B">
            <w:pPr>
              <w:rPr>
                <w:b/>
                <w:szCs w:val="20"/>
                <w:lang w:eastAsia="en-US"/>
              </w:rPr>
            </w:pPr>
          </w:p>
        </w:tc>
        <w:tc>
          <w:tcPr>
            <w:tcW w:w="2070" w:type="dxa"/>
            <w:shd w:val="clear" w:color="auto" w:fill="EEECE1"/>
          </w:tcPr>
          <w:p w14:paraId="6A32F7E3" w14:textId="5F7C9374" w:rsidR="00C31E9B" w:rsidRPr="001D6AFD" w:rsidRDefault="00C31E9B" w:rsidP="00C31E9B">
            <w:pPr>
              <w:jc w:val="both"/>
              <w:rPr>
                <w:lang w:eastAsia="en-US"/>
              </w:rPr>
            </w:pPr>
            <w:r w:rsidRPr="001D6AFD">
              <w:rPr>
                <w:lang w:eastAsia="en-US"/>
              </w:rPr>
              <w:t>Indicateur 1.3.3</w:t>
            </w:r>
          </w:p>
          <w:p w14:paraId="405CA525"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 de réunions du Groupe</w:t>
            </w:r>
          </w:p>
          <w:p w14:paraId="3D384293"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Effet 5 auxquelles les projets PBF sont à l’ordre du jour et le Secrétariat</w:t>
            </w:r>
          </w:p>
          <w:p w14:paraId="280B7813" w14:textId="325EDBD8" w:rsidR="00C31E9B" w:rsidRPr="001D6AFD" w:rsidRDefault="00C31E9B" w:rsidP="00C31E9B">
            <w:pPr>
              <w:jc w:val="both"/>
              <w:rPr>
                <w:szCs w:val="20"/>
                <w:lang w:eastAsia="en-US"/>
              </w:rPr>
            </w:pPr>
            <w:r w:rsidRPr="001D6AFD">
              <w:rPr>
                <w:rFonts w:eastAsia="Calibri"/>
                <w:sz w:val="16"/>
                <w:szCs w:val="16"/>
                <w:lang w:eastAsia="zh-CN"/>
              </w:rPr>
              <w:t>PBF participe</w:t>
            </w:r>
          </w:p>
        </w:tc>
        <w:tc>
          <w:tcPr>
            <w:tcW w:w="1530" w:type="dxa"/>
            <w:shd w:val="clear" w:color="auto" w:fill="EEECE1"/>
          </w:tcPr>
          <w:p w14:paraId="7C24AA28"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5B0A2773" w14:textId="77777777" w:rsidR="00C31E9B" w:rsidRPr="001D6AFD" w:rsidRDefault="00C31E9B" w:rsidP="00C31E9B">
            <w:pPr>
              <w:rPr>
                <w:b/>
                <w:sz w:val="22"/>
                <w:szCs w:val="22"/>
                <w:lang w:eastAsia="en-US"/>
              </w:rPr>
            </w:pPr>
          </w:p>
        </w:tc>
        <w:tc>
          <w:tcPr>
            <w:tcW w:w="1620" w:type="dxa"/>
            <w:shd w:val="clear" w:color="auto" w:fill="EEECE1"/>
          </w:tcPr>
          <w:p w14:paraId="30313B1C"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2F98499C" w14:textId="009D5E24" w:rsidR="00C31E9B" w:rsidRPr="001D6AFD" w:rsidRDefault="00C31E9B" w:rsidP="00C31E9B">
            <w:pPr>
              <w:rPr>
                <w:b/>
                <w:sz w:val="22"/>
                <w:szCs w:val="22"/>
                <w:lang w:eastAsia="en-US"/>
              </w:rPr>
            </w:pPr>
          </w:p>
        </w:tc>
        <w:tc>
          <w:tcPr>
            <w:tcW w:w="2070" w:type="dxa"/>
          </w:tcPr>
          <w:p w14:paraId="004CAF8E" w14:textId="6BB56535" w:rsidR="00C31E9B" w:rsidRPr="001D6AFD" w:rsidRDefault="00C31E9B" w:rsidP="00C31E9B">
            <w:pPr>
              <w:rPr>
                <w:b/>
                <w:sz w:val="22"/>
                <w:szCs w:val="22"/>
                <w:lang w:eastAsia="en-US"/>
              </w:rPr>
            </w:pPr>
            <w:r w:rsidRPr="001D6AFD">
              <w:rPr>
                <w:rFonts w:eastAsia="Calibri"/>
                <w:sz w:val="16"/>
                <w:szCs w:val="16"/>
                <w:lang w:eastAsia="zh-CN"/>
              </w:rPr>
              <w:t>Cible : 12</w:t>
            </w:r>
          </w:p>
        </w:tc>
        <w:tc>
          <w:tcPr>
            <w:tcW w:w="2070" w:type="dxa"/>
          </w:tcPr>
          <w:p w14:paraId="18F791D0" w14:textId="28F884E6" w:rsidR="00C31E9B" w:rsidRPr="00696A22" w:rsidRDefault="00C31E9B" w:rsidP="00C31E9B">
            <w:pPr>
              <w:rPr>
                <w:bCs/>
                <w:sz w:val="16"/>
                <w:szCs w:val="16"/>
                <w:lang w:eastAsia="en-US"/>
              </w:rPr>
            </w:pPr>
          </w:p>
        </w:tc>
        <w:tc>
          <w:tcPr>
            <w:tcW w:w="4140" w:type="dxa"/>
          </w:tcPr>
          <w:p w14:paraId="6CA18704" w14:textId="7B92BC6A" w:rsidR="00C31E9B" w:rsidRPr="00696A22" w:rsidRDefault="00846808" w:rsidP="00C31E9B">
            <w:pPr>
              <w:rPr>
                <w:bCs/>
                <w:sz w:val="16"/>
                <w:szCs w:val="16"/>
                <w:lang w:eastAsia="en-US"/>
              </w:rPr>
            </w:pPr>
            <w:r w:rsidRPr="00696A22">
              <w:rPr>
                <w:bCs/>
                <w:sz w:val="16"/>
                <w:szCs w:val="16"/>
                <w:lang w:eastAsia="en-US"/>
              </w:rPr>
              <w:t>Le groupe Effet 5 de l’UNDAF n’est plus actif.</w:t>
            </w:r>
          </w:p>
        </w:tc>
      </w:tr>
      <w:tr w:rsidR="00C31E9B" w:rsidRPr="001D6AFD" w14:paraId="5592E412" w14:textId="77777777" w:rsidTr="00826923">
        <w:trPr>
          <w:trHeight w:val="422"/>
        </w:trPr>
        <w:tc>
          <w:tcPr>
            <w:tcW w:w="1530" w:type="dxa"/>
            <w:vMerge/>
          </w:tcPr>
          <w:p w14:paraId="79E62CAB" w14:textId="77777777" w:rsidR="00C31E9B" w:rsidRPr="001D6AFD" w:rsidRDefault="00C31E9B" w:rsidP="00C31E9B">
            <w:pPr>
              <w:rPr>
                <w:b/>
                <w:szCs w:val="20"/>
                <w:lang w:eastAsia="en-US"/>
              </w:rPr>
            </w:pPr>
          </w:p>
        </w:tc>
        <w:tc>
          <w:tcPr>
            <w:tcW w:w="2070" w:type="dxa"/>
            <w:shd w:val="clear" w:color="auto" w:fill="EEECE1"/>
          </w:tcPr>
          <w:p w14:paraId="25A0C5AE" w14:textId="7794067D" w:rsidR="00C31E9B" w:rsidRPr="001D6AFD" w:rsidRDefault="00C31E9B" w:rsidP="00C31E9B">
            <w:pPr>
              <w:jc w:val="both"/>
              <w:rPr>
                <w:lang w:eastAsia="en-US"/>
              </w:rPr>
            </w:pPr>
            <w:r w:rsidRPr="001D6AFD">
              <w:rPr>
                <w:lang w:eastAsia="en-US"/>
              </w:rPr>
              <w:t>Indicateur 1.3.4</w:t>
            </w:r>
          </w:p>
          <w:p w14:paraId="0E4C8F24" w14:textId="23CC7583" w:rsidR="00C31E9B" w:rsidRPr="001D6AFD" w:rsidRDefault="00C31E9B" w:rsidP="00C31E9B">
            <w:pPr>
              <w:jc w:val="both"/>
              <w:rPr>
                <w:szCs w:val="20"/>
                <w:lang w:eastAsia="en-US"/>
              </w:rPr>
            </w:pPr>
            <w:r w:rsidRPr="001D6AFD">
              <w:rPr>
                <w:rFonts w:eastAsia="Calibri"/>
                <w:sz w:val="16"/>
                <w:szCs w:val="16"/>
                <w:lang w:eastAsia="zh-CN"/>
              </w:rPr>
              <w:t># de projets examinés et/ou bénéficiant d’inputs techniques</w:t>
            </w:r>
          </w:p>
        </w:tc>
        <w:tc>
          <w:tcPr>
            <w:tcW w:w="1530" w:type="dxa"/>
            <w:shd w:val="clear" w:color="auto" w:fill="EEECE1"/>
          </w:tcPr>
          <w:p w14:paraId="75C4D922"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2A1C04AA" w14:textId="77777777" w:rsidR="00C31E9B" w:rsidRPr="001D6AFD" w:rsidRDefault="00C31E9B" w:rsidP="00C31E9B">
            <w:pPr>
              <w:rPr>
                <w:b/>
                <w:sz w:val="22"/>
                <w:szCs w:val="22"/>
                <w:lang w:eastAsia="en-US"/>
              </w:rPr>
            </w:pPr>
          </w:p>
        </w:tc>
        <w:tc>
          <w:tcPr>
            <w:tcW w:w="1620" w:type="dxa"/>
            <w:shd w:val="clear" w:color="auto" w:fill="EEECE1"/>
          </w:tcPr>
          <w:p w14:paraId="14B2D6BC"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0FEBA429" w14:textId="1FC99DAE" w:rsidR="00C31E9B" w:rsidRPr="001D6AFD" w:rsidRDefault="00C31E9B" w:rsidP="00C31E9B">
            <w:pPr>
              <w:rPr>
                <w:b/>
                <w:sz w:val="22"/>
                <w:szCs w:val="22"/>
                <w:lang w:eastAsia="en-US"/>
              </w:rPr>
            </w:pPr>
          </w:p>
        </w:tc>
        <w:tc>
          <w:tcPr>
            <w:tcW w:w="2070" w:type="dxa"/>
          </w:tcPr>
          <w:p w14:paraId="5E05676C" w14:textId="2BE49874" w:rsidR="00C31E9B" w:rsidRPr="001D6AFD" w:rsidRDefault="00C31E9B" w:rsidP="00C31E9B">
            <w:pPr>
              <w:rPr>
                <w:b/>
                <w:sz w:val="22"/>
                <w:szCs w:val="22"/>
                <w:lang w:eastAsia="en-US"/>
              </w:rPr>
            </w:pPr>
            <w:r w:rsidRPr="001D6AFD">
              <w:rPr>
                <w:rFonts w:eastAsia="Calibri"/>
                <w:sz w:val="16"/>
                <w:szCs w:val="16"/>
                <w:lang w:eastAsia="zh-CN"/>
              </w:rPr>
              <w:t>Cible : 4</w:t>
            </w:r>
          </w:p>
        </w:tc>
        <w:tc>
          <w:tcPr>
            <w:tcW w:w="2070" w:type="dxa"/>
          </w:tcPr>
          <w:p w14:paraId="105D92B9" w14:textId="35B321A0" w:rsidR="00C31E9B" w:rsidRPr="00696A22" w:rsidRDefault="00A86AF0" w:rsidP="00C31E9B">
            <w:pPr>
              <w:rPr>
                <w:bCs/>
                <w:sz w:val="16"/>
                <w:szCs w:val="16"/>
                <w:lang w:eastAsia="en-US"/>
              </w:rPr>
            </w:pPr>
            <w:r w:rsidRPr="00696A22">
              <w:rPr>
                <w:bCs/>
                <w:sz w:val="16"/>
                <w:szCs w:val="16"/>
                <w:lang w:eastAsia="en-US"/>
              </w:rPr>
              <w:t>04</w:t>
            </w:r>
          </w:p>
        </w:tc>
        <w:tc>
          <w:tcPr>
            <w:tcW w:w="4140" w:type="dxa"/>
          </w:tcPr>
          <w:p w14:paraId="70D279AD" w14:textId="341DD77C" w:rsidR="00C31E9B" w:rsidRPr="00696A22" w:rsidRDefault="00C31E9B" w:rsidP="00C31E9B">
            <w:pPr>
              <w:rPr>
                <w:bCs/>
                <w:sz w:val="16"/>
                <w:szCs w:val="16"/>
                <w:lang w:eastAsia="en-US"/>
              </w:rPr>
            </w:pPr>
          </w:p>
        </w:tc>
      </w:tr>
      <w:tr w:rsidR="00C31E9B" w:rsidRPr="001D6AFD" w14:paraId="1090EE6B" w14:textId="77777777" w:rsidTr="00826923">
        <w:trPr>
          <w:trHeight w:val="422"/>
        </w:trPr>
        <w:tc>
          <w:tcPr>
            <w:tcW w:w="1530" w:type="dxa"/>
            <w:vMerge/>
          </w:tcPr>
          <w:p w14:paraId="0901D1B3" w14:textId="77777777" w:rsidR="00C31E9B" w:rsidRPr="001D6AFD" w:rsidRDefault="00C31E9B" w:rsidP="00C31E9B">
            <w:pPr>
              <w:rPr>
                <w:b/>
                <w:szCs w:val="20"/>
                <w:lang w:eastAsia="en-US"/>
              </w:rPr>
            </w:pPr>
          </w:p>
        </w:tc>
        <w:tc>
          <w:tcPr>
            <w:tcW w:w="2070" w:type="dxa"/>
            <w:shd w:val="clear" w:color="auto" w:fill="EEECE1"/>
          </w:tcPr>
          <w:p w14:paraId="1BCAF68C" w14:textId="653AE3E7" w:rsidR="00C31E9B" w:rsidRPr="001D6AFD" w:rsidRDefault="00C31E9B" w:rsidP="00C31E9B">
            <w:pPr>
              <w:jc w:val="both"/>
              <w:rPr>
                <w:lang w:eastAsia="en-US"/>
              </w:rPr>
            </w:pPr>
            <w:r w:rsidRPr="001D6AFD">
              <w:rPr>
                <w:lang w:eastAsia="en-US"/>
              </w:rPr>
              <w:t>Indicateur 1.3.5</w:t>
            </w:r>
          </w:p>
          <w:p w14:paraId="25D66B1D" w14:textId="546122D0" w:rsidR="00C31E9B" w:rsidRPr="001D6AFD" w:rsidRDefault="00C31E9B" w:rsidP="00C31E9B">
            <w:pPr>
              <w:jc w:val="both"/>
              <w:rPr>
                <w:szCs w:val="20"/>
                <w:lang w:eastAsia="en-US"/>
              </w:rPr>
            </w:pPr>
            <w:r w:rsidRPr="001D6AFD">
              <w:rPr>
                <w:rFonts w:eastAsia="Calibri"/>
                <w:sz w:val="16"/>
                <w:szCs w:val="16"/>
                <w:lang w:eastAsia="zh-CN"/>
              </w:rPr>
              <w:t># d’ateliers ou de retraites organisées sur les leçons apprises</w:t>
            </w:r>
          </w:p>
        </w:tc>
        <w:tc>
          <w:tcPr>
            <w:tcW w:w="1530" w:type="dxa"/>
            <w:shd w:val="clear" w:color="auto" w:fill="EEECE1"/>
          </w:tcPr>
          <w:p w14:paraId="2D816A1E"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2DD7FC05" w14:textId="77777777" w:rsidR="00C31E9B" w:rsidRPr="001D6AFD" w:rsidRDefault="00C31E9B" w:rsidP="00C31E9B">
            <w:pPr>
              <w:rPr>
                <w:b/>
                <w:sz w:val="22"/>
                <w:szCs w:val="22"/>
                <w:lang w:eastAsia="en-US"/>
              </w:rPr>
            </w:pPr>
          </w:p>
        </w:tc>
        <w:tc>
          <w:tcPr>
            <w:tcW w:w="1620" w:type="dxa"/>
            <w:shd w:val="clear" w:color="auto" w:fill="EEECE1"/>
          </w:tcPr>
          <w:p w14:paraId="469DCBE4"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51EC2667" w14:textId="34EEC239" w:rsidR="00C31E9B" w:rsidRPr="001D6AFD" w:rsidRDefault="00C31E9B" w:rsidP="00C31E9B">
            <w:pPr>
              <w:rPr>
                <w:b/>
                <w:sz w:val="22"/>
                <w:szCs w:val="22"/>
                <w:lang w:eastAsia="en-US"/>
              </w:rPr>
            </w:pPr>
          </w:p>
        </w:tc>
        <w:tc>
          <w:tcPr>
            <w:tcW w:w="2070" w:type="dxa"/>
          </w:tcPr>
          <w:p w14:paraId="6B8A2E68" w14:textId="2EA3B2BC" w:rsidR="00C31E9B" w:rsidRPr="001D6AFD" w:rsidRDefault="00C31E9B" w:rsidP="00C31E9B">
            <w:pPr>
              <w:rPr>
                <w:b/>
                <w:sz w:val="22"/>
                <w:szCs w:val="22"/>
                <w:lang w:eastAsia="en-US"/>
              </w:rPr>
            </w:pPr>
            <w:r w:rsidRPr="001D6AFD">
              <w:rPr>
                <w:rFonts w:eastAsia="Calibri"/>
                <w:sz w:val="16"/>
                <w:szCs w:val="16"/>
                <w:lang w:eastAsia="zh-CN"/>
              </w:rPr>
              <w:t>Cible : 2</w:t>
            </w:r>
          </w:p>
        </w:tc>
        <w:tc>
          <w:tcPr>
            <w:tcW w:w="2070" w:type="dxa"/>
          </w:tcPr>
          <w:p w14:paraId="2F2348B0" w14:textId="79BAF64B" w:rsidR="00C31E9B" w:rsidRPr="00696A22" w:rsidRDefault="00A86AF0" w:rsidP="00C31E9B">
            <w:pPr>
              <w:rPr>
                <w:bCs/>
                <w:sz w:val="16"/>
                <w:szCs w:val="16"/>
                <w:lang w:eastAsia="en-US"/>
              </w:rPr>
            </w:pPr>
            <w:r w:rsidRPr="00696A22">
              <w:rPr>
                <w:bCs/>
                <w:sz w:val="16"/>
                <w:szCs w:val="16"/>
                <w:lang w:eastAsia="en-US"/>
              </w:rPr>
              <w:t>02</w:t>
            </w:r>
          </w:p>
        </w:tc>
        <w:tc>
          <w:tcPr>
            <w:tcW w:w="4140" w:type="dxa"/>
          </w:tcPr>
          <w:p w14:paraId="77A859FB" w14:textId="14878A11" w:rsidR="00C31E9B" w:rsidRPr="00696A22" w:rsidRDefault="00C31E9B" w:rsidP="00C31E9B">
            <w:pPr>
              <w:rPr>
                <w:bCs/>
                <w:sz w:val="16"/>
                <w:szCs w:val="16"/>
                <w:lang w:eastAsia="en-US"/>
              </w:rPr>
            </w:pPr>
          </w:p>
        </w:tc>
      </w:tr>
      <w:tr w:rsidR="00C31E9B" w:rsidRPr="001D6AFD" w14:paraId="51EEF86D" w14:textId="77777777" w:rsidTr="00826923">
        <w:trPr>
          <w:trHeight w:val="422"/>
        </w:trPr>
        <w:tc>
          <w:tcPr>
            <w:tcW w:w="1530" w:type="dxa"/>
            <w:vMerge/>
          </w:tcPr>
          <w:p w14:paraId="72058352" w14:textId="77777777" w:rsidR="00C31E9B" w:rsidRPr="001D6AFD" w:rsidRDefault="00C31E9B" w:rsidP="00C31E9B">
            <w:pPr>
              <w:rPr>
                <w:b/>
                <w:szCs w:val="20"/>
                <w:lang w:eastAsia="en-US"/>
              </w:rPr>
            </w:pPr>
          </w:p>
        </w:tc>
        <w:tc>
          <w:tcPr>
            <w:tcW w:w="2070" w:type="dxa"/>
            <w:shd w:val="clear" w:color="auto" w:fill="EEECE1"/>
          </w:tcPr>
          <w:p w14:paraId="58D0D198" w14:textId="5B704B06" w:rsidR="00C31E9B" w:rsidRPr="001D6AFD" w:rsidRDefault="00C31E9B" w:rsidP="00C31E9B">
            <w:pPr>
              <w:jc w:val="both"/>
              <w:rPr>
                <w:lang w:eastAsia="en-US"/>
              </w:rPr>
            </w:pPr>
            <w:r w:rsidRPr="001D6AFD">
              <w:rPr>
                <w:lang w:eastAsia="en-US"/>
              </w:rPr>
              <w:t>Indicateur 1.3.6</w:t>
            </w:r>
          </w:p>
          <w:p w14:paraId="588BCD49" w14:textId="5E05A61C" w:rsidR="00C31E9B" w:rsidRPr="001D6AFD" w:rsidRDefault="00C31E9B" w:rsidP="00C31E9B">
            <w:pPr>
              <w:jc w:val="both"/>
              <w:rPr>
                <w:szCs w:val="20"/>
                <w:lang w:eastAsia="en-US"/>
              </w:rPr>
            </w:pPr>
            <w:r w:rsidRPr="001D6AFD">
              <w:rPr>
                <w:rFonts w:eastAsia="Calibri"/>
                <w:sz w:val="16"/>
                <w:szCs w:val="16"/>
                <w:lang w:eastAsia="zh-CN"/>
              </w:rPr>
              <w:t># d’ateliers de renforcement des activités organisés</w:t>
            </w:r>
          </w:p>
        </w:tc>
        <w:tc>
          <w:tcPr>
            <w:tcW w:w="1530" w:type="dxa"/>
            <w:shd w:val="clear" w:color="auto" w:fill="EEECE1"/>
          </w:tcPr>
          <w:p w14:paraId="19C25D9C"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064F43F6" w14:textId="77777777" w:rsidR="00C31E9B" w:rsidRPr="001D6AFD" w:rsidRDefault="00C31E9B" w:rsidP="00C31E9B">
            <w:pPr>
              <w:rPr>
                <w:b/>
                <w:sz w:val="22"/>
                <w:szCs w:val="22"/>
                <w:lang w:eastAsia="en-US"/>
              </w:rPr>
            </w:pPr>
          </w:p>
        </w:tc>
        <w:tc>
          <w:tcPr>
            <w:tcW w:w="1620" w:type="dxa"/>
            <w:shd w:val="clear" w:color="auto" w:fill="EEECE1"/>
          </w:tcPr>
          <w:p w14:paraId="10A2B8EA"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29EEF110" w14:textId="10CFD81E" w:rsidR="00C31E9B" w:rsidRPr="001D6AFD" w:rsidRDefault="00C31E9B" w:rsidP="00C31E9B">
            <w:pPr>
              <w:rPr>
                <w:b/>
                <w:sz w:val="22"/>
                <w:szCs w:val="22"/>
                <w:lang w:eastAsia="en-US"/>
              </w:rPr>
            </w:pPr>
          </w:p>
        </w:tc>
        <w:tc>
          <w:tcPr>
            <w:tcW w:w="2070" w:type="dxa"/>
          </w:tcPr>
          <w:p w14:paraId="4EA2AB3C" w14:textId="4D9C9D75" w:rsidR="00C31E9B" w:rsidRPr="001D6AFD" w:rsidRDefault="00C31E9B" w:rsidP="00C31E9B">
            <w:pPr>
              <w:rPr>
                <w:b/>
                <w:sz w:val="22"/>
                <w:szCs w:val="22"/>
                <w:lang w:eastAsia="en-US"/>
              </w:rPr>
            </w:pPr>
            <w:r w:rsidRPr="001D6AFD">
              <w:rPr>
                <w:rFonts w:eastAsia="Calibri"/>
                <w:sz w:val="16"/>
                <w:szCs w:val="16"/>
                <w:lang w:eastAsia="zh-CN"/>
              </w:rPr>
              <w:t>Cible : 2</w:t>
            </w:r>
          </w:p>
        </w:tc>
        <w:tc>
          <w:tcPr>
            <w:tcW w:w="2070" w:type="dxa"/>
          </w:tcPr>
          <w:p w14:paraId="518FEE05" w14:textId="0C51710A" w:rsidR="00C31E9B" w:rsidRPr="00696A22" w:rsidRDefault="00C31E9B" w:rsidP="00C31E9B">
            <w:pPr>
              <w:rPr>
                <w:bCs/>
                <w:sz w:val="16"/>
                <w:szCs w:val="16"/>
                <w:lang w:eastAsia="en-US"/>
              </w:rPr>
            </w:pPr>
          </w:p>
        </w:tc>
        <w:tc>
          <w:tcPr>
            <w:tcW w:w="4140" w:type="dxa"/>
          </w:tcPr>
          <w:p w14:paraId="19AB0BC3" w14:textId="2B6A56D0" w:rsidR="00C31E9B" w:rsidRPr="00696A22" w:rsidRDefault="00C31E9B" w:rsidP="00C31E9B">
            <w:pPr>
              <w:rPr>
                <w:bCs/>
                <w:sz w:val="16"/>
                <w:szCs w:val="16"/>
                <w:lang w:eastAsia="en-US"/>
              </w:rPr>
            </w:pPr>
            <w:r w:rsidRPr="00696A22">
              <w:rPr>
                <w:bCs/>
                <w:sz w:val="16"/>
                <w:szCs w:val="16"/>
                <w:lang w:eastAsia="en-US"/>
              </w:rPr>
              <w:t>0</w:t>
            </w:r>
          </w:p>
        </w:tc>
      </w:tr>
      <w:tr w:rsidR="00C31E9B" w:rsidRPr="001D6AFD" w14:paraId="7B8139A0" w14:textId="77777777" w:rsidTr="00826923">
        <w:trPr>
          <w:trHeight w:val="422"/>
        </w:trPr>
        <w:tc>
          <w:tcPr>
            <w:tcW w:w="1530" w:type="dxa"/>
            <w:vMerge w:val="restart"/>
          </w:tcPr>
          <w:p w14:paraId="2A9C6681" w14:textId="77777777" w:rsidR="00C31E9B" w:rsidRPr="001D6AFD" w:rsidRDefault="00C31E9B" w:rsidP="00C31E9B">
            <w:pPr>
              <w:rPr>
                <w:szCs w:val="20"/>
                <w:lang w:eastAsia="en-US"/>
              </w:rPr>
            </w:pPr>
            <w:r w:rsidRPr="001D6AFD">
              <w:rPr>
                <w:szCs w:val="20"/>
                <w:lang w:eastAsia="en-US"/>
              </w:rPr>
              <w:t>Produit 1.4</w:t>
            </w:r>
          </w:p>
          <w:p w14:paraId="4D153369" w14:textId="1509F558" w:rsidR="00C31E9B" w:rsidRPr="001D6AFD" w:rsidRDefault="00C31E9B" w:rsidP="00C31E9B">
            <w:pPr>
              <w:rPr>
                <w:szCs w:val="20"/>
                <w:lang w:eastAsia="en-US"/>
              </w:rPr>
            </w:pPr>
            <w:r w:rsidRPr="001D6AFD">
              <w:rPr>
                <w:rFonts w:eastAsia="Calibri"/>
                <w:sz w:val="16"/>
                <w:szCs w:val="16"/>
                <w:lang w:eastAsia="zh-CN"/>
              </w:rPr>
              <w:t>Le suivi et évaluation du portefeuille du PEF est assuré.</w:t>
            </w:r>
          </w:p>
        </w:tc>
        <w:tc>
          <w:tcPr>
            <w:tcW w:w="2070" w:type="dxa"/>
            <w:shd w:val="clear" w:color="auto" w:fill="EEECE1"/>
          </w:tcPr>
          <w:p w14:paraId="70524AFA" w14:textId="732EDA57" w:rsidR="00C31E9B" w:rsidRPr="001D6AFD" w:rsidRDefault="00C31E9B" w:rsidP="00C31E9B">
            <w:pPr>
              <w:jc w:val="both"/>
              <w:rPr>
                <w:lang w:eastAsia="en-US"/>
              </w:rPr>
            </w:pPr>
            <w:r w:rsidRPr="001D6AFD">
              <w:rPr>
                <w:lang w:eastAsia="en-US"/>
              </w:rPr>
              <w:t>Indicateur 1.4.1</w:t>
            </w:r>
          </w:p>
          <w:p w14:paraId="6F3C0BDE" w14:textId="20135F65" w:rsidR="00C31E9B" w:rsidRPr="001D6AFD" w:rsidRDefault="00C31E9B" w:rsidP="00C31E9B">
            <w:pPr>
              <w:jc w:val="both"/>
              <w:rPr>
                <w:szCs w:val="20"/>
                <w:lang w:eastAsia="en-US"/>
              </w:rPr>
            </w:pPr>
            <w:r w:rsidRPr="001D6AFD">
              <w:rPr>
                <w:rFonts w:eastAsia="Calibri"/>
                <w:sz w:val="16"/>
                <w:szCs w:val="16"/>
                <w:lang w:eastAsia="zh-CN"/>
              </w:rPr>
              <w:t># Plans de suivi/évaluation annuels par projet appuyés et approuvés par le Secrétariat du PBF</w:t>
            </w:r>
          </w:p>
        </w:tc>
        <w:tc>
          <w:tcPr>
            <w:tcW w:w="1530" w:type="dxa"/>
            <w:shd w:val="clear" w:color="auto" w:fill="EEECE1"/>
          </w:tcPr>
          <w:p w14:paraId="749A094A" w14:textId="77777777" w:rsidR="00C31E9B" w:rsidRPr="001D6AFD" w:rsidRDefault="00C31E9B" w:rsidP="00C31E9B">
            <w:pPr>
              <w:autoSpaceDE w:val="0"/>
              <w:autoSpaceDN w:val="0"/>
              <w:adjustRightInd w:val="0"/>
              <w:rPr>
                <w:rFonts w:eastAsia="Calibri"/>
                <w:sz w:val="16"/>
                <w:szCs w:val="16"/>
                <w:lang w:val="en-US" w:eastAsia="zh-CN"/>
              </w:rPr>
            </w:pPr>
            <w:r w:rsidRPr="001D6AFD">
              <w:rPr>
                <w:rFonts w:eastAsia="Calibri"/>
                <w:sz w:val="16"/>
                <w:szCs w:val="16"/>
                <w:lang w:val="en-US" w:eastAsia="zh-CN"/>
              </w:rPr>
              <w:t xml:space="preserve">Niveau de </w:t>
            </w:r>
            <w:proofErr w:type="spellStart"/>
            <w:proofErr w:type="gramStart"/>
            <w:r w:rsidRPr="001D6AFD">
              <w:rPr>
                <w:rFonts w:eastAsia="Calibri"/>
                <w:sz w:val="16"/>
                <w:szCs w:val="16"/>
                <w:lang w:val="en-US" w:eastAsia="zh-CN"/>
              </w:rPr>
              <w:t>référence</w:t>
            </w:r>
            <w:proofErr w:type="spellEnd"/>
            <w:r w:rsidRPr="001D6AFD">
              <w:rPr>
                <w:rFonts w:eastAsia="Calibri"/>
                <w:sz w:val="16"/>
                <w:szCs w:val="16"/>
                <w:lang w:val="en-US" w:eastAsia="zh-CN"/>
              </w:rPr>
              <w:t xml:space="preserve"> :</w:t>
            </w:r>
            <w:proofErr w:type="gramEnd"/>
            <w:r w:rsidRPr="001D6AFD">
              <w:rPr>
                <w:rFonts w:eastAsia="Calibri"/>
                <w:sz w:val="16"/>
                <w:szCs w:val="16"/>
                <w:lang w:val="en-US" w:eastAsia="zh-CN"/>
              </w:rPr>
              <w:t xml:space="preserve"> 0</w:t>
            </w:r>
          </w:p>
          <w:p w14:paraId="6DA04040" w14:textId="223F61DC" w:rsidR="00C31E9B" w:rsidRPr="001D6AFD" w:rsidRDefault="00C31E9B" w:rsidP="00C31E9B"/>
        </w:tc>
        <w:tc>
          <w:tcPr>
            <w:tcW w:w="1620" w:type="dxa"/>
            <w:shd w:val="clear" w:color="auto" w:fill="EEECE1"/>
          </w:tcPr>
          <w:p w14:paraId="6A9E78DF" w14:textId="77777777" w:rsidR="00C31E9B" w:rsidRPr="001D6AFD" w:rsidRDefault="00C31E9B" w:rsidP="00C31E9B">
            <w:pPr>
              <w:autoSpaceDE w:val="0"/>
              <w:autoSpaceDN w:val="0"/>
              <w:adjustRightInd w:val="0"/>
              <w:rPr>
                <w:rFonts w:eastAsia="Calibri"/>
                <w:sz w:val="16"/>
                <w:szCs w:val="16"/>
                <w:lang w:val="en-US" w:eastAsia="zh-CN"/>
              </w:rPr>
            </w:pPr>
            <w:r w:rsidRPr="001D6AFD">
              <w:rPr>
                <w:rFonts w:eastAsia="Calibri"/>
                <w:sz w:val="16"/>
                <w:szCs w:val="16"/>
                <w:lang w:val="en-US" w:eastAsia="zh-CN"/>
              </w:rPr>
              <w:t xml:space="preserve">Niveau de </w:t>
            </w:r>
            <w:proofErr w:type="spellStart"/>
            <w:proofErr w:type="gramStart"/>
            <w:r w:rsidRPr="001D6AFD">
              <w:rPr>
                <w:rFonts w:eastAsia="Calibri"/>
                <w:sz w:val="16"/>
                <w:szCs w:val="16"/>
                <w:lang w:val="en-US" w:eastAsia="zh-CN"/>
              </w:rPr>
              <w:t>référence</w:t>
            </w:r>
            <w:proofErr w:type="spellEnd"/>
            <w:r w:rsidRPr="001D6AFD">
              <w:rPr>
                <w:rFonts w:eastAsia="Calibri"/>
                <w:sz w:val="16"/>
                <w:szCs w:val="16"/>
                <w:lang w:val="en-US" w:eastAsia="zh-CN"/>
              </w:rPr>
              <w:t xml:space="preserve"> :</w:t>
            </w:r>
            <w:proofErr w:type="gramEnd"/>
            <w:r w:rsidRPr="001D6AFD">
              <w:rPr>
                <w:rFonts w:eastAsia="Calibri"/>
                <w:sz w:val="16"/>
                <w:szCs w:val="16"/>
                <w:lang w:val="en-US" w:eastAsia="zh-CN"/>
              </w:rPr>
              <w:t xml:space="preserve"> 0</w:t>
            </w:r>
          </w:p>
          <w:p w14:paraId="37CDDA27" w14:textId="42B9BD43" w:rsidR="00C31E9B" w:rsidRPr="001D6AFD" w:rsidRDefault="00C31E9B" w:rsidP="00C31E9B"/>
        </w:tc>
        <w:tc>
          <w:tcPr>
            <w:tcW w:w="2070" w:type="dxa"/>
          </w:tcPr>
          <w:p w14:paraId="6F36CA3B" w14:textId="7F0F1640" w:rsidR="00C31E9B" w:rsidRPr="001D6AFD" w:rsidRDefault="00C31E9B" w:rsidP="00C31E9B">
            <w:proofErr w:type="spellStart"/>
            <w:r w:rsidRPr="001D6AFD">
              <w:rPr>
                <w:rFonts w:eastAsia="Calibri"/>
                <w:sz w:val="16"/>
                <w:szCs w:val="16"/>
                <w:lang w:val="en-US" w:eastAsia="zh-CN"/>
              </w:rPr>
              <w:t>Cible</w:t>
            </w:r>
            <w:proofErr w:type="spellEnd"/>
            <w:r w:rsidRPr="001D6AFD">
              <w:rPr>
                <w:rFonts w:eastAsia="Calibri"/>
                <w:sz w:val="16"/>
                <w:szCs w:val="16"/>
                <w:lang w:val="en-US" w:eastAsia="zh-CN"/>
              </w:rPr>
              <w:t>: 8</w:t>
            </w:r>
          </w:p>
        </w:tc>
        <w:tc>
          <w:tcPr>
            <w:tcW w:w="2070" w:type="dxa"/>
          </w:tcPr>
          <w:p w14:paraId="23F91EE3" w14:textId="7156FBA6" w:rsidR="00C31E9B" w:rsidRPr="00696A22" w:rsidRDefault="00A86AF0" w:rsidP="00C31E9B">
            <w:pPr>
              <w:rPr>
                <w:bCs/>
                <w:sz w:val="16"/>
                <w:szCs w:val="16"/>
              </w:rPr>
            </w:pPr>
            <w:r w:rsidRPr="00696A22">
              <w:rPr>
                <w:bCs/>
                <w:sz w:val="16"/>
                <w:szCs w:val="16"/>
                <w:lang w:val="en-US" w:eastAsia="en-US"/>
              </w:rPr>
              <w:fldChar w:fldCharType="begin">
                <w:ffData>
                  <w:name w:val=""/>
                  <w:enabled/>
                  <w:calcOnExit w:val="0"/>
                  <w:textInput>
                    <w:default w:val="2"/>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2</w:t>
            </w:r>
            <w:r w:rsidRPr="00696A22">
              <w:rPr>
                <w:bCs/>
                <w:sz w:val="16"/>
                <w:szCs w:val="16"/>
                <w:lang w:val="en-US" w:eastAsia="en-US"/>
              </w:rPr>
              <w:fldChar w:fldCharType="end"/>
            </w:r>
          </w:p>
        </w:tc>
        <w:tc>
          <w:tcPr>
            <w:tcW w:w="4140" w:type="dxa"/>
          </w:tcPr>
          <w:p w14:paraId="2722C235" w14:textId="3100FB47" w:rsidR="00C31E9B" w:rsidRPr="00696A22" w:rsidRDefault="00C31E9B" w:rsidP="00C31E9B">
            <w:pPr>
              <w:rPr>
                <w:bCs/>
                <w:sz w:val="16"/>
                <w:szCs w:val="16"/>
              </w:rPr>
            </w:pPr>
          </w:p>
        </w:tc>
      </w:tr>
      <w:tr w:rsidR="00C31E9B" w:rsidRPr="001D6AFD" w14:paraId="2A443379" w14:textId="77777777" w:rsidTr="00826923">
        <w:trPr>
          <w:trHeight w:val="422"/>
        </w:trPr>
        <w:tc>
          <w:tcPr>
            <w:tcW w:w="1530" w:type="dxa"/>
            <w:vMerge/>
          </w:tcPr>
          <w:p w14:paraId="278CAF2E" w14:textId="77777777" w:rsidR="00C31E9B" w:rsidRPr="001D6AFD" w:rsidRDefault="00C31E9B" w:rsidP="00C31E9B">
            <w:pPr>
              <w:rPr>
                <w:b/>
                <w:szCs w:val="20"/>
                <w:lang w:eastAsia="en-US"/>
              </w:rPr>
            </w:pPr>
          </w:p>
        </w:tc>
        <w:tc>
          <w:tcPr>
            <w:tcW w:w="2070" w:type="dxa"/>
            <w:shd w:val="clear" w:color="auto" w:fill="EEECE1"/>
          </w:tcPr>
          <w:p w14:paraId="0018E90A" w14:textId="42CE7B8B" w:rsidR="00C31E9B" w:rsidRPr="001D6AFD" w:rsidRDefault="00C31E9B" w:rsidP="00C31E9B">
            <w:pPr>
              <w:jc w:val="both"/>
              <w:rPr>
                <w:lang w:eastAsia="en-US"/>
              </w:rPr>
            </w:pPr>
            <w:r w:rsidRPr="001D6AFD">
              <w:rPr>
                <w:lang w:eastAsia="en-US"/>
              </w:rPr>
              <w:t>Indicateur 1.4.2</w:t>
            </w:r>
          </w:p>
          <w:p w14:paraId="57DD45EA" w14:textId="56B0DE7A" w:rsidR="00C31E9B" w:rsidRPr="001D6AFD" w:rsidRDefault="00C31E9B" w:rsidP="00C31E9B">
            <w:pPr>
              <w:jc w:val="both"/>
              <w:rPr>
                <w:szCs w:val="20"/>
                <w:lang w:eastAsia="en-US"/>
              </w:rPr>
            </w:pPr>
            <w:r w:rsidRPr="001D6AFD">
              <w:rPr>
                <w:rFonts w:eastAsia="Calibri"/>
                <w:sz w:val="16"/>
                <w:szCs w:val="16"/>
                <w:lang w:eastAsia="zh-CN"/>
              </w:rPr>
              <w:t xml:space="preserve"># Plans de suivi/évaluation annuels conjoints pour le portefeuille du PBF appuyés </w:t>
            </w:r>
            <w:r w:rsidRPr="001D6AFD">
              <w:rPr>
                <w:rFonts w:eastAsia="Calibri"/>
                <w:sz w:val="16"/>
                <w:szCs w:val="16"/>
                <w:lang w:eastAsia="zh-CN"/>
              </w:rPr>
              <w:lastRenderedPageBreak/>
              <w:t>par le Secrétariat du PBF et approuvés.</w:t>
            </w:r>
          </w:p>
        </w:tc>
        <w:tc>
          <w:tcPr>
            <w:tcW w:w="1530" w:type="dxa"/>
            <w:shd w:val="clear" w:color="auto" w:fill="EEECE1"/>
          </w:tcPr>
          <w:p w14:paraId="5C801D33"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lastRenderedPageBreak/>
              <w:t>Niveau de référence : 0</w:t>
            </w:r>
          </w:p>
          <w:p w14:paraId="5ED011B9" w14:textId="5A53D0DA" w:rsidR="00C31E9B" w:rsidRPr="001D6AFD" w:rsidRDefault="00C31E9B" w:rsidP="00C31E9B">
            <w:pPr>
              <w:rPr>
                <w:b/>
                <w:sz w:val="22"/>
                <w:szCs w:val="22"/>
                <w:lang w:eastAsia="en-US"/>
              </w:rPr>
            </w:pPr>
          </w:p>
        </w:tc>
        <w:tc>
          <w:tcPr>
            <w:tcW w:w="1620" w:type="dxa"/>
            <w:shd w:val="clear" w:color="auto" w:fill="EEECE1"/>
          </w:tcPr>
          <w:p w14:paraId="222EABA7"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6F44DFBD" w14:textId="0DCD908A" w:rsidR="00C31E9B" w:rsidRPr="001D6AFD" w:rsidRDefault="00C31E9B" w:rsidP="00C31E9B">
            <w:pPr>
              <w:rPr>
                <w:b/>
                <w:sz w:val="22"/>
                <w:szCs w:val="22"/>
                <w:lang w:eastAsia="en-US"/>
              </w:rPr>
            </w:pPr>
          </w:p>
        </w:tc>
        <w:tc>
          <w:tcPr>
            <w:tcW w:w="2070" w:type="dxa"/>
          </w:tcPr>
          <w:p w14:paraId="40484754" w14:textId="737BF99F" w:rsidR="00C31E9B" w:rsidRPr="001D6AFD" w:rsidRDefault="00C31E9B" w:rsidP="00C31E9B">
            <w:pPr>
              <w:rPr>
                <w:b/>
                <w:sz w:val="22"/>
                <w:szCs w:val="22"/>
                <w:lang w:eastAsia="en-US"/>
              </w:rPr>
            </w:pPr>
            <w:r w:rsidRPr="001D6AFD">
              <w:rPr>
                <w:rFonts w:eastAsia="Calibri"/>
                <w:sz w:val="16"/>
                <w:szCs w:val="16"/>
                <w:lang w:eastAsia="zh-CN"/>
              </w:rPr>
              <w:t>Cible : 2</w:t>
            </w:r>
          </w:p>
        </w:tc>
        <w:tc>
          <w:tcPr>
            <w:tcW w:w="2070" w:type="dxa"/>
          </w:tcPr>
          <w:p w14:paraId="2FE52A1F" w14:textId="54F18F23" w:rsidR="00C31E9B" w:rsidRPr="00696A22" w:rsidRDefault="00A86AF0" w:rsidP="00C31E9B">
            <w:pPr>
              <w:rPr>
                <w:bCs/>
                <w:sz w:val="16"/>
                <w:szCs w:val="16"/>
                <w:lang w:eastAsia="en-US"/>
              </w:rPr>
            </w:pPr>
            <w:r w:rsidRPr="00696A22">
              <w:rPr>
                <w:bCs/>
                <w:sz w:val="16"/>
                <w:szCs w:val="16"/>
                <w:lang w:val="en-US" w:eastAsia="en-US"/>
              </w:rPr>
              <w:fldChar w:fldCharType="begin">
                <w:ffData>
                  <w:name w:val=""/>
                  <w:enabled/>
                  <w:calcOnExit w:val="0"/>
                  <w:textInput>
                    <w:default w:val="0"/>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0</w:t>
            </w:r>
            <w:r w:rsidRPr="00696A22">
              <w:rPr>
                <w:bCs/>
                <w:sz w:val="16"/>
                <w:szCs w:val="16"/>
                <w:lang w:val="en-US" w:eastAsia="en-US"/>
              </w:rPr>
              <w:fldChar w:fldCharType="end"/>
            </w:r>
          </w:p>
        </w:tc>
        <w:tc>
          <w:tcPr>
            <w:tcW w:w="4140" w:type="dxa"/>
          </w:tcPr>
          <w:p w14:paraId="058DC17B" w14:textId="520D1358" w:rsidR="00C31E9B" w:rsidRPr="00696A22" w:rsidRDefault="00C31E9B" w:rsidP="00C31E9B">
            <w:pPr>
              <w:rPr>
                <w:bCs/>
                <w:sz w:val="16"/>
                <w:szCs w:val="16"/>
                <w:lang w:eastAsia="en-US"/>
              </w:rPr>
            </w:pPr>
          </w:p>
        </w:tc>
      </w:tr>
      <w:tr w:rsidR="00C31E9B" w:rsidRPr="001D6AFD" w14:paraId="6FC161C9" w14:textId="77777777" w:rsidTr="00826923">
        <w:trPr>
          <w:trHeight w:val="422"/>
        </w:trPr>
        <w:tc>
          <w:tcPr>
            <w:tcW w:w="1530" w:type="dxa"/>
            <w:vMerge/>
          </w:tcPr>
          <w:p w14:paraId="518330FC" w14:textId="77777777" w:rsidR="00C31E9B" w:rsidRPr="001D6AFD" w:rsidRDefault="00C31E9B" w:rsidP="00C31E9B">
            <w:pPr>
              <w:rPr>
                <w:b/>
                <w:szCs w:val="20"/>
                <w:lang w:eastAsia="en-US"/>
              </w:rPr>
            </w:pPr>
          </w:p>
        </w:tc>
        <w:tc>
          <w:tcPr>
            <w:tcW w:w="2070" w:type="dxa"/>
            <w:shd w:val="clear" w:color="auto" w:fill="EEECE1"/>
          </w:tcPr>
          <w:p w14:paraId="39ED1DD8" w14:textId="7C860775" w:rsidR="00C31E9B" w:rsidRPr="001D6AFD" w:rsidRDefault="00C31E9B" w:rsidP="00C31E9B">
            <w:pPr>
              <w:jc w:val="both"/>
              <w:rPr>
                <w:lang w:eastAsia="en-US"/>
              </w:rPr>
            </w:pPr>
            <w:r w:rsidRPr="001D6AFD">
              <w:rPr>
                <w:lang w:eastAsia="en-US"/>
              </w:rPr>
              <w:t>Indicateur 1.4.3</w:t>
            </w:r>
          </w:p>
          <w:p w14:paraId="30FB1A6D" w14:textId="589ECC05" w:rsidR="00C31E9B" w:rsidRPr="001D6AFD" w:rsidRDefault="00C31E9B" w:rsidP="00C31E9B">
            <w:pPr>
              <w:jc w:val="both"/>
              <w:rPr>
                <w:szCs w:val="20"/>
                <w:lang w:eastAsia="en-US"/>
              </w:rPr>
            </w:pPr>
            <w:r w:rsidRPr="001D6AFD">
              <w:rPr>
                <w:rFonts w:eastAsia="Calibri"/>
                <w:sz w:val="16"/>
                <w:szCs w:val="16"/>
                <w:lang w:eastAsia="zh-CN"/>
              </w:rPr>
              <w:t># de rapports semestriels, annuels et de clôture des projets examinés/bénéficiant des inputs du Secrétariat du PBF</w:t>
            </w:r>
          </w:p>
        </w:tc>
        <w:tc>
          <w:tcPr>
            <w:tcW w:w="1530" w:type="dxa"/>
            <w:shd w:val="clear" w:color="auto" w:fill="EEECE1"/>
          </w:tcPr>
          <w:p w14:paraId="2C318A23" w14:textId="5F05D2E0" w:rsidR="00C31E9B" w:rsidRPr="001D6AFD" w:rsidRDefault="00C31E9B" w:rsidP="00C31E9B">
            <w:pPr>
              <w:rPr>
                <w:b/>
                <w:sz w:val="22"/>
                <w:szCs w:val="22"/>
                <w:lang w:eastAsia="en-US"/>
              </w:rPr>
            </w:pPr>
            <w:r w:rsidRPr="001D6AFD">
              <w:rPr>
                <w:rFonts w:eastAsia="Calibri"/>
                <w:sz w:val="16"/>
                <w:szCs w:val="16"/>
                <w:lang w:eastAsia="zh-CN"/>
              </w:rPr>
              <w:t>Niveau de référence : 0</w:t>
            </w:r>
          </w:p>
        </w:tc>
        <w:tc>
          <w:tcPr>
            <w:tcW w:w="1620" w:type="dxa"/>
            <w:shd w:val="clear" w:color="auto" w:fill="EEECE1"/>
          </w:tcPr>
          <w:p w14:paraId="038D1F95" w14:textId="7FB80630" w:rsidR="00C31E9B" w:rsidRPr="001D6AFD" w:rsidRDefault="00C31E9B" w:rsidP="00C31E9B">
            <w:pPr>
              <w:rPr>
                <w:b/>
                <w:sz w:val="22"/>
                <w:szCs w:val="22"/>
                <w:lang w:eastAsia="en-US"/>
              </w:rPr>
            </w:pPr>
            <w:r w:rsidRPr="001D6AFD">
              <w:rPr>
                <w:rFonts w:eastAsia="Calibri"/>
                <w:sz w:val="16"/>
                <w:szCs w:val="16"/>
                <w:lang w:eastAsia="zh-CN"/>
              </w:rPr>
              <w:t>Niveau de référence : 0</w:t>
            </w:r>
          </w:p>
        </w:tc>
        <w:tc>
          <w:tcPr>
            <w:tcW w:w="2070" w:type="dxa"/>
          </w:tcPr>
          <w:p w14:paraId="580159D0" w14:textId="107AB36F" w:rsidR="00C31E9B" w:rsidRPr="001D6AFD" w:rsidRDefault="00C31E9B" w:rsidP="00C31E9B">
            <w:pPr>
              <w:rPr>
                <w:b/>
                <w:sz w:val="22"/>
                <w:szCs w:val="22"/>
                <w:lang w:eastAsia="en-US"/>
              </w:rPr>
            </w:pPr>
            <w:r w:rsidRPr="001D6AFD">
              <w:rPr>
                <w:rFonts w:eastAsia="Calibri"/>
                <w:sz w:val="16"/>
                <w:szCs w:val="16"/>
                <w:lang w:eastAsia="zh-CN"/>
              </w:rPr>
              <w:t>Cible : 35</w:t>
            </w:r>
          </w:p>
        </w:tc>
        <w:tc>
          <w:tcPr>
            <w:tcW w:w="2070" w:type="dxa"/>
          </w:tcPr>
          <w:p w14:paraId="46DF73BA" w14:textId="4AE0A3DC" w:rsidR="00C31E9B" w:rsidRPr="00696A22" w:rsidRDefault="00846808" w:rsidP="00C31E9B">
            <w:pPr>
              <w:rPr>
                <w:bCs/>
                <w:sz w:val="16"/>
                <w:szCs w:val="16"/>
                <w:lang w:eastAsia="en-US"/>
              </w:rPr>
            </w:pPr>
            <w:r w:rsidRPr="00696A22">
              <w:rPr>
                <w:bCs/>
                <w:sz w:val="16"/>
                <w:szCs w:val="16"/>
                <w:lang w:eastAsia="en-US"/>
              </w:rPr>
              <w:t>13</w:t>
            </w:r>
          </w:p>
        </w:tc>
        <w:tc>
          <w:tcPr>
            <w:tcW w:w="4140" w:type="dxa"/>
          </w:tcPr>
          <w:p w14:paraId="05678762" w14:textId="267FFA77" w:rsidR="00C31E9B" w:rsidRPr="00696A22" w:rsidRDefault="00C31E9B" w:rsidP="00C31E9B">
            <w:pPr>
              <w:rPr>
                <w:bCs/>
                <w:sz w:val="16"/>
                <w:szCs w:val="16"/>
                <w:lang w:eastAsia="en-US"/>
              </w:rPr>
            </w:pPr>
          </w:p>
        </w:tc>
      </w:tr>
      <w:tr w:rsidR="00C31E9B" w:rsidRPr="001D6AFD" w14:paraId="509FA625" w14:textId="77777777" w:rsidTr="00826923">
        <w:trPr>
          <w:trHeight w:val="422"/>
        </w:trPr>
        <w:tc>
          <w:tcPr>
            <w:tcW w:w="1530" w:type="dxa"/>
            <w:vMerge/>
          </w:tcPr>
          <w:p w14:paraId="772F0856" w14:textId="77777777" w:rsidR="00C31E9B" w:rsidRPr="001D6AFD" w:rsidRDefault="00C31E9B" w:rsidP="00C31E9B">
            <w:pPr>
              <w:rPr>
                <w:b/>
                <w:szCs w:val="20"/>
                <w:lang w:eastAsia="en-US"/>
              </w:rPr>
            </w:pPr>
          </w:p>
        </w:tc>
        <w:tc>
          <w:tcPr>
            <w:tcW w:w="2070" w:type="dxa"/>
            <w:shd w:val="clear" w:color="auto" w:fill="EEECE1"/>
          </w:tcPr>
          <w:p w14:paraId="7D77CD43" w14:textId="71C4C054" w:rsidR="00C31E9B" w:rsidRPr="001D6AFD" w:rsidRDefault="00C31E9B" w:rsidP="00C31E9B">
            <w:pPr>
              <w:jc w:val="both"/>
              <w:rPr>
                <w:lang w:eastAsia="en-US"/>
              </w:rPr>
            </w:pPr>
            <w:r w:rsidRPr="001D6AFD">
              <w:rPr>
                <w:lang w:eastAsia="en-US"/>
              </w:rPr>
              <w:t>Indicateur 1.4.4</w:t>
            </w:r>
          </w:p>
          <w:p w14:paraId="780A8723"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 xml:space="preserve"># de consultants locaux recrutés par le Secrétariat du PBF </w:t>
            </w:r>
          </w:p>
          <w:p w14:paraId="625FBA5C" w14:textId="3946E2FE" w:rsidR="00C31E9B" w:rsidRPr="001D6AFD" w:rsidRDefault="00C31E9B" w:rsidP="00C31E9B">
            <w:pPr>
              <w:jc w:val="both"/>
              <w:rPr>
                <w:szCs w:val="20"/>
                <w:lang w:eastAsia="en-US"/>
              </w:rPr>
            </w:pPr>
          </w:p>
        </w:tc>
        <w:tc>
          <w:tcPr>
            <w:tcW w:w="1530" w:type="dxa"/>
            <w:shd w:val="clear" w:color="auto" w:fill="EEECE1"/>
          </w:tcPr>
          <w:p w14:paraId="50504C2D"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0D7D43A7" w14:textId="77777777" w:rsidR="00C31E9B" w:rsidRPr="001D6AFD" w:rsidRDefault="00C31E9B" w:rsidP="00C31E9B">
            <w:pPr>
              <w:rPr>
                <w:b/>
                <w:sz w:val="22"/>
                <w:szCs w:val="22"/>
                <w:lang w:eastAsia="en-US"/>
              </w:rPr>
            </w:pPr>
          </w:p>
        </w:tc>
        <w:tc>
          <w:tcPr>
            <w:tcW w:w="1620" w:type="dxa"/>
            <w:shd w:val="clear" w:color="auto" w:fill="EEECE1"/>
          </w:tcPr>
          <w:p w14:paraId="5F547821" w14:textId="77777777" w:rsidR="00C31E9B" w:rsidRPr="001D6AFD" w:rsidRDefault="00C31E9B" w:rsidP="00C31E9B">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1999042F" w14:textId="492303C5" w:rsidR="00C31E9B" w:rsidRPr="001D6AFD" w:rsidRDefault="00C31E9B" w:rsidP="00C31E9B">
            <w:pPr>
              <w:rPr>
                <w:b/>
                <w:sz w:val="22"/>
                <w:szCs w:val="22"/>
                <w:lang w:eastAsia="en-US"/>
              </w:rPr>
            </w:pPr>
          </w:p>
        </w:tc>
        <w:tc>
          <w:tcPr>
            <w:tcW w:w="2070" w:type="dxa"/>
          </w:tcPr>
          <w:p w14:paraId="1E42407D" w14:textId="4691627B" w:rsidR="00C31E9B" w:rsidRPr="001D6AFD" w:rsidRDefault="00C31E9B" w:rsidP="00C31E9B">
            <w:pPr>
              <w:rPr>
                <w:b/>
                <w:sz w:val="22"/>
                <w:szCs w:val="22"/>
                <w:lang w:eastAsia="en-US"/>
              </w:rPr>
            </w:pPr>
            <w:proofErr w:type="gramStart"/>
            <w:r w:rsidRPr="001D6AFD">
              <w:rPr>
                <w:rFonts w:eastAsia="Calibri"/>
                <w:sz w:val="16"/>
                <w:szCs w:val="16"/>
                <w:lang w:eastAsia="zh-CN"/>
              </w:rPr>
              <w:t>Cible:</w:t>
            </w:r>
            <w:proofErr w:type="gramEnd"/>
            <w:r w:rsidRPr="001D6AFD">
              <w:rPr>
                <w:rFonts w:eastAsia="Calibri"/>
                <w:sz w:val="16"/>
                <w:szCs w:val="16"/>
                <w:lang w:eastAsia="zh-CN"/>
              </w:rPr>
              <w:t xml:space="preserve"> 1</w:t>
            </w:r>
          </w:p>
        </w:tc>
        <w:tc>
          <w:tcPr>
            <w:tcW w:w="2070" w:type="dxa"/>
          </w:tcPr>
          <w:p w14:paraId="6EB0C4D6" w14:textId="16B85E02" w:rsidR="00C31E9B" w:rsidRPr="00696A22" w:rsidRDefault="00A86AF0" w:rsidP="00C31E9B">
            <w:pPr>
              <w:rPr>
                <w:bCs/>
                <w:sz w:val="16"/>
                <w:szCs w:val="16"/>
                <w:lang w:eastAsia="en-US"/>
              </w:rPr>
            </w:pPr>
            <w:r w:rsidRPr="00696A22">
              <w:rPr>
                <w:bCs/>
                <w:sz w:val="16"/>
                <w:szCs w:val="16"/>
                <w:lang w:eastAsia="en-US"/>
              </w:rPr>
              <w:t>0</w:t>
            </w:r>
          </w:p>
        </w:tc>
        <w:tc>
          <w:tcPr>
            <w:tcW w:w="4140" w:type="dxa"/>
          </w:tcPr>
          <w:p w14:paraId="0E7C463F" w14:textId="39FB1DBC" w:rsidR="00C31E9B" w:rsidRPr="00696A22" w:rsidRDefault="00C31E9B" w:rsidP="00C31E9B">
            <w:pPr>
              <w:rPr>
                <w:bCs/>
                <w:sz w:val="16"/>
                <w:szCs w:val="16"/>
                <w:lang w:eastAsia="en-US"/>
              </w:rPr>
            </w:pPr>
          </w:p>
        </w:tc>
      </w:tr>
      <w:tr w:rsidR="00C31E9B" w:rsidRPr="001D6AFD" w14:paraId="674B4AE0" w14:textId="77777777" w:rsidTr="00826923">
        <w:trPr>
          <w:trHeight w:val="422"/>
        </w:trPr>
        <w:tc>
          <w:tcPr>
            <w:tcW w:w="1530" w:type="dxa"/>
            <w:vMerge/>
          </w:tcPr>
          <w:p w14:paraId="032E5849" w14:textId="77777777" w:rsidR="00C31E9B" w:rsidRPr="001D6AFD" w:rsidRDefault="00C31E9B" w:rsidP="00C31E9B">
            <w:pPr>
              <w:rPr>
                <w:b/>
                <w:szCs w:val="20"/>
                <w:lang w:eastAsia="en-US"/>
              </w:rPr>
            </w:pPr>
          </w:p>
        </w:tc>
        <w:tc>
          <w:tcPr>
            <w:tcW w:w="2070" w:type="dxa"/>
            <w:shd w:val="clear" w:color="auto" w:fill="EEECE1"/>
          </w:tcPr>
          <w:p w14:paraId="6F7F0083" w14:textId="77777777" w:rsidR="00C31E9B" w:rsidRPr="001D6AFD" w:rsidRDefault="00C31E9B" w:rsidP="00C31E9B">
            <w:pPr>
              <w:jc w:val="both"/>
              <w:rPr>
                <w:lang w:eastAsia="en-US"/>
              </w:rPr>
            </w:pPr>
            <w:r w:rsidRPr="001D6AFD">
              <w:rPr>
                <w:lang w:eastAsia="en-US"/>
              </w:rPr>
              <w:t>Indicateur 1.4.5</w:t>
            </w:r>
          </w:p>
          <w:p w14:paraId="7643A469" w14:textId="77777777" w:rsidR="00C31E9B" w:rsidRPr="001D6AFD" w:rsidRDefault="00C31E9B" w:rsidP="00C31E9B">
            <w:pPr>
              <w:rPr>
                <w:sz w:val="16"/>
                <w:szCs w:val="16"/>
                <w:lang w:eastAsia="en-US"/>
              </w:rPr>
            </w:pPr>
            <w:r w:rsidRPr="001D6AFD">
              <w:rPr>
                <w:sz w:val="16"/>
                <w:szCs w:val="16"/>
                <w:lang w:eastAsia="en-US"/>
              </w:rPr>
              <w:t># d’étude d’évaluabilité disponible</w:t>
            </w:r>
          </w:p>
          <w:p w14:paraId="1C07560B" w14:textId="77777777" w:rsidR="00C31E9B" w:rsidRPr="001D6AFD" w:rsidRDefault="00C31E9B" w:rsidP="00C31E9B">
            <w:pPr>
              <w:rPr>
                <w:sz w:val="16"/>
                <w:szCs w:val="16"/>
                <w:lang w:eastAsia="en-US"/>
              </w:rPr>
            </w:pPr>
            <w:r w:rsidRPr="001D6AFD">
              <w:rPr>
                <w:sz w:val="16"/>
                <w:szCs w:val="16"/>
                <w:lang w:eastAsia="en-US"/>
              </w:rPr>
              <w:t xml:space="preserve"># d’évaluation </w:t>
            </w:r>
            <w:proofErr w:type="spellStart"/>
            <w:r w:rsidRPr="001D6AFD">
              <w:rPr>
                <w:sz w:val="16"/>
                <w:szCs w:val="16"/>
                <w:lang w:eastAsia="en-US"/>
              </w:rPr>
              <w:t>à</w:t>
            </w:r>
            <w:proofErr w:type="spellEnd"/>
            <w:r w:rsidRPr="001D6AFD">
              <w:rPr>
                <w:sz w:val="16"/>
                <w:szCs w:val="16"/>
                <w:lang w:eastAsia="en-US"/>
              </w:rPr>
              <w:t xml:space="preserve"> </w:t>
            </w:r>
            <w:proofErr w:type="spellStart"/>
            <w:r w:rsidRPr="001D6AFD">
              <w:rPr>
                <w:sz w:val="16"/>
                <w:szCs w:val="16"/>
                <w:lang w:eastAsia="en-US"/>
              </w:rPr>
              <w:t>mis-parcours</w:t>
            </w:r>
            <w:proofErr w:type="spellEnd"/>
            <w:r w:rsidRPr="001D6AFD">
              <w:rPr>
                <w:sz w:val="16"/>
                <w:szCs w:val="16"/>
                <w:lang w:eastAsia="en-US"/>
              </w:rPr>
              <w:t xml:space="preserve"> effectuée par le Secrétariat</w:t>
            </w:r>
          </w:p>
          <w:p w14:paraId="607CAE40" w14:textId="77777777" w:rsidR="00C31E9B" w:rsidRPr="001D6AFD" w:rsidRDefault="00C31E9B" w:rsidP="00C31E9B">
            <w:pPr>
              <w:rPr>
                <w:sz w:val="16"/>
                <w:szCs w:val="16"/>
                <w:lang w:eastAsia="en-US"/>
              </w:rPr>
            </w:pPr>
            <w:r w:rsidRPr="001D6AFD">
              <w:rPr>
                <w:sz w:val="16"/>
                <w:szCs w:val="16"/>
                <w:lang w:eastAsia="en-US"/>
              </w:rPr>
              <w:t># consultants locaux recrutés par le Secrétariat</w:t>
            </w:r>
          </w:p>
          <w:p w14:paraId="2A35A751" w14:textId="77777777" w:rsidR="00C31E9B" w:rsidRPr="001D6AFD" w:rsidRDefault="00C31E9B" w:rsidP="00C31E9B">
            <w:pPr>
              <w:rPr>
                <w:sz w:val="16"/>
                <w:szCs w:val="16"/>
                <w:lang w:eastAsia="en-US"/>
              </w:rPr>
            </w:pPr>
            <w:r w:rsidRPr="001D6AFD">
              <w:rPr>
                <w:sz w:val="16"/>
                <w:szCs w:val="16"/>
                <w:lang w:eastAsia="en-US"/>
              </w:rPr>
              <w:t xml:space="preserve">#évaluation finale </w:t>
            </w:r>
          </w:p>
          <w:p w14:paraId="23FDA3F1" w14:textId="67608EA3" w:rsidR="00C31E9B" w:rsidRPr="001D6AFD" w:rsidRDefault="00C31E9B" w:rsidP="00C31E9B">
            <w:pPr>
              <w:jc w:val="both"/>
              <w:rPr>
                <w:lang w:eastAsia="en-US"/>
              </w:rPr>
            </w:pPr>
            <w:proofErr w:type="gramStart"/>
            <w:r w:rsidRPr="001D6AFD">
              <w:rPr>
                <w:sz w:val="16"/>
                <w:szCs w:val="16"/>
                <w:lang w:eastAsia="en-US"/>
              </w:rPr>
              <w:t>disponible</w:t>
            </w:r>
            <w:proofErr w:type="gramEnd"/>
            <w:r w:rsidRPr="001D6AFD">
              <w:rPr>
                <w:sz w:val="16"/>
                <w:szCs w:val="16"/>
                <w:lang w:eastAsia="en-US"/>
              </w:rPr>
              <w:t>.</w:t>
            </w:r>
          </w:p>
        </w:tc>
        <w:tc>
          <w:tcPr>
            <w:tcW w:w="1530" w:type="dxa"/>
            <w:shd w:val="clear" w:color="auto" w:fill="EEECE1"/>
          </w:tcPr>
          <w:p w14:paraId="5487099A" w14:textId="77777777" w:rsidR="00C31E9B" w:rsidRPr="001D6AFD" w:rsidRDefault="00C31E9B" w:rsidP="00C31E9B">
            <w:pPr>
              <w:autoSpaceDE w:val="0"/>
              <w:autoSpaceDN w:val="0"/>
              <w:adjustRightInd w:val="0"/>
              <w:rPr>
                <w:rFonts w:eastAsia="Calibri"/>
                <w:sz w:val="16"/>
                <w:szCs w:val="16"/>
                <w:lang w:eastAsia="zh-CN"/>
              </w:rPr>
            </w:pPr>
          </w:p>
        </w:tc>
        <w:tc>
          <w:tcPr>
            <w:tcW w:w="1620" w:type="dxa"/>
            <w:shd w:val="clear" w:color="auto" w:fill="EEECE1"/>
          </w:tcPr>
          <w:p w14:paraId="49602B17" w14:textId="77777777" w:rsidR="00C31E9B" w:rsidRPr="001D6AFD" w:rsidRDefault="00C31E9B" w:rsidP="00C31E9B">
            <w:pPr>
              <w:autoSpaceDE w:val="0"/>
              <w:autoSpaceDN w:val="0"/>
              <w:adjustRightInd w:val="0"/>
              <w:rPr>
                <w:rFonts w:eastAsia="Calibri"/>
                <w:sz w:val="16"/>
                <w:szCs w:val="16"/>
                <w:lang w:val="en-US" w:eastAsia="zh-CN"/>
              </w:rPr>
            </w:pPr>
            <w:r w:rsidRPr="001D6AFD">
              <w:rPr>
                <w:rFonts w:eastAsia="Calibri"/>
                <w:sz w:val="16"/>
                <w:szCs w:val="16"/>
                <w:lang w:val="en-US" w:eastAsia="zh-CN"/>
              </w:rPr>
              <w:t xml:space="preserve">Niveau de </w:t>
            </w:r>
            <w:proofErr w:type="spellStart"/>
            <w:proofErr w:type="gramStart"/>
            <w:r w:rsidRPr="001D6AFD">
              <w:rPr>
                <w:rFonts w:eastAsia="Calibri"/>
                <w:sz w:val="16"/>
                <w:szCs w:val="16"/>
                <w:lang w:val="en-US" w:eastAsia="zh-CN"/>
              </w:rPr>
              <w:t>référence</w:t>
            </w:r>
            <w:proofErr w:type="spellEnd"/>
            <w:r w:rsidRPr="001D6AFD">
              <w:rPr>
                <w:rFonts w:eastAsia="Calibri"/>
                <w:sz w:val="16"/>
                <w:szCs w:val="16"/>
                <w:lang w:val="en-US" w:eastAsia="zh-CN"/>
              </w:rPr>
              <w:t xml:space="preserve"> :</w:t>
            </w:r>
            <w:proofErr w:type="gramEnd"/>
            <w:r w:rsidRPr="001D6AFD">
              <w:rPr>
                <w:rFonts w:eastAsia="Calibri"/>
                <w:sz w:val="16"/>
                <w:szCs w:val="16"/>
                <w:lang w:val="en-US" w:eastAsia="zh-CN"/>
              </w:rPr>
              <w:t xml:space="preserve"> 0</w:t>
            </w:r>
          </w:p>
          <w:p w14:paraId="5B883A80" w14:textId="77777777" w:rsidR="00C31E9B" w:rsidRPr="001D6AFD" w:rsidRDefault="00C31E9B" w:rsidP="00C31E9B">
            <w:pPr>
              <w:jc w:val="both"/>
              <w:rPr>
                <w:lang w:eastAsia="en-US"/>
              </w:rPr>
            </w:pPr>
          </w:p>
        </w:tc>
        <w:tc>
          <w:tcPr>
            <w:tcW w:w="2070" w:type="dxa"/>
          </w:tcPr>
          <w:p w14:paraId="14392D60" w14:textId="0E321BB3" w:rsidR="00C31E9B" w:rsidRPr="001D6AFD" w:rsidRDefault="00C31E9B" w:rsidP="00C31E9B">
            <w:pPr>
              <w:autoSpaceDE w:val="0"/>
              <w:autoSpaceDN w:val="0"/>
              <w:adjustRightInd w:val="0"/>
              <w:rPr>
                <w:rFonts w:eastAsia="Calibri"/>
                <w:sz w:val="16"/>
                <w:szCs w:val="16"/>
                <w:lang w:eastAsia="zh-CN"/>
              </w:rPr>
            </w:pPr>
            <w:proofErr w:type="spellStart"/>
            <w:r w:rsidRPr="001D6AFD">
              <w:rPr>
                <w:rFonts w:eastAsia="Calibri"/>
                <w:sz w:val="16"/>
                <w:szCs w:val="16"/>
                <w:lang w:val="en-US" w:eastAsia="zh-CN"/>
              </w:rPr>
              <w:t>Cible</w:t>
            </w:r>
            <w:proofErr w:type="spellEnd"/>
            <w:r w:rsidRPr="001D6AFD">
              <w:rPr>
                <w:rFonts w:eastAsia="Calibri"/>
                <w:sz w:val="16"/>
                <w:szCs w:val="16"/>
                <w:lang w:val="en-US" w:eastAsia="zh-CN"/>
              </w:rPr>
              <w:t>: 8</w:t>
            </w:r>
          </w:p>
        </w:tc>
        <w:tc>
          <w:tcPr>
            <w:tcW w:w="2070" w:type="dxa"/>
          </w:tcPr>
          <w:p w14:paraId="708E6C6D" w14:textId="6B08DE63" w:rsidR="00C31E9B" w:rsidRPr="00696A22" w:rsidRDefault="00A86AF0" w:rsidP="00C31E9B">
            <w:pPr>
              <w:jc w:val="both"/>
              <w:rPr>
                <w:bCs/>
                <w:sz w:val="16"/>
                <w:szCs w:val="16"/>
                <w:lang w:eastAsia="en-US"/>
              </w:rPr>
            </w:pPr>
            <w:r w:rsidRPr="00696A22">
              <w:rPr>
                <w:bCs/>
                <w:sz w:val="16"/>
                <w:szCs w:val="16"/>
                <w:lang w:val="en-US" w:eastAsia="en-US"/>
              </w:rPr>
              <w:fldChar w:fldCharType="begin">
                <w:ffData>
                  <w:name w:val=""/>
                  <w:enabled/>
                  <w:calcOnExit w:val="0"/>
                  <w:textInput>
                    <w:default w:val="0"/>
                    <w:maxLength w:val="300"/>
                  </w:textInput>
                </w:ffData>
              </w:fldChar>
            </w:r>
            <w:r w:rsidRPr="00696A22">
              <w:rPr>
                <w:bCs/>
                <w:sz w:val="16"/>
                <w:szCs w:val="16"/>
                <w:lang w:val="en-US" w:eastAsia="en-US"/>
              </w:rPr>
              <w:instrText xml:space="preserve"> FORMTEXT </w:instrText>
            </w:r>
            <w:r w:rsidRPr="00696A22">
              <w:rPr>
                <w:bCs/>
                <w:sz w:val="16"/>
                <w:szCs w:val="16"/>
                <w:lang w:val="en-US" w:eastAsia="en-US"/>
              </w:rPr>
            </w:r>
            <w:r w:rsidRPr="00696A22">
              <w:rPr>
                <w:bCs/>
                <w:sz w:val="16"/>
                <w:szCs w:val="16"/>
                <w:lang w:val="en-US" w:eastAsia="en-US"/>
              </w:rPr>
              <w:fldChar w:fldCharType="separate"/>
            </w:r>
            <w:r w:rsidRPr="00696A22">
              <w:rPr>
                <w:bCs/>
                <w:noProof/>
                <w:sz w:val="16"/>
                <w:szCs w:val="16"/>
                <w:lang w:val="en-US" w:eastAsia="en-US"/>
              </w:rPr>
              <w:t>0</w:t>
            </w:r>
            <w:r w:rsidRPr="00696A22">
              <w:rPr>
                <w:bCs/>
                <w:sz w:val="16"/>
                <w:szCs w:val="16"/>
                <w:lang w:val="en-US" w:eastAsia="en-US"/>
              </w:rPr>
              <w:fldChar w:fldCharType="end"/>
            </w:r>
          </w:p>
        </w:tc>
        <w:tc>
          <w:tcPr>
            <w:tcW w:w="4140" w:type="dxa"/>
          </w:tcPr>
          <w:p w14:paraId="22E2866A" w14:textId="27A59A59" w:rsidR="00C31E9B" w:rsidRPr="00696A22" w:rsidRDefault="00C31E9B" w:rsidP="00C31E9B">
            <w:pPr>
              <w:autoSpaceDE w:val="0"/>
              <w:autoSpaceDN w:val="0"/>
              <w:adjustRightInd w:val="0"/>
              <w:rPr>
                <w:rFonts w:eastAsia="Calibri"/>
                <w:bCs/>
                <w:sz w:val="16"/>
                <w:szCs w:val="16"/>
                <w:lang w:eastAsia="zh-CN"/>
              </w:rPr>
            </w:pPr>
          </w:p>
        </w:tc>
      </w:tr>
      <w:tr w:rsidR="00C92063" w:rsidRPr="00D161D4" w14:paraId="0CA7A1F1" w14:textId="77777777" w:rsidTr="00826923">
        <w:trPr>
          <w:trHeight w:val="422"/>
        </w:trPr>
        <w:tc>
          <w:tcPr>
            <w:tcW w:w="1530" w:type="dxa"/>
            <w:vMerge w:val="restart"/>
          </w:tcPr>
          <w:p w14:paraId="15776DBE" w14:textId="77777777" w:rsidR="00C92063" w:rsidRPr="001D6AFD" w:rsidRDefault="00C92063" w:rsidP="00C92063">
            <w:pPr>
              <w:rPr>
                <w:b/>
                <w:szCs w:val="20"/>
                <w:lang w:eastAsia="en-US"/>
              </w:rPr>
            </w:pPr>
            <w:r w:rsidRPr="001D6AFD">
              <w:rPr>
                <w:b/>
                <w:szCs w:val="20"/>
                <w:lang w:eastAsia="en-US"/>
              </w:rPr>
              <w:t>Résultat 2</w:t>
            </w:r>
          </w:p>
          <w:p w14:paraId="21B9E220" w14:textId="2EE75F9C" w:rsidR="00C92063" w:rsidRPr="001D6AFD" w:rsidRDefault="00C92063" w:rsidP="00C92063">
            <w:pPr>
              <w:rPr>
                <w:b/>
                <w:szCs w:val="20"/>
                <w:lang w:eastAsia="en-US"/>
              </w:rPr>
            </w:pPr>
            <w:r w:rsidRPr="001D6AFD">
              <w:rPr>
                <w:rFonts w:eastAsia="Calibri"/>
                <w:sz w:val="16"/>
                <w:szCs w:val="16"/>
                <w:lang w:eastAsia="zh-CN"/>
              </w:rPr>
              <w:t xml:space="preserve">Le COS, le </w:t>
            </w:r>
            <w:proofErr w:type="spellStart"/>
            <w:r w:rsidRPr="001D6AFD">
              <w:rPr>
                <w:rFonts w:eastAsia="Calibri"/>
                <w:sz w:val="16"/>
                <w:szCs w:val="16"/>
                <w:lang w:eastAsia="zh-CN"/>
              </w:rPr>
              <w:t>CoPil</w:t>
            </w:r>
            <w:proofErr w:type="spellEnd"/>
            <w:r w:rsidRPr="001D6AFD">
              <w:rPr>
                <w:rFonts w:eastAsia="Calibri"/>
                <w:sz w:val="16"/>
                <w:szCs w:val="16"/>
                <w:lang w:eastAsia="zh-CN"/>
              </w:rPr>
              <w:t xml:space="preserve"> et le BCR sont appuyés afin d’assurer leur rôle d’orientation stratégique, d’endossement des projets PBF et de suivi-évaluation du portefeuille PBF</w:t>
            </w:r>
          </w:p>
          <w:p w14:paraId="73249FC4" w14:textId="77777777" w:rsidR="00C92063" w:rsidRPr="001D6AFD" w:rsidRDefault="00C92063" w:rsidP="00C92063">
            <w:pPr>
              <w:rPr>
                <w:b/>
                <w:szCs w:val="20"/>
                <w:lang w:eastAsia="en-US"/>
              </w:rPr>
            </w:pPr>
          </w:p>
        </w:tc>
        <w:tc>
          <w:tcPr>
            <w:tcW w:w="2070" w:type="dxa"/>
            <w:shd w:val="clear" w:color="auto" w:fill="EEECE1"/>
          </w:tcPr>
          <w:p w14:paraId="1D18DAEE" w14:textId="4FA69BCB" w:rsidR="00C92063" w:rsidRPr="001D6AFD" w:rsidRDefault="00C92063" w:rsidP="00C92063">
            <w:pPr>
              <w:jc w:val="both"/>
              <w:rPr>
                <w:lang w:eastAsia="en-US"/>
              </w:rPr>
            </w:pPr>
            <w:r w:rsidRPr="001D6AFD">
              <w:rPr>
                <w:lang w:eastAsia="en-US"/>
              </w:rPr>
              <w:lastRenderedPageBreak/>
              <w:t>Indicat</w:t>
            </w:r>
            <w:r w:rsidR="00C31E9B" w:rsidRPr="001D6AFD">
              <w:rPr>
                <w:lang w:eastAsia="en-US"/>
              </w:rPr>
              <w:t>eu</w:t>
            </w:r>
            <w:r w:rsidRPr="001D6AFD">
              <w:rPr>
                <w:lang w:eastAsia="en-US"/>
              </w:rPr>
              <w:t>r 2.1</w:t>
            </w:r>
          </w:p>
          <w:p w14:paraId="5579C4A1" w14:textId="5D93958E" w:rsidR="00C92063" w:rsidRPr="001D6AFD" w:rsidRDefault="00C92063" w:rsidP="00C92063">
            <w:pPr>
              <w:jc w:val="both"/>
              <w:rPr>
                <w:szCs w:val="20"/>
                <w:lang w:eastAsia="en-US"/>
              </w:rPr>
            </w:pPr>
            <w:r w:rsidRPr="001D6AFD">
              <w:rPr>
                <w:rFonts w:eastAsia="Calibri"/>
                <w:sz w:val="16"/>
                <w:szCs w:val="16"/>
                <w:lang w:eastAsia="zh-CN"/>
              </w:rPr>
              <w:t>Indicateur 2a : # de rapports annuels de progrès approuves par le COS sur l'ensemble du portefeuille PBF</w:t>
            </w:r>
          </w:p>
        </w:tc>
        <w:tc>
          <w:tcPr>
            <w:tcW w:w="1530" w:type="dxa"/>
            <w:shd w:val="clear" w:color="auto" w:fill="EEECE1"/>
          </w:tcPr>
          <w:p w14:paraId="5B348879"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Niveau de référence : 0</w:t>
            </w:r>
          </w:p>
          <w:p w14:paraId="3B794B07" w14:textId="4BD59150" w:rsidR="00C92063" w:rsidRPr="001D6AFD" w:rsidRDefault="00C92063" w:rsidP="00C92063"/>
        </w:tc>
        <w:tc>
          <w:tcPr>
            <w:tcW w:w="1620" w:type="dxa"/>
            <w:shd w:val="clear" w:color="auto" w:fill="EEECE1"/>
          </w:tcPr>
          <w:p w14:paraId="37400CA8" w14:textId="6A91E393" w:rsidR="00C92063" w:rsidRPr="001D6AFD" w:rsidRDefault="00C92063" w:rsidP="00C92063">
            <w:r w:rsidRPr="001D6AFD">
              <w:rPr>
                <w:rFonts w:eastAsia="Calibri"/>
                <w:sz w:val="16"/>
                <w:szCs w:val="16"/>
                <w:lang w:eastAsia="zh-CN"/>
              </w:rPr>
              <w:t>Cible : 2</w:t>
            </w:r>
          </w:p>
        </w:tc>
        <w:tc>
          <w:tcPr>
            <w:tcW w:w="2070" w:type="dxa"/>
          </w:tcPr>
          <w:p w14:paraId="2F325CF4" w14:textId="63F940CB" w:rsidR="00C92063" w:rsidRPr="001D6AFD" w:rsidRDefault="00C92063" w:rsidP="00C92063">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3A24C0E7" w14:textId="2E14633A" w:rsidR="00C92063" w:rsidRPr="00696A22" w:rsidRDefault="00C92063" w:rsidP="00C92063">
            <w:pPr>
              <w:rPr>
                <w:bCs/>
                <w:sz w:val="16"/>
                <w:szCs w:val="16"/>
              </w:rPr>
            </w:pPr>
            <w:r w:rsidRPr="00696A22">
              <w:rPr>
                <w:bCs/>
                <w:sz w:val="16"/>
                <w:szCs w:val="16"/>
                <w:lang w:val="en-US" w:eastAsia="en-US"/>
              </w:rPr>
              <w:t>0</w:t>
            </w:r>
          </w:p>
        </w:tc>
        <w:tc>
          <w:tcPr>
            <w:tcW w:w="4140" w:type="dxa"/>
          </w:tcPr>
          <w:p w14:paraId="2F09239A" w14:textId="3C5E7C2F" w:rsidR="00C92063" w:rsidRPr="00696A22" w:rsidRDefault="00846808" w:rsidP="00C92063">
            <w:pPr>
              <w:rPr>
                <w:bCs/>
                <w:sz w:val="16"/>
                <w:szCs w:val="16"/>
              </w:rPr>
            </w:pPr>
            <w:r w:rsidRPr="00696A22">
              <w:rPr>
                <w:bCs/>
                <w:sz w:val="16"/>
                <w:szCs w:val="16"/>
              </w:rPr>
              <w:t>Le COS de l’UNDAF n’est plus actif.</w:t>
            </w:r>
          </w:p>
        </w:tc>
      </w:tr>
      <w:tr w:rsidR="00C92063" w:rsidRPr="001D6AFD" w14:paraId="6DDA32A5" w14:textId="77777777" w:rsidTr="00826923">
        <w:trPr>
          <w:trHeight w:val="422"/>
        </w:trPr>
        <w:tc>
          <w:tcPr>
            <w:tcW w:w="1530" w:type="dxa"/>
            <w:vMerge/>
          </w:tcPr>
          <w:p w14:paraId="15FC499C" w14:textId="77777777" w:rsidR="00C92063" w:rsidRPr="001D6AFD" w:rsidRDefault="00C92063" w:rsidP="00C92063">
            <w:pPr>
              <w:rPr>
                <w:szCs w:val="20"/>
                <w:lang w:eastAsia="en-US"/>
              </w:rPr>
            </w:pPr>
          </w:p>
        </w:tc>
        <w:tc>
          <w:tcPr>
            <w:tcW w:w="2070" w:type="dxa"/>
            <w:shd w:val="clear" w:color="auto" w:fill="EEECE1"/>
          </w:tcPr>
          <w:p w14:paraId="6E5E7F5C" w14:textId="642138F5" w:rsidR="00C92063" w:rsidRPr="001D6AFD" w:rsidRDefault="00C92063" w:rsidP="00C92063">
            <w:pPr>
              <w:jc w:val="both"/>
              <w:rPr>
                <w:lang w:eastAsia="en-US"/>
              </w:rPr>
            </w:pPr>
            <w:r w:rsidRPr="001D6AFD">
              <w:rPr>
                <w:lang w:eastAsia="en-US"/>
              </w:rPr>
              <w:t>Indicat</w:t>
            </w:r>
            <w:r w:rsidR="00C31E9B" w:rsidRPr="001D6AFD">
              <w:rPr>
                <w:lang w:eastAsia="en-US"/>
              </w:rPr>
              <w:t>eu</w:t>
            </w:r>
            <w:r w:rsidRPr="001D6AFD">
              <w:rPr>
                <w:lang w:eastAsia="en-US"/>
              </w:rPr>
              <w:t>r 2.2</w:t>
            </w:r>
          </w:p>
          <w:p w14:paraId="3A48E7D4"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 xml:space="preserve">Indicateur 2 b : # de rapports annuels de progrès par projet PBF approuvés par le </w:t>
            </w:r>
            <w:proofErr w:type="spellStart"/>
            <w:r w:rsidRPr="001D6AFD">
              <w:rPr>
                <w:rFonts w:eastAsia="Calibri"/>
                <w:sz w:val="16"/>
                <w:szCs w:val="16"/>
                <w:lang w:eastAsia="zh-CN"/>
              </w:rPr>
              <w:t>CoPil</w:t>
            </w:r>
            <w:proofErr w:type="spellEnd"/>
          </w:p>
          <w:p w14:paraId="19F29027" w14:textId="77777777" w:rsidR="00C92063" w:rsidRPr="001D6AFD" w:rsidRDefault="00C92063" w:rsidP="00C92063">
            <w:pPr>
              <w:autoSpaceDE w:val="0"/>
              <w:autoSpaceDN w:val="0"/>
              <w:adjustRightInd w:val="0"/>
              <w:rPr>
                <w:rFonts w:eastAsia="Calibri"/>
                <w:sz w:val="16"/>
                <w:szCs w:val="16"/>
                <w:lang w:eastAsia="zh-CN"/>
              </w:rPr>
            </w:pPr>
          </w:p>
          <w:p w14:paraId="0990DD5F"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Indicateur 2 b - # de rapports annuels de suivi-évaluation approuvés par le COS sur l'ensemble du portefeuille PBF</w:t>
            </w:r>
          </w:p>
          <w:p w14:paraId="158937A4" w14:textId="77777777" w:rsidR="00C92063" w:rsidRPr="001D6AFD" w:rsidRDefault="00C92063" w:rsidP="00C92063">
            <w:pPr>
              <w:autoSpaceDE w:val="0"/>
              <w:autoSpaceDN w:val="0"/>
              <w:adjustRightInd w:val="0"/>
              <w:rPr>
                <w:rFonts w:eastAsia="Calibri"/>
                <w:sz w:val="16"/>
                <w:szCs w:val="16"/>
                <w:lang w:eastAsia="zh-CN"/>
              </w:rPr>
            </w:pPr>
          </w:p>
          <w:p w14:paraId="4C2855E9"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 xml:space="preserve">Indicateur 2b - # de rapports de suivi/évaluation par projet PBF approuvés parle </w:t>
            </w:r>
            <w:proofErr w:type="spellStart"/>
            <w:r w:rsidRPr="001D6AFD">
              <w:rPr>
                <w:rFonts w:eastAsia="Calibri"/>
                <w:sz w:val="16"/>
                <w:szCs w:val="16"/>
                <w:lang w:eastAsia="zh-CN"/>
              </w:rPr>
              <w:t>CoPil</w:t>
            </w:r>
            <w:proofErr w:type="spellEnd"/>
          </w:p>
          <w:p w14:paraId="4274A27D" w14:textId="77777777" w:rsidR="00C92063" w:rsidRPr="001D6AFD" w:rsidRDefault="00C92063" w:rsidP="00C92063">
            <w:pPr>
              <w:autoSpaceDE w:val="0"/>
              <w:autoSpaceDN w:val="0"/>
              <w:adjustRightInd w:val="0"/>
              <w:rPr>
                <w:rFonts w:eastAsia="Calibri"/>
                <w:sz w:val="16"/>
                <w:szCs w:val="16"/>
                <w:lang w:eastAsia="zh-CN"/>
              </w:rPr>
            </w:pPr>
          </w:p>
          <w:p w14:paraId="0F8A5CE5" w14:textId="77777777" w:rsidR="00C92063" w:rsidRPr="001D6AFD" w:rsidRDefault="00C92063" w:rsidP="00C92063">
            <w:pPr>
              <w:autoSpaceDE w:val="0"/>
              <w:autoSpaceDN w:val="0"/>
              <w:adjustRightInd w:val="0"/>
              <w:rPr>
                <w:rFonts w:eastAsia="Calibri"/>
                <w:sz w:val="16"/>
                <w:szCs w:val="16"/>
                <w:lang w:eastAsia="zh-CN"/>
              </w:rPr>
            </w:pPr>
          </w:p>
          <w:p w14:paraId="4E8793D2" w14:textId="542D7140" w:rsidR="00C92063" w:rsidRPr="001D6AFD" w:rsidRDefault="00C92063" w:rsidP="00C92063">
            <w:pPr>
              <w:jc w:val="both"/>
              <w:rPr>
                <w:szCs w:val="20"/>
                <w:lang w:eastAsia="en-US"/>
              </w:rPr>
            </w:pPr>
          </w:p>
        </w:tc>
        <w:tc>
          <w:tcPr>
            <w:tcW w:w="1530" w:type="dxa"/>
            <w:shd w:val="clear" w:color="auto" w:fill="EEECE1"/>
          </w:tcPr>
          <w:p w14:paraId="7504CEE9"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lastRenderedPageBreak/>
              <w:t>Niveau de référence : 0</w:t>
            </w:r>
          </w:p>
          <w:p w14:paraId="423EBDC6" w14:textId="4A1A7B9B" w:rsidR="00C92063" w:rsidRPr="001D6AFD" w:rsidRDefault="00C92063" w:rsidP="00C92063"/>
        </w:tc>
        <w:tc>
          <w:tcPr>
            <w:tcW w:w="1620" w:type="dxa"/>
            <w:shd w:val="clear" w:color="auto" w:fill="EEECE1"/>
          </w:tcPr>
          <w:p w14:paraId="7C0330A3" w14:textId="332DC49F" w:rsidR="00C92063" w:rsidRPr="001D6AFD" w:rsidRDefault="00C92063" w:rsidP="00C92063">
            <w:r w:rsidRPr="001D6AFD">
              <w:rPr>
                <w:rFonts w:eastAsia="Calibri"/>
                <w:sz w:val="16"/>
                <w:szCs w:val="16"/>
                <w:lang w:eastAsia="zh-CN"/>
              </w:rPr>
              <w:t>Cible : 2</w:t>
            </w:r>
          </w:p>
        </w:tc>
        <w:tc>
          <w:tcPr>
            <w:tcW w:w="2070" w:type="dxa"/>
          </w:tcPr>
          <w:p w14:paraId="216DEA02" w14:textId="1A66698C" w:rsidR="00C92063" w:rsidRPr="001D6AFD" w:rsidRDefault="00C92063" w:rsidP="00C92063">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10B70DE5" w14:textId="24F48673" w:rsidR="00C92063" w:rsidRPr="00696A22" w:rsidRDefault="00C92063" w:rsidP="00C92063">
            <w:pPr>
              <w:rPr>
                <w:bCs/>
                <w:sz w:val="16"/>
                <w:szCs w:val="16"/>
              </w:rPr>
            </w:pPr>
            <w:r w:rsidRPr="00696A22">
              <w:rPr>
                <w:bCs/>
                <w:sz w:val="16"/>
                <w:szCs w:val="16"/>
                <w:lang w:val="en-US" w:eastAsia="en-US"/>
              </w:rPr>
              <w:t>0</w:t>
            </w:r>
          </w:p>
        </w:tc>
        <w:tc>
          <w:tcPr>
            <w:tcW w:w="4140" w:type="dxa"/>
          </w:tcPr>
          <w:p w14:paraId="599CC263" w14:textId="4E012D18" w:rsidR="00C92063" w:rsidRPr="00696A22" w:rsidRDefault="00C92063" w:rsidP="00C92063">
            <w:pPr>
              <w:rPr>
                <w:bCs/>
                <w:sz w:val="16"/>
                <w:szCs w:val="16"/>
              </w:rPr>
            </w:pPr>
          </w:p>
        </w:tc>
      </w:tr>
      <w:tr w:rsidR="00C92063" w:rsidRPr="00D161D4" w14:paraId="66214E5C" w14:textId="77777777" w:rsidTr="00826923">
        <w:trPr>
          <w:trHeight w:val="422"/>
        </w:trPr>
        <w:tc>
          <w:tcPr>
            <w:tcW w:w="1530" w:type="dxa"/>
            <w:vMerge/>
          </w:tcPr>
          <w:p w14:paraId="66D5C63F" w14:textId="77777777" w:rsidR="00C92063" w:rsidRPr="001D6AFD" w:rsidRDefault="00C92063" w:rsidP="00C92063">
            <w:pPr>
              <w:rPr>
                <w:szCs w:val="20"/>
                <w:lang w:eastAsia="en-US"/>
              </w:rPr>
            </w:pPr>
          </w:p>
        </w:tc>
        <w:tc>
          <w:tcPr>
            <w:tcW w:w="2070" w:type="dxa"/>
            <w:shd w:val="clear" w:color="auto" w:fill="EEECE1"/>
          </w:tcPr>
          <w:p w14:paraId="54A5262A" w14:textId="76087170" w:rsidR="00C92063" w:rsidRPr="001D6AFD" w:rsidRDefault="00C31E9B" w:rsidP="00C92063">
            <w:pPr>
              <w:jc w:val="both"/>
              <w:rPr>
                <w:lang w:eastAsia="en-US"/>
              </w:rPr>
            </w:pPr>
            <w:r w:rsidRPr="001D6AFD">
              <w:rPr>
                <w:lang w:eastAsia="en-US"/>
              </w:rPr>
              <w:t>Indicateur</w:t>
            </w:r>
            <w:r w:rsidR="00C92063" w:rsidRPr="001D6AFD">
              <w:rPr>
                <w:lang w:eastAsia="en-US"/>
              </w:rPr>
              <w:t xml:space="preserve"> 2.3</w:t>
            </w:r>
          </w:p>
          <w:p w14:paraId="5EB60527"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Indicateur 2 : # de projets PBF approuvés par le COS</w:t>
            </w:r>
          </w:p>
          <w:p w14:paraId="0E0FF48E" w14:textId="29EF192A" w:rsidR="00C92063" w:rsidRPr="001D6AFD" w:rsidRDefault="00C92063" w:rsidP="00C92063">
            <w:pPr>
              <w:jc w:val="both"/>
              <w:rPr>
                <w:szCs w:val="20"/>
                <w:lang w:eastAsia="en-US"/>
              </w:rPr>
            </w:pPr>
          </w:p>
        </w:tc>
        <w:tc>
          <w:tcPr>
            <w:tcW w:w="1530" w:type="dxa"/>
            <w:shd w:val="clear" w:color="auto" w:fill="EEECE1"/>
          </w:tcPr>
          <w:p w14:paraId="1525976C" w14:textId="341A9027" w:rsidR="00C92063" w:rsidRPr="001D6AFD" w:rsidRDefault="00C92063" w:rsidP="00C92063">
            <w:r w:rsidRPr="001D6AFD">
              <w:rPr>
                <w:rFonts w:eastAsia="Calibri"/>
                <w:sz w:val="16"/>
                <w:szCs w:val="16"/>
                <w:lang w:eastAsia="zh-CN"/>
              </w:rPr>
              <w:t>Niveau de référence : 0</w:t>
            </w:r>
          </w:p>
        </w:tc>
        <w:tc>
          <w:tcPr>
            <w:tcW w:w="1620" w:type="dxa"/>
            <w:shd w:val="clear" w:color="auto" w:fill="EEECE1"/>
          </w:tcPr>
          <w:p w14:paraId="5E2EC7AD" w14:textId="2CB9950A" w:rsidR="00C92063" w:rsidRPr="001D6AFD" w:rsidRDefault="00C92063" w:rsidP="00C92063">
            <w:r w:rsidRPr="001D6AFD">
              <w:rPr>
                <w:bCs/>
                <w:sz w:val="16"/>
                <w:szCs w:val="16"/>
                <w:lang w:eastAsia="en-US"/>
              </w:rPr>
              <w:t>Cible : 2</w:t>
            </w:r>
          </w:p>
        </w:tc>
        <w:tc>
          <w:tcPr>
            <w:tcW w:w="2070" w:type="dxa"/>
          </w:tcPr>
          <w:p w14:paraId="43AF0F97" w14:textId="57A1FAE9" w:rsidR="00C92063" w:rsidRPr="001D6AFD" w:rsidRDefault="00C92063" w:rsidP="00C92063">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2DF5E23B" w14:textId="7DBB146C" w:rsidR="00C92063" w:rsidRPr="00696A22" w:rsidRDefault="00C92063" w:rsidP="00C92063">
            <w:pPr>
              <w:rPr>
                <w:bCs/>
                <w:sz w:val="16"/>
                <w:szCs w:val="16"/>
              </w:rPr>
            </w:pPr>
            <w:r w:rsidRPr="00696A22">
              <w:rPr>
                <w:bCs/>
                <w:sz w:val="16"/>
                <w:szCs w:val="16"/>
                <w:lang w:val="en-US" w:eastAsia="en-US"/>
              </w:rPr>
              <w:t>0</w:t>
            </w:r>
          </w:p>
        </w:tc>
        <w:tc>
          <w:tcPr>
            <w:tcW w:w="4140" w:type="dxa"/>
          </w:tcPr>
          <w:p w14:paraId="4CF4CB1F" w14:textId="61F98B97" w:rsidR="00C92063" w:rsidRPr="00696A22" w:rsidRDefault="00846808" w:rsidP="00C92063">
            <w:pPr>
              <w:rPr>
                <w:bCs/>
                <w:sz w:val="16"/>
                <w:szCs w:val="16"/>
              </w:rPr>
            </w:pPr>
            <w:r w:rsidRPr="00696A22">
              <w:rPr>
                <w:bCs/>
                <w:sz w:val="16"/>
                <w:szCs w:val="16"/>
              </w:rPr>
              <w:t>Le COS de l’UNDAF n’est plus actif.</w:t>
            </w:r>
          </w:p>
        </w:tc>
      </w:tr>
      <w:tr w:rsidR="00C92063" w:rsidRPr="00D161D4" w14:paraId="24D5CF99" w14:textId="77777777" w:rsidTr="00826923">
        <w:trPr>
          <w:trHeight w:val="422"/>
        </w:trPr>
        <w:tc>
          <w:tcPr>
            <w:tcW w:w="1530" w:type="dxa"/>
            <w:vMerge w:val="restart"/>
          </w:tcPr>
          <w:p w14:paraId="26C8010E" w14:textId="77777777" w:rsidR="00C92063" w:rsidRPr="001D6AFD" w:rsidRDefault="00C92063" w:rsidP="00C92063">
            <w:pPr>
              <w:rPr>
                <w:szCs w:val="20"/>
                <w:lang w:eastAsia="en-US"/>
              </w:rPr>
            </w:pPr>
            <w:r w:rsidRPr="001D6AFD">
              <w:rPr>
                <w:szCs w:val="20"/>
                <w:lang w:eastAsia="en-US"/>
              </w:rPr>
              <w:t>Produit 2.1</w:t>
            </w:r>
          </w:p>
          <w:p w14:paraId="554A3515"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 xml:space="preserve">Les capacités du COS ct du </w:t>
            </w:r>
            <w:proofErr w:type="spellStart"/>
            <w:r w:rsidRPr="001D6AFD">
              <w:rPr>
                <w:rFonts w:eastAsia="Calibri"/>
                <w:sz w:val="16"/>
                <w:szCs w:val="16"/>
                <w:lang w:eastAsia="zh-CN"/>
              </w:rPr>
              <w:t>CoPil</w:t>
            </w:r>
            <w:proofErr w:type="spellEnd"/>
            <w:r w:rsidRPr="001D6AFD">
              <w:rPr>
                <w:rFonts w:eastAsia="Calibri"/>
                <w:sz w:val="16"/>
                <w:szCs w:val="16"/>
                <w:lang w:eastAsia="zh-CN"/>
              </w:rPr>
              <w:t xml:space="preserve"> Comité de</w:t>
            </w:r>
          </w:p>
          <w:p w14:paraId="1AE33D40"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Pilotage et des autres partenaires pertinents sont renforcées aux niveaux stratégique et technique pour assurer la supervision et le suivi-évaluation des projets du PBF.</w:t>
            </w:r>
          </w:p>
          <w:p w14:paraId="0075BE1D" w14:textId="77777777" w:rsidR="00C92063" w:rsidRPr="001D6AFD" w:rsidRDefault="00C92063" w:rsidP="00C92063">
            <w:pPr>
              <w:rPr>
                <w:b/>
                <w:szCs w:val="20"/>
                <w:lang w:eastAsia="en-US"/>
              </w:rPr>
            </w:pPr>
          </w:p>
        </w:tc>
        <w:tc>
          <w:tcPr>
            <w:tcW w:w="2070" w:type="dxa"/>
            <w:shd w:val="clear" w:color="auto" w:fill="EEECE1"/>
          </w:tcPr>
          <w:p w14:paraId="1C8B2A7B" w14:textId="66AFA3D1" w:rsidR="00C92063" w:rsidRPr="001D6AFD" w:rsidRDefault="00C31E9B" w:rsidP="00C92063">
            <w:pPr>
              <w:jc w:val="both"/>
              <w:rPr>
                <w:lang w:eastAsia="en-US"/>
              </w:rPr>
            </w:pPr>
            <w:r w:rsidRPr="001D6AFD">
              <w:rPr>
                <w:lang w:eastAsia="en-US"/>
              </w:rPr>
              <w:t>Indicateur</w:t>
            </w:r>
            <w:r w:rsidR="00C92063" w:rsidRPr="001D6AFD">
              <w:rPr>
                <w:lang w:eastAsia="en-US"/>
              </w:rPr>
              <w:t xml:space="preserve"> 2.1.1</w:t>
            </w:r>
          </w:p>
          <w:p w14:paraId="21E964E9" w14:textId="77777777" w:rsidR="00C92063" w:rsidRPr="001D6AFD" w:rsidRDefault="00C92063" w:rsidP="00C92063">
            <w:pPr>
              <w:rPr>
                <w:bCs/>
                <w:sz w:val="16"/>
                <w:szCs w:val="16"/>
                <w:lang w:eastAsia="en-US"/>
              </w:rPr>
            </w:pPr>
            <w:r w:rsidRPr="001D6AFD">
              <w:rPr>
                <w:bCs/>
                <w:sz w:val="16"/>
                <w:szCs w:val="16"/>
                <w:lang w:eastAsia="en-US"/>
              </w:rPr>
              <w:t># de réunion du COS organisées avec l’appui su Secrétariat</w:t>
            </w:r>
          </w:p>
          <w:p w14:paraId="11D10947" w14:textId="77777777" w:rsidR="00C92063" w:rsidRPr="001D6AFD" w:rsidRDefault="00C92063" w:rsidP="00C92063">
            <w:pPr>
              <w:rPr>
                <w:bCs/>
                <w:sz w:val="16"/>
                <w:szCs w:val="16"/>
                <w:lang w:eastAsia="en-US"/>
              </w:rPr>
            </w:pPr>
          </w:p>
          <w:p w14:paraId="021841C7" w14:textId="1B5D98F9" w:rsidR="00C92063" w:rsidRPr="001D6AFD" w:rsidRDefault="00C92063" w:rsidP="00C92063">
            <w:pPr>
              <w:jc w:val="both"/>
              <w:rPr>
                <w:szCs w:val="20"/>
                <w:lang w:eastAsia="en-US"/>
              </w:rPr>
            </w:pPr>
            <w:r w:rsidRPr="001D6AFD">
              <w:rPr>
                <w:bCs/>
                <w:sz w:val="16"/>
                <w:szCs w:val="16"/>
                <w:lang w:eastAsia="en-US"/>
              </w:rPr>
              <w:t xml:space="preserve"># de réunion du </w:t>
            </w:r>
            <w:proofErr w:type="spellStart"/>
            <w:r w:rsidRPr="001D6AFD">
              <w:rPr>
                <w:bCs/>
                <w:sz w:val="16"/>
                <w:szCs w:val="16"/>
                <w:lang w:eastAsia="en-US"/>
              </w:rPr>
              <w:t>CoPil</w:t>
            </w:r>
            <w:proofErr w:type="spellEnd"/>
            <w:r w:rsidRPr="001D6AFD">
              <w:rPr>
                <w:bCs/>
                <w:sz w:val="16"/>
                <w:szCs w:val="16"/>
                <w:lang w:eastAsia="en-US"/>
              </w:rPr>
              <w:t xml:space="preserve"> organisées avec l’appui su Secrétariat</w:t>
            </w:r>
          </w:p>
        </w:tc>
        <w:tc>
          <w:tcPr>
            <w:tcW w:w="1530" w:type="dxa"/>
            <w:shd w:val="clear" w:color="auto" w:fill="EEECE1"/>
          </w:tcPr>
          <w:p w14:paraId="77A025C3" w14:textId="2A6416D7" w:rsidR="00C92063" w:rsidRPr="001D6AFD" w:rsidRDefault="00C92063" w:rsidP="00C92063">
            <w:r w:rsidRPr="001D6AFD">
              <w:rPr>
                <w:rFonts w:eastAsia="Calibri"/>
                <w:sz w:val="16"/>
                <w:szCs w:val="16"/>
                <w:lang w:eastAsia="zh-CN"/>
              </w:rPr>
              <w:t>Niveau de référence : 0</w:t>
            </w:r>
          </w:p>
        </w:tc>
        <w:tc>
          <w:tcPr>
            <w:tcW w:w="1620" w:type="dxa"/>
            <w:shd w:val="clear" w:color="auto" w:fill="EEECE1"/>
          </w:tcPr>
          <w:p w14:paraId="55D5AC11" w14:textId="3CD922EA" w:rsidR="00C92063" w:rsidRPr="001D6AFD" w:rsidRDefault="00C92063" w:rsidP="00C92063">
            <w:r w:rsidRPr="001D6AFD">
              <w:rPr>
                <w:bCs/>
                <w:sz w:val="16"/>
                <w:szCs w:val="16"/>
                <w:lang w:eastAsia="en-US"/>
              </w:rPr>
              <w:t>Cible : 2</w:t>
            </w:r>
          </w:p>
        </w:tc>
        <w:tc>
          <w:tcPr>
            <w:tcW w:w="2070" w:type="dxa"/>
          </w:tcPr>
          <w:p w14:paraId="0136ED42" w14:textId="07A84FE2" w:rsidR="00C92063" w:rsidRPr="001D6AFD" w:rsidRDefault="00C92063" w:rsidP="00C92063">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3338B1BA" w14:textId="1B40711D" w:rsidR="00C92063" w:rsidRPr="00696A22" w:rsidRDefault="00C92063" w:rsidP="00C92063">
            <w:pPr>
              <w:rPr>
                <w:bCs/>
                <w:sz w:val="16"/>
                <w:szCs w:val="16"/>
              </w:rPr>
            </w:pPr>
            <w:r w:rsidRPr="00696A22">
              <w:rPr>
                <w:bCs/>
                <w:sz w:val="16"/>
                <w:szCs w:val="16"/>
                <w:lang w:val="en-US" w:eastAsia="en-US"/>
              </w:rPr>
              <w:t>1</w:t>
            </w:r>
          </w:p>
        </w:tc>
        <w:tc>
          <w:tcPr>
            <w:tcW w:w="4140" w:type="dxa"/>
          </w:tcPr>
          <w:p w14:paraId="28AF35C3" w14:textId="77777777" w:rsidR="00C92063" w:rsidRPr="00696A22" w:rsidRDefault="00846808" w:rsidP="00C92063">
            <w:pPr>
              <w:rPr>
                <w:bCs/>
                <w:sz w:val="16"/>
                <w:szCs w:val="16"/>
              </w:rPr>
            </w:pPr>
            <w:r w:rsidRPr="00696A22">
              <w:rPr>
                <w:bCs/>
                <w:sz w:val="16"/>
                <w:szCs w:val="16"/>
              </w:rPr>
              <w:t>Le COS de l’UNDAF n’est plus actif.</w:t>
            </w:r>
          </w:p>
          <w:p w14:paraId="0ACDB9ED" w14:textId="77777777" w:rsidR="00846808" w:rsidRPr="00696A22" w:rsidRDefault="00846808" w:rsidP="00C92063">
            <w:pPr>
              <w:rPr>
                <w:bCs/>
                <w:sz w:val="16"/>
                <w:szCs w:val="16"/>
              </w:rPr>
            </w:pPr>
          </w:p>
          <w:p w14:paraId="2107019E" w14:textId="3C48C7CB" w:rsidR="00846808" w:rsidRPr="00696A22" w:rsidRDefault="00846808" w:rsidP="00C92063">
            <w:pPr>
              <w:rPr>
                <w:bCs/>
                <w:sz w:val="16"/>
                <w:szCs w:val="16"/>
              </w:rPr>
            </w:pPr>
            <w:r w:rsidRPr="00696A22">
              <w:rPr>
                <w:bCs/>
                <w:sz w:val="16"/>
                <w:szCs w:val="16"/>
              </w:rPr>
              <w:t>1 deuxième réunion du COPIL est en cours d’organisation.</w:t>
            </w:r>
          </w:p>
        </w:tc>
      </w:tr>
      <w:tr w:rsidR="00C92063" w:rsidRPr="001D6AFD" w14:paraId="3E4237A1" w14:textId="77777777" w:rsidTr="00826923">
        <w:trPr>
          <w:trHeight w:val="458"/>
        </w:trPr>
        <w:tc>
          <w:tcPr>
            <w:tcW w:w="1530" w:type="dxa"/>
            <w:vMerge/>
          </w:tcPr>
          <w:p w14:paraId="3989DD76" w14:textId="77777777" w:rsidR="00C92063" w:rsidRPr="001D6AFD" w:rsidRDefault="00C92063" w:rsidP="00C92063">
            <w:pPr>
              <w:rPr>
                <w:b/>
                <w:szCs w:val="20"/>
                <w:lang w:eastAsia="en-US"/>
              </w:rPr>
            </w:pPr>
          </w:p>
        </w:tc>
        <w:tc>
          <w:tcPr>
            <w:tcW w:w="2070" w:type="dxa"/>
            <w:shd w:val="clear" w:color="auto" w:fill="EEECE1"/>
          </w:tcPr>
          <w:p w14:paraId="62C9D656" w14:textId="109C581A" w:rsidR="00C92063" w:rsidRPr="001D6AFD" w:rsidRDefault="00C31E9B" w:rsidP="00C92063">
            <w:pPr>
              <w:jc w:val="both"/>
              <w:rPr>
                <w:lang w:eastAsia="en-US"/>
              </w:rPr>
            </w:pPr>
            <w:r w:rsidRPr="001D6AFD">
              <w:rPr>
                <w:lang w:eastAsia="en-US"/>
              </w:rPr>
              <w:t>Indicateur</w:t>
            </w:r>
            <w:r w:rsidR="00C92063" w:rsidRPr="001D6AFD">
              <w:rPr>
                <w:lang w:eastAsia="en-US"/>
              </w:rPr>
              <w:t xml:space="preserve"> 2.1.2</w:t>
            </w:r>
          </w:p>
          <w:p w14:paraId="74307D7A" w14:textId="77777777" w:rsidR="00C92063" w:rsidRPr="001D6AFD" w:rsidRDefault="00C92063" w:rsidP="00C92063">
            <w:pPr>
              <w:jc w:val="both"/>
              <w:rPr>
                <w:bCs/>
                <w:sz w:val="16"/>
                <w:szCs w:val="16"/>
                <w:lang w:eastAsia="en-US"/>
              </w:rPr>
            </w:pPr>
            <w:r w:rsidRPr="001D6AFD">
              <w:rPr>
                <w:bCs/>
                <w:sz w:val="16"/>
                <w:szCs w:val="16"/>
                <w:lang w:eastAsia="en-US"/>
              </w:rPr>
              <w:t># d’atelier de renforcement de capacités organisés</w:t>
            </w:r>
          </w:p>
          <w:p w14:paraId="565108E4" w14:textId="448FFC2B" w:rsidR="00C92063" w:rsidRPr="001D6AFD" w:rsidRDefault="00C92063" w:rsidP="00C92063">
            <w:pPr>
              <w:jc w:val="both"/>
              <w:rPr>
                <w:szCs w:val="20"/>
                <w:lang w:eastAsia="en-US"/>
              </w:rPr>
            </w:pPr>
          </w:p>
        </w:tc>
        <w:tc>
          <w:tcPr>
            <w:tcW w:w="1530" w:type="dxa"/>
            <w:shd w:val="clear" w:color="auto" w:fill="EEECE1"/>
          </w:tcPr>
          <w:p w14:paraId="7DCEF98D" w14:textId="613BEE03" w:rsidR="00C92063" w:rsidRPr="001D6AFD" w:rsidRDefault="00C92063" w:rsidP="00C92063">
            <w:r w:rsidRPr="001D6AFD">
              <w:rPr>
                <w:rFonts w:eastAsia="Calibri"/>
                <w:sz w:val="16"/>
                <w:szCs w:val="16"/>
                <w:lang w:eastAsia="zh-CN"/>
              </w:rPr>
              <w:t>Niveau de référence : 0</w:t>
            </w:r>
          </w:p>
        </w:tc>
        <w:tc>
          <w:tcPr>
            <w:tcW w:w="1620" w:type="dxa"/>
            <w:shd w:val="clear" w:color="auto" w:fill="EEECE1"/>
          </w:tcPr>
          <w:p w14:paraId="0848978D" w14:textId="13361470" w:rsidR="00C92063" w:rsidRPr="001D6AFD" w:rsidRDefault="00C92063" w:rsidP="00C92063">
            <w:r w:rsidRPr="001D6AFD">
              <w:rPr>
                <w:bCs/>
                <w:sz w:val="16"/>
                <w:szCs w:val="16"/>
                <w:lang w:eastAsia="en-US"/>
              </w:rPr>
              <w:t>Cible : 2</w:t>
            </w:r>
          </w:p>
        </w:tc>
        <w:tc>
          <w:tcPr>
            <w:tcW w:w="2070" w:type="dxa"/>
          </w:tcPr>
          <w:p w14:paraId="63EAC37A" w14:textId="44C3CD69" w:rsidR="00C92063" w:rsidRPr="001D6AFD" w:rsidRDefault="00C92063" w:rsidP="00C92063">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405A158F" w14:textId="6B4F5323" w:rsidR="00C92063" w:rsidRPr="00696A22" w:rsidRDefault="004B2785" w:rsidP="00C92063">
            <w:pPr>
              <w:rPr>
                <w:bCs/>
                <w:sz w:val="16"/>
                <w:szCs w:val="16"/>
              </w:rPr>
            </w:pPr>
            <w:r w:rsidRPr="00696A22">
              <w:rPr>
                <w:bCs/>
                <w:sz w:val="16"/>
                <w:szCs w:val="16"/>
                <w:lang w:val="en-US" w:eastAsia="en-US"/>
              </w:rPr>
              <w:t>3</w:t>
            </w:r>
          </w:p>
        </w:tc>
        <w:tc>
          <w:tcPr>
            <w:tcW w:w="4140" w:type="dxa"/>
          </w:tcPr>
          <w:p w14:paraId="5AF9DA8D" w14:textId="47054813" w:rsidR="00C92063" w:rsidRPr="00696A22" w:rsidRDefault="00C92063" w:rsidP="00C92063">
            <w:pPr>
              <w:rPr>
                <w:bCs/>
                <w:sz w:val="16"/>
                <w:szCs w:val="16"/>
              </w:rPr>
            </w:pPr>
          </w:p>
        </w:tc>
      </w:tr>
      <w:tr w:rsidR="00C92063" w:rsidRPr="001D6AFD" w14:paraId="21C0CB2C" w14:textId="77777777" w:rsidTr="00826923">
        <w:trPr>
          <w:trHeight w:val="458"/>
        </w:trPr>
        <w:tc>
          <w:tcPr>
            <w:tcW w:w="1530" w:type="dxa"/>
            <w:vMerge/>
          </w:tcPr>
          <w:p w14:paraId="2B4AE4FC" w14:textId="77777777" w:rsidR="00C92063" w:rsidRPr="001D6AFD" w:rsidRDefault="00C92063" w:rsidP="00C92063">
            <w:pPr>
              <w:rPr>
                <w:b/>
                <w:szCs w:val="20"/>
                <w:lang w:eastAsia="en-US"/>
              </w:rPr>
            </w:pPr>
          </w:p>
        </w:tc>
        <w:tc>
          <w:tcPr>
            <w:tcW w:w="2070" w:type="dxa"/>
            <w:shd w:val="clear" w:color="auto" w:fill="EEECE1"/>
          </w:tcPr>
          <w:p w14:paraId="35BDFEE2" w14:textId="4F472BE4" w:rsidR="00C92063" w:rsidRPr="001D6AFD" w:rsidRDefault="00C31E9B" w:rsidP="00C92063">
            <w:pPr>
              <w:jc w:val="both"/>
              <w:rPr>
                <w:lang w:eastAsia="en-US"/>
              </w:rPr>
            </w:pPr>
            <w:r w:rsidRPr="001D6AFD">
              <w:rPr>
                <w:lang w:eastAsia="en-US"/>
              </w:rPr>
              <w:t>Indicateur</w:t>
            </w:r>
            <w:r w:rsidR="00C92063" w:rsidRPr="001D6AFD">
              <w:rPr>
                <w:lang w:eastAsia="en-US"/>
              </w:rPr>
              <w:t xml:space="preserve"> 2.1.3</w:t>
            </w:r>
          </w:p>
          <w:p w14:paraId="733F54E9" w14:textId="54E7F59F" w:rsidR="00C92063" w:rsidRPr="001D6AFD" w:rsidRDefault="00C92063" w:rsidP="00C92063">
            <w:pPr>
              <w:jc w:val="both"/>
              <w:rPr>
                <w:szCs w:val="20"/>
                <w:lang w:eastAsia="en-US"/>
              </w:rPr>
            </w:pPr>
            <w:r w:rsidRPr="001D6AFD">
              <w:rPr>
                <w:sz w:val="16"/>
                <w:szCs w:val="16"/>
                <w:lang w:eastAsia="en-US"/>
              </w:rPr>
              <w:t xml:space="preserve">% de rapports et documents relatifs aux projets PBF examinés par le secrétariat </w:t>
            </w:r>
          </w:p>
        </w:tc>
        <w:tc>
          <w:tcPr>
            <w:tcW w:w="1530" w:type="dxa"/>
            <w:shd w:val="clear" w:color="auto" w:fill="EEECE1"/>
          </w:tcPr>
          <w:p w14:paraId="5FA965C7" w14:textId="61C6C693" w:rsidR="00C92063" w:rsidRPr="001D6AFD" w:rsidRDefault="00C92063" w:rsidP="00C92063">
            <w:pPr>
              <w:rPr>
                <w:b/>
                <w:sz w:val="22"/>
                <w:szCs w:val="22"/>
                <w:lang w:eastAsia="en-US"/>
              </w:rPr>
            </w:pPr>
            <w:r w:rsidRPr="001D6AFD">
              <w:rPr>
                <w:rFonts w:eastAsia="Calibri"/>
                <w:sz w:val="16"/>
                <w:szCs w:val="16"/>
                <w:lang w:eastAsia="zh-CN"/>
              </w:rPr>
              <w:t>Niveau de référence : 0</w:t>
            </w:r>
          </w:p>
        </w:tc>
        <w:tc>
          <w:tcPr>
            <w:tcW w:w="1620" w:type="dxa"/>
            <w:shd w:val="clear" w:color="auto" w:fill="EEECE1"/>
          </w:tcPr>
          <w:p w14:paraId="00B27C4E" w14:textId="21BCF23C" w:rsidR="00C92063" w:rsidRPr="001D6AFD" w:rsidRDefault="00C92063" w:rsidP="00C92063">
            <w:pPr>
              <w:rPr>
                <w:b/>
                <w:sz w:val="22"/>
                <w:szCs w:val="22"/>
                <w:lang w:eastAsia="en-US"/>
              </w:rPr>
            </w:pPr>
            <w:r w:rsidRPr="001D6AFD">
              <w:rPr>
                <w:bCs/>
                <w:sz w:val="16"/>
                <w:szCs w:val="16"/>
                <w:lang w:eastAsia="en-US"/>
              </w:rPr>
              <w:t>Cible : 100%</w:t>
            </w:r>
          </w:p>
        </w:tc>
        <w:tc>
          <w:tcPr>
            <w:tcW w:w="2070" w:type="dxa"/>
          </w:tcPr>
          <w:p w14:paraId="5A577D39" w14:textId="68A5B2CC" w:rsidR="00C92063" w:rsidRPr="001D6AFD" w:rsidRDefault="00C92063" w:rsidP="00C92063">
            <w:pPr>
              <w:rPr>
                <w:b/>
                <w:sz w:val="22"/>
                <w:szCs w:val="22"/>
                <w:lang w:eastAsia="en-US"/>
              </w:rPr>
            </w:pPr>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696BD915" w14:textId="5BEE11C1" w:rsidR="00C92063" w:rsidRPr="00696A22" w:rsidRDefault="00A86AF0" w:rsidP="00C92063">
            <w:pPr>
              <w:rPr>
                <w:bCs/>
                <w:sz w:val="16"/>
                <w:szCs w:val="16"/>
                <w:lang w:eastAsia="en-US"/>
              </w:rPr>
            </w:pPr>
            <w:r w:rsidRPr="00696A22">
              <w:rPr>
                <w:bCs/>
                <w:sz w:val="16"/>
                <w:szCs w:val="16"/>
                <w:lang w:val="en-US" w:eastAsia="en-US"/>
              </w:rPr>
              <w:t>100%</w:t>
            </w:r>
          </w:p>
        </w:tc>
        <w:tc>
          <w:tcPr>
            <w:tcW w:w="4140" w:type="dxa"/>
          </w:tcPr>
          <w:p w14:paraId="6973FD14" w14:textId="6D399627" w:rsidR="00C92063" w:rsidRPr="00696A22" w:rsidRDefault="00C92063" w:rsidP="00C92063">
            <w:pPr>
              <w:rPr>
                <w:bCs/>
                <w:sz w:val="16"/>
                <w:szCs w:val="16"/>
                <w:lang w:eastAsia="en-US"/>
              </w:rPr>
            </w:pPr>
          </w:p>
        </w:tc>
      </w:tr>
      <w:tr w:rsidR="00C92063" w:rsidRPr="001D6AFD" w14:paraId="02A80296" w14:textId="77777777" w:rsidTr="00826923">
        <w:trPr>
          <w:trHeight w:val="458"/>
        </w:trPr>
        <w:tc>
          <w:tcPr>
            <w:tcW w:w="1530" w:type="dxa"/>
            <w:vMerge/>
          </w:tcPr>
          <w:p w14:paraId="2123C2C2" w14:textId="77777777" w:rsidR="00C92063" w:rsidRPr="001D6AFD" w:rsidRDefault="00C92063" w:rsidP="00C92063">
            <w:pPr>
              <w:rPr>
                <w:b/>
                <w:szCs w:val="20"/>
                <w:lang w:eastAsia="en-US"/>
              </w:rPr>
            </w:pPr>
          </w:p>
        </w:tc>
        <w:tc>
          <w:tcPr>
            <w:tcW w:w="2070" w:type="dxa"/>
            <w:shd w:val="clear" w:color="auto" w:fill="EEECE1"/>
          </w:tcPr>
          <w:p w14:paraId="110453A4" w14:textId="2C229A97" w:rsidR="00C92063" w:rsidRPr="001D6AFD" w:rsidRDefault="00C31E9B" w:rsidP="00C92063">
            <w:pPr>
              <w:jc w:val="both"/>
              <w:rPr>
                <w:lang w:eastAsia="en-US"/>
              </w:rPr>
            </w:pPr>
            <w:r w:rsidRPr="001D6AFD">
              <w:rPr>
                <w:lang w:eastAsia="en-US"/>
              </w:rPr>
              <w:t>Indicateur</w:t>
            </w:r>
            <w:r w:rsidR="00C92063" w:rsidRPr="001D6AFD">
              <w:rPr>
                <w:lang w:eastAsia="en-US"/>
              </w:rPr>
              <w:t xml:space="preserve"> 2.1.4</w:t>
            </w:r>
          </w:p>
          <w:p w14:paraId="73F349B1" w14:textId="6E0966B5" w:rsidR="00C92063" w:rsidRPr="001D6AFD" w:rsidRDefault="00C92063" w:rsidP="00C92063">
            <w:pPr>
              <w:jc w:val="both"/>
              <w:rPr>
                <w:szCs w:val="20"/>
                <w:lang w:eastAsia="en-US"/>
              </w:rPr>
            </w:pPr>
            <w:r w:rsidRPr="001D6AFD">
              <w:rPr>
                <w:sz w:val="16"/>
                <w:szCs w:val="16"/>
                <w:lang w:eastAsia="en-US"/>
              </w:rPr>
              <w:t>% de documents relatifs au PBF prenant en compte le genre et les droits humains</w:t>
            </w:r>
          </w:p>
        </w:tc>
        <w:tc>
          <w:tcPr>
            <w:tcW w:w="1530" w:type="dxa"/>
            <w:shd w:val="clear" w:color="auto" w:fill="EEECE1"/>
          </w:tcPr>
          <w:p w14:paraId="575F0B81" w14:textId="79B62D6E" w:rsidR="00C92063" w:rsidRPr="001D6AFD" w:rsidRDefault="00C92063" w:rsidP="00C92063">
            <w:pPr>
              <w:rPr>
                <w:b/>
                <w:sz w:val="22"/>
                <w:szCs w:val="22"/>
                <w:lang w:eastAsia="en-US"/>
              </w:rPr>
            </w:pPr>
            <w:r w:rsidRPr="001D6AFD">
              <w:rPr>
                <w:rFonts w:eastAsia="Calibri"/>
                <w:sz w:val="16"/>
                <w:szCs w:val="16"/>
                <w:lang w:eastAsia="zh-CN"/>
              </w:rPr>
              <w:t>Niveau de référence : 0</w:t>
            </w:r>
          </w:p>
        </w:tc>
        <w:tc>
          <w:tcPr>
            <w:tcW w:w="1620" w:type="dxa"/>
            <w:shd w:val="clear" w:color="auto" w:fill="EEECE1"/>
          </w:tcPr>
          <w:p w14:paraId="7449259B" w14:textId="5CF9C294" w:rsidR="00C92063" w:rsidRPr="001D6AFD" w:rsidRDefault="00C92063" w:rsidP="00C92063">
            <w:pPr>
              <w:rPr>
                <w:b/>
                <w:sz w:val="22"/>
                <w:szCs w:val="22"/>
                <w:lang w:eastAsia="en-US"/>
              </w:rPr>
            </w:pPr>
            <w:r w:rsidRPr="001D6AFD">
              <w:rPr>
                <w:bCs/>
                <w:sz w:val="16"/>
                <w:szCs w:val="16"/>
                <w:lang w:eastAsia="en-US"/>
              </w:rPr>
              <w:t>Cible : 100%</w:t>
            </w:r>
          </w:p>
        </w:tc>
        <w:tc>
          <w:tcPr>
            <w:tcW w:w="2070" w:type="dxa"/>
          </w:tcPr>
          <w:p w14:paraId="3534B208" w14:textId="74AA9E13" w:rsidR="00C92063" w:rsidRPr="001D6AFD" w:rsidRDefault="00C92063" w:rsidP="00C92063">
            <w:pPr>
              <w:rPr>
                <w:b/>
                <w:sz w:val="22"/>
                <w:szCs w:val="22"/>
                <w:lang w:eastAsia="en-US"/>
              </w:rPr>
            </w:pPr>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419EA729" w14:textId="034FC284" w:rsidR="00C92063" w:rsidRPr="00696A22" w:rsidRDefault="00A86AF0" w:rsidP="00C92063">
            <w:pPr>
              <w:rPr>
                <w:bCs/>
                <w:sz w:val="16"/>
                <w:szCs w:val="16"/>
                <w:lang w:eastAsia="en-US"/>
              </w:rPr>
            </w:pPr>
            <w:r w:rsidRPr="00696A22">
              <w:rPr>
                <w:bCs/>
                <w:sz w:val="16"/>
                <w:szCs w:val="16"/>
                <w:lang w:val="en-US" w:eastAsia="en-US"/>
              </w:rPr>
              <w:t>100%</w:t>
            </w:r>
          </w:p>
        </w:tc>
        <w:tc>
          <w:tcPr>
            <w:tcW w:w="4140" w:type="dxa"/>
          </w:tcPr>
          <w:p w14:paraId="7E7FA9F4" w14:textId="77777777" w:rsidR="00C92063" w:rsidRPr="00696A22" w:rsidRDefault="00C92063" w:rsidP="00C92063">
            <w:pPr>
              <w:rPr>
                <w:bCs/>
                <w:sz w:val="16"/>
                <w:szCs w:val="16"/>
                <w:lang w:eastAsia="en-US"/>
              </w:rPr>
            </w:pPr>
          </w:p>
        </w:tc>
      </w:tr>
      <w:tr w:rsidR="00C92063" w:rsidRPr="001D6AFD" w14:paraId="2407E0AE" w14:textId="77777777" w:rsidTr="00826923">
        <w:trPr>
          <w:trHeight w:val="512"/>
        </w:trPr>
        <w:tc>
          <w:tcPr>
            <w:tcW w:w="1530" w:type="dxa"/>
            <w:vMerge w:val="restart"/>
          </w:tcPr>
          <w:p w14:paraId="0D5CDE41" w14:textId="77777777" w:rsidR="00C92063" w:rsidRPr="001D6AFD" w:rsidRDefault="00C92063" w:rsidP="00C92063">
            <w:pPr>
              <w:rPr>
                <w:b/>
                <w:szCs w:val="20"/>
                <w:lang w:eastAsia="en-US"/>
              </w:rPr>
            </w:pPr>
          </w:p>
          <w:p w14:paraId="3EC71105" w14:textId="77777777" w:rsidR="00C92063" w:rsidRPr="001D6AFD" w:rsidRDefault="00C92063" w:rsidP="00C92063">
            <w:pPr>
              <w:rPr>
                <w:szCs w:val="20"/>
                <w:lang w:eastAsia="en-US"/>
              </w:rPr>
            </w:pPr>
            <w:r w:rsidRPr="001D6AFD">
              <w:rPr>
                <w:szCs w:val="20"/>
                <w:lang w:eastAsia="en-US"/>
              </w:rPr>
              <w:t>Produit 2.2</w:t>
            </w:r>
          </w:p>
          <w:p w14:paraId="08CE13D7"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Le plaidoyer, la communication, le partenariat et la création d’un réseau sont assurés pour promouvoir une meilleure compréhension ct connaissance du portefeuille</w:t>
            </w:r>
          </w:p>
          <w:p w14:paraId="75E4C980" w14:textId="64DBDE91" w:rsidR="00C92063" w:rsidRPr="001D6AFD" w:rsidRDefault="00C92063" w:rsidP="00C92063">
            <w:pPr>
              <w:rPr>
                <w:szCs w:val="20"/>
                <w:lang w:eastAsia="en-US"/>
              </w:rPr>
            </w:pPr>
            <w:r w:rsidRPr="001D6AFD">
              <w:rPr>
                <w:rFonts w:eastAsia="Calibri"/>
                <w:sz w:val="16"/>
                <w:szCs w:val="16"/>
                <w:lang w:eastAsia="zh-CN"/>
              </w:rPr>
              <w:t>PBF ct des résultats au sein des autorités nationales, de la société civile, des bailleurs de fonds et du grand public</w:t>
            </w:r>
          </w:p>
        </w:tc>
        <w:tc>
          <w:tcPr>
            <w:tcW w:w="2070" w:type="dxa"/>
            <w:shd w:val="clear" w:color="auto" w:fill="EEECE1"/>
          </w:tcPr>
          <w:p w14:paraId="4ED0A86B" w14:textId="00C0D1AA" w:rsidR="00C92063" w:rsidRPr="001D6AFD" w:rsidRDefault="00C92063" w:rsidP="00C92063">
            <w:pPr>
              <w:jc w:val="both"/>
              <w:rPr>
                <w:lang w:eastAsia="en-US"/>
              </w:rPr>
            </w:pPr>
            <w:r w:rsidRPr="001D6AFD">
              <w:rPr>
                <w:lang w:eastAsia="en-US"/>
              </w:rPr>
              <w:t>Indicat</w:t>
            </w:r>
            <w:r w:rsidR="00C31E9B" w:rsidRPr="001D6AFD">
              <w:rPr>
                <w:lang w:eastAsia="en-US"/>
              </w:rPr>
              <w:t>eu</w:t>
            </w:r>
            <w:r w:rsidRPr="001D6AFD">
              <w:rPr>
                <w:lang w:eastAsia="en-US"/>
              </w:rPr>
              <w:t>r 2.2.1</w:t>
            </w:r>
          </w:p>
          <w:p w14:paraId="2AEA46A0" w14:textId="35D9FF3E" w:rsidR="00C92063" w:rsidRPr="001D6AFD" w:rsidRDefault="00C92063" w:rsidP="00C92063">
            <w:pPr>
              <w:jc w:val="both"/>
              <w:rPr>
                <w:szCs w:val="20"/>
                <w:lang w:eastAsia="en-US"/>
              </w:rPr>
            </w:pPr>
            <w:r w:rsidRPr="001D6AFD">
              <w:rPr>
                <w:rFonts w:eastAsia="Calibri"/>
                <w:sz w:val="16"/>
                <w:szCs w:val="16"/>
                <w:lang w:eastAsia="zh-CN"/>
              </w:rPr>
              <w:t># de réunions pour informer les partenaires du portefeuille du PBF sur les orientations du PBF, y compris les questions de genre et les demandes en matière de rapportage</w:t>
            </w:r>
          </w:p>
        </w:tc>
        <w:tc>
          <w:tcPr>
            <w:tcW w:w="1530" w:type="dxa"/>
            <w:shd w:val="clear" w:color="auto" w:fill="EEECE1"/>
          </w:tcPr>
          <w:p w14:paraId="78A44495" w14:textId="335D89D1" w:rsidR="00C92063" w:rsidRPr="001D6AFD" w:rsidRDefault="00C92063" w:rsidP="00C92063">
            <w:r w:rsidRPr="001D6AFD">
              <w:rPr>
                <w:rFonts w:eastAsia="Calibri"/>
                <w:sz w:val="16"/>
                <w:szCs w:val="16"/>
                <w:lang w:eastAsia="zh-CN"/>
              </w:rPr>
              <w:t>Niveau de référence : 0</w:t>
            </w:r>
          </w:p>
        </w:tc>
        <w:tc>
          <w:tcPr>
            <w:tcW w:w="1620" w:type="dxa"/>
            <w:shd w:val="clear" w:color="auto" w:fill="EEECE1"/>
          </w:tcPr>
          <w:p w14:paraId="50E80DE0" w14:textId="1E92AA64" w:rsidR="00C92063" w:rsidRPr="001D6AFD" w:rsidRDefault="00C92063" w:rsidP="00C92063">
            <w:r w:rsidRPr="001D6AFD">
              <w:rPr>
                <w:bCs/>
                <w:sz w:val="16"/>
                <w:szCs w:val="16"/>
                <w:lang w:eastAsia="en-US"/>
              </w:rPr>
              <w:t>Cible : 4</w:t>
            </w:r>
          </w:p>
        </w:tc>
        <w:tc>
          <w:tcPr>
            <w:tcW w:w="2070" w:type="dxa"/>
          </w:tcPr>
          <w:p w14:paraId="71692D0E" w14:textId="31927E57" w:rsidR="00C92063" w:rsidRPr="001D6AFD" w:rsidRDefault="00C92063" w:rsidP="00C92063">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6AF25464" w14:textId="0FEFEF75" w:rsidR="00C92063" w:rsidRPr="00696A22" w:rsidRDefault="004B2785" w:rsidP="00C92063">
            <w:pPr>
              <w:rPr>
                <w:bCs/>
                <w:sz w:val="16"/>
                <w:szCs w:val="16"/>
              </w:rPr>
            </w:pPr>
            <w:r w:rsidRPr="00696A22">
              <w:rPr>
                <w:bCs/>
                <w:sz w:val="16"/>
                <w:szCs w:val="16"/>
                <w:lang w:val="en-US" w:eastAsia="en-US"/>
              </w:rPr>
              <w:t>2</w:t>
            </w:r>
          </w:p>
        </w:tc>
        <w:tc>
          <w:tcPr>
            <w:tcW w:w="4140" w:type="dxa"/>
          </w:tcPr>
          <w:p w14:paraId="6D9C6627" w14:textId="50BB43B2" w:rsidR="00C92063" w:rsidRPr="00696A22" w:rsidRDefault="00C92063" w:rsidP="00C92063">
            <w:pPr>
              <w:rPr>
                <w:bCs/>
                <w:sz w:val="16"/>
                <w:szCs w:val="16"/>
              </w:rPr>
            </w:pPr>
          </w:p>
        </w:tc>
      </w:tr>
      <w:tr w:rsidR="00C92063" w:rsidRPr="001D6AFD" w14:paraId="0D3A8502" w14:textId="77777777" w:rsidTr="00826923">
        <w:trPr>
          <w:trHeight w:val="458"/>
        </w:trPr>
        <w:tc>
          <w:tcPr>
            <w:tcW w:w="1530" w:type="dxa"/>
            <w:vMerge/>
          </w:tcPr>
          <w:p w14:paraId="5D432616" w14:textId="77777777" w:rsidR="00C92063" w:rsidRPr="001D6AFD" w:rsidRDefault="00C92063" w:rsidP="00C92063">
            <w:pPr>
              <w:rPr>
                <w:b/>
                <w:szCs w:val="20"/>
                <w:lang w:eastAsia="en-US"/>
              </w:rPr>
            </w:pPr>
          </w:p>
        </w:tc>
        <w:tc>
          <w:tcPr>
            <w:tcW w:w="2070" w:type="dxa"/>
            <w:shd w:val="clear" w:color="auto" w:fill="EEECE1"/>
          </w:tcPr>
          <w:p w14:paraId="780C41F4" w14:textId="164B72CB" w:rsidR="00C92063" w:rsidRPr="001D6AFD" w:rsidRDefault="00C92063" w:rsidP="00C92063">
            <w:pPr>
              <w:jc w:val="both"/>
              <w:rPr>
                <w:lang w:eastAsia="en-US"/>
              </w:rPr>
            </w:pPr>
            <w:proofErr w:type="gramStart"/>
            <w:r w:rsidRPr="001D6AFD">
              <w:rPr>
                <w:lang w:eastAsia="en-US"/>
              </w:rPr>
              <w:t>Indicat</w:t>
            </w:r>
            <w:r w:rsidR="00C31E9B" w:rsidRPr="001D6AFD">
              <w:rPr>
                <w:lang w:eastAsia="en-US"/>
              </w:rPr>
              <w:t>eu</w:t>
            </w:r>
            <w:r w:rsidRPr="001D6AFD">
              <w:rPr>
                <w:lang w:eastAsia="en-US"/>
              </w:rPr>
              <w:t>r  2.2.2</w:t>
            </w:r>
            <w:proofErr w:type="gramEnd"/>
          </w:p>
          <w:p w14:paraId="094B22AF" w14:textId="77777777" w:rsidR="00C92063" w:rsidRPr="001D6AFD" w:rsidRDefault="00C92063" w:rsidP="00C92063">
            <w:pPr>
              <w:autoSpaceDE w:val="0"/>
              <w:autoSpaceDN w:val="0"/>
              <w:adjustRightInd w:val="0"/>
              <w:rPr>
                <w:rFonts w:eastAsia="Calibri"/>
                <w:sz w:val="16"/>
                <w:szCs w:val="16"/>
                <w:lang w:eastAsia="zh-CN"/>
              </w:rPr>
            </w:pPr>
            <w:r w:rsidRPr="001D6AFD">
              <w:rPr>
                <w:rFonts w:eastAsia="Calibri"/>
                <w:sz w:val="16"/>
                <w:szCs w:val="16"/>
                <w:lang w:eastAsia="zh-CN"/>
              </w:rPr>
              <w:t># de plans communications sur les activités du PBF élaborés</w:t>
            </w:r>
          </w:p>
          <w:p w14:paraId="7E3A8DEF" w14:textId="3B20E55F" w:rsidR="00C92063" w:rsidRPr="001D6AFD" w:rsidRDefault="00C92063" w:rsidP="00C92063">
            <w:pPr>
              <w:jc w:val="both"/>
              <w:rPr>
                <w:szCs w:val="20"/>
                <w:lang w:eastAsia="en-US"/>
              </w:rPr>
            </w:pPr>
          </w:p>
        </w:tc>
        <w:tc>
          <w:tcPr>
            <w:tcW w:w="1530" w:type="dxa"/>
            <w:shd w:val="clear" w:color="auto" w:fill="EEECE1"/>
          </w:tcPr>
          <w:p w14:paraId="2763FB7E" w14:textId="5FE62180" w:rsidR="00C92063" w:rsidRPr="001D6AFD" w:rsidRDefault="00C92063" w:rsidP="00C92063">
            <w:r w:rsidRPr="001D6AFD">
              <w:rPr>
                <w:rFonts w:eastAsia="Calibri"/>
                <w:sz w:val="16"/>
                <w:szCs w:val="16"/>
                <w:lang w:eastAsia="zh-CN"/>
              </w:rPr>
              <w:t>Niveau de référence : 0</w:t>
            </w:r>
          </w:p>
        </w:tc>
        <w:tc>
          <w:tcPr>
            <w:tcW w:w="1620" w:type="dxa"/>
            <w:shd w:val="clear" w:color="auto" w:fill="EEECE1"/>
          </w:tcPr>
          <w:p w14:paraId="41B3D961" w14:textId="0821EA78" w:rsidR="00C92063" w:rsidRPr="001D6AFD" w:rsidRDefault="00C92063" w:rsidP="00C92063">
            <w:r w:rsidRPr="001D6AFD">
              <w:rPr>
                <w:bCs/>
                <w:sz w:val="16"/>
                <w:szCs w:val="16"/>
                <w:lang w:eastAsia="en-US"/>
              </w:rPr>
              <w:t>Cible : 1</w:t>
            </w:r>
          </w:p>
        </w:tc>
        <w:tc>
          <w:tcPr>
            <w:tcW w:w="2070" w:type="dxa"/>
          </w:tcPr>
          <w:p w14:paraId="2BA73874" w14:textId="085AB124" w:rsidR="00C92063" w:rsidRPr="001D6AFD" w:rsidRDefault="00C92063" w:rsidP="00C92063">
            <w:r w:rsidRPr="001D6AFD">
              <w:rPr>
                <w:b/>
                <w:lang w:val="en-US" w:eastAsia="en-US"/>
              </w:rPr>
              <w:fldChar w:fldCharType="begin">
                <w:ffData>
                  <w:name w:val=""/>
                  <w:enabled/>
                  <w:calcOnExit w:val="0"/>
                  <w:textInput>
                    <w:maxLength w:val="300"/>
                  </w:textInput>
                </w:ffData>
              </w:fldChar>
            </w:r>
            <w:r w:rsidRPr="001D6AFD">
              <w:rPr>
                <w:b/>
                <w:lang w:val="en-US" w:eastAsia="en-US"/>
              </w:rPr>
              <w:instrText xml:space="preserve"> FORMTEXT </w:instrText>
            </w:r>
            <w:r w:rsidRPr="001D6AFD">
              <w:rPr>
                <w:b/>
                <w:lang w:val="en-US" w:eastAsia="en-US"/>
              </w:rPr>
            </w:r>
            <w:r w:rsidRPr="001D6AFD">
              <w:rPr>
                <w:b/>
                <w:lang w:val="en-US" w:eastAsia="en-US"/>
              </w:rPr>
              <w:fldChar w:fldCharType="separate"/>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noProof/>
                <w:lang w:val="en-US" w:eastAsia="en-US"/>
              </w:rPr>
              <w:t> </w:t>
            </w:r>
            <w:r w:rsidRPr="001D6AFD">
              <w:rPr>
                <w:b/>
                <w:lang w:val="en-US" w:eastAsia="en-US"/>
              </w:rPr>
              <w:fldChar w:fldCharType="end"/>
            </w:r>
          </w:p>
        </w:tc>
        <w:tc>
          <w:tcPr>
            <w:tcW w:w="2070" w:type="dxa"/>
          </w:tcPr>
          <w:p w14:paraId="492D884A" w14:textId="06AA30CB" w:rsidR="00C92063" w:rsidRPr="00696A22" w:rsidRDefault="00A86AF0" w:rsidP="00C92063">
            <w:pPr>
              <w:rPr>
                <w:bCs/>
                <w:sz w:val="16"/>
                <w:szCs w:val="16"/>
              </w:rPr>
            </w:pPr>
            <w:r w:rsidRPr="00696A22">
              <w:rPr>
                <w:bCs/>
                <w:sz w:val="16"/>
                <w:szCs w:val="16"/>
                <w:lang w:val="en-US" w:eastAsia="en-US"/>
              </w:rPr>
              <w:t>05</w:t>
            </w:r>
          </w:p>
        </w:tc>
        <w:tc>
          <w:tcPr>
            <w:tcW w:w="4140" w:type="dxa"/>
          </w:tcPr>
          <w:p w14:paraId="72D26A07" w14:textId="25E6010B" w:rsidR="00C92063" w:rsidRPr="00696A22" w:rsidRDefault="00C92063" w:rsidP="00C92063">
            <w:pPr>
              <w:rPr>
                <w:bCs/>
                <w:sz w:val="16"/>
                <w:szCs w:val="16"/>
              </w:rPr>
            </w:pPr>
          </w:p>
        </w:tc>
      </w:tr>
    </w:tbl>
    <w:p w14:paraId="3F1ED818" w14:textId="77777777" w:rsidR="00675507" w:rsidRPr="001D6AFD" w:rsidRDefault="00675507" w:rsidP="0078600B">
      <w:pPr>
        <w:jc w:val="both"/>
        <w:rPr>
          <w:b/>
          <w:lang w:val="en-US" w:eastAsia="en-US"/>
        </w:rPr>
      </w:pPr>
    </w:p>
    <w:sectPr w:rsidR="00675507" w:rsidRPr="001D6AFD"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4AB0" w14:textId="77777777" w:rsidR="0000611F" w:rsidRDefault="0000611F" w:rsidP="00E76CA1">
      <w:r>
        <w:separator/>
      </w:r>
    </w:p>
  </w:endnote>
  <w:endnote w:type="continuationSeparator" w:id="0">
    <w:p w14:paraId="3345BDA1" w14:textId="77777777" w:rsidR="0000611F" w:rsidRDefault="0000611F"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055A15" w:rsidRDefault="00055A15">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055A15" w:rsidRDefault="00055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58CEE" w14:textId="77777777" w:rsidR="0000611F" w:rsidRDefault="0000611F" w:rsidP="00E76CA1">
      <w:r>
        <w:separator/>
      </w:r>
    </w:p>
  </w:footnote>
  <w:footnote w:type="continuationSeparator" w:id="0">
    <w:p w14:paraId="5EB84B1B" w14:textId="77777777" w:rsidR="0000611F" w:rsidRDefault="0000611F"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055A15" w:rsidRDefault="00055A15">
    <w:pPr>
      <w:pStyle w:val="Header"/>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200CB"/>
    <w:multiLevelType w:val="hybridMultilevel"/>
    <w:tmpl w:val="2264E34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4"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8"/>
  </w:num>
  <w:num w:numId="4">
    <w:abstractNumId w:val="7"/>
  </w:num>
  <w:num w:numId="5">
    <w:abstractNumId w:val="14"/>
  </w:num>
  <w:num w:numId="6">
    <w:abstractNumId w:val="40"/>
  </w:num>
  <w:num w:numId="7">
    <w:abstractNumId w:val="38"/>
  </w:num>
  <w:num w:numId="8">
    <w:abstractNumId w:val="48"/>
  </w:num>
  <w:num w:numId="9">
    <w:abstractNumId w:val="19"/>
  </w:num>
  <w:num w:numId="10">
    <w:abstractNumId w:val="34"/>
  </w:num>
  <w:num w:numId="11">
    <w:abstractNumId w:val="4"/>
  </w:num>
  <w:num w:numId="12">
    <w:abstractNumId w:val="35"/>
  </w:num>
  <w:num w:numId="13">
    <w:abstractNumId w:val="37"/>
  </w:num>
  <w:num w:numId="14">
    <w:abstractNumId w:val="47"/>
  </w:num>
  <w:num w:numId="15">
    <w:abstractNumId w:val="43"/>
  </w:num>
  <w:num w:numId="16">
    <w:abstractNumId w:val="29"/>
  </w:num>
  <w:num w:numId="17">
    <w:abstractNumId w:val="11"/>
  </w:num>
  <w:num w:numId="18">
    <w:abstractNumId w:val="8"/>
  </w:num>
  <w:num w:numId="19">
    <w:abstractNumId w:val="31"/>
  </w:num>
  <w:num w:numId="20">
    <w:abstractNumId w:val="23"/>
  </w:num>
  <w:num w:numId="21">
    <w:abstractNumId w:val="5"/>
  </w:num>
  <w:num w:numId="22">
    <w:abstractNumId w:val="32"/>
  </w:num>
  <w:num w:numId="23">
    <w:abstractNumId w:val="44"/>
  </w:num>
  <w:num w:numId="24">
    <w:abstractNumId w:val="17"/>
  </w:num>
  <w:num w:numId="25">
    <w:abstractNumId w:val="27"/>
  </w:num>
  <w:num w:numId="26">
    <w:abstractNumId w:val="49"/>
  </w:num>
  <w:num w:numId="27">
    <w:abstractNumId w:val="22"/>
  </w:num>
  <w:num w:numId="28">
    <w:abstractNumId w:val="39"/>
  </w:num>
  <w:num w:numId="29">
    <w:abstractNumId w:val="20"/>
  </w:num>
  <w:num w:numId="30">
    <w:abstractNumId w:val="12"/>
  </w:num>
  <w:num w:numId="31">
    <w:abstractNumId w:val="6"/>
  </w:num>
  <w:num w:numId="32">
    <w:abstractNumId w:val="9"/>
  </w:num>
  <w:num w:numId="33">
    <w:abstractNumId w:val="41"/>
  </w:num>
  <w:num w:numId="34">
    <w:abstractNumId w:val="33"/>
  </w:num>
  <w:num w:numId="35">
    <w:abstractNumId w:val="26"/>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30"/>
  </w:num>
  <w:num w:numId="40">
    <w:abstractNumId w:val="3"/>
  </w:num>
  <w:num w:numId="41">
    <w:abstractNumId w:val="24"/>
  </w:num>
  <w:num w:numId="42">
    <w:abstractNumId w:val="25"/>
  </w:num>
  <w:num w:numId="43">
    <w:abstractNumId w:val="36"/>
  </w:num>
  <w:num w:numId="44">
    <w:abstractNumId w:val="45"/>
  </w:num>
  <w:num w:numId="45">
    <w:abstractNumId w:val="10"/>
  </w:num>
  <w:num w:numId="46">
    <w:abstractNumId w:val="42"/>
  </w:num>
  <w:num w:numId="47">
    <w:abstractNumId w:val="1"/>
  </w:num>
  <w:num w:numId="48">
    <w:abstractNumId w:val="16"/>
  </w:num>
  <w:num w:numId="49">
    <w:abstractNumId w:val="21"/>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22C4"/>
    <w:rsid w:val="00002815"/>
    <w:rsid w:val="00005737"/>
    <w:rsid w:val="000057A9"/>
    <w:rsid w:val="0000611F"/>
    <w:rsid w:val="00006DBE"/>
    <w:rsid w:val="00006EC0"/>
    <w:rsid w:val="00007C0A"/>
    <w:rsid w:val="00010EB0"/>
    <w:rsid w:val="0001109A"/>
    <w:rsid w:val="00013D36"/>
    <w:rsid w:val="00013D69"/>
    <w:rsid w:val="00014B13"/>
    <w:rsid w:val="00025EFA"/>
    <w:rsid w:val="00031640"/>
    <w:rsid w:val="00045C24"/>
    <w:rsid w:val="00050759"/>
    <w:rsid w:val="00051F71"/>
    <w:rsid w:val="0005216F"/>
    <w:rsid w:val="00052745"/>
    <w:rsid w:val="00052DE5"/>
    <w:rsid w:val="000554F8"/>
    <w:rsid w:val="00055A15"/>
    <w:rsid w:val="00063017"/>
    <w:rsid w:val="000731D0"/>
    <w:rsid w:val="00075D98"/>
    <w:rsid w:val="0008134A"/>
    <w:rsid w:val="0008233D"/>
    <w:rsid w:val="00082738"/>
    <w:rsid w:val="00084F64"/>
    <w:rsid w:val="00091CFD"/>
    <w:rsid w:val="00092442"/>
    <w:rsid w:val="000A45F4"/>
    <w:rsid w:val="000A4660"/>
    <w:rsid w:val="000A51DA"/>
    <w:rsid w:val="000A6719"/>
    <w:rsid w:val="000B4E5C"/>
    <w:rsid w:val="000B7954"/>
    <w:rsid w:val="000C7EA0"/>
    <w:rsid w:val="000D4F4B"/>
    <w:rsid w:val="000E05AE"/>
    <w:rsid w:val="000E6A96"/>
    <w:rsid w:val="000F05A2"/>
    <w:rsid w:val="000F13B1"/>
    <w:rsid w:val="000F19F5"/>
    <w:rsid w:val="000F43A8"/>
    <w:rsid w:val="00102C0E"/>
    <w:rsid w:val="00112741"/>
    <w:rsid w:val="00113D2B"/>
    <w:rsid w:val="00113EC4"/>
    <w:rsid w:val="00116449"/>
    <w:rsid w:val="0011666C"/>
    <w:rsid w:val="00121B2D"/>
    <w:rsid w:val="001307FA"/>
    <w:rsid w:val="0013151F"/>
    <w:rsid w:val="00131824"/>
    <w:rsid w:val="00136B32"/>
    <w:rsid w:val="001444EE"/>
    <w:rsid w:val="00145766"/>
    <w:rsid w:val="001458E9"/>
    <w:rsid w:val="0014716B"/>
    <w:rsid w:val="00153CD9"/>
    <w:rsid w:val="00155AFB"/>
    <w:rsid w:val="00156AFA"/>
    <w:rsid w:val="00156C4C"/>
    <w:rsid w:val="00157BF2"/>
    <w:rsid w:val="001607B2"/>
    <w:rsid w:val="0016088D"/>
    <w:rsid w:val="00161D02"/>
    <w:rsid w:val="001714C9"/>
    <w:rsid w:val="001745E8"/>
    <w:rsid w:val="0018095F"/>
    <w:rsid w:val="0018313E"/>
    <w:rsid w:val="0018446E"/>
    <w:rsid w:val="00185425"/>
    <w:rsid w:val="00186529"/>
    <w:rsid w:val="00192F1D"/>
    <w:rsid w:val="001948EA"/>
    <w:rsid w:val="00194D4C"/>
    <w:rsid w:val="00196AA8"/>
    <w:rsid w:val="001A1E86"/>
    <w:rsid w:val="001A3157"/>
    <w:rsid w:val="001A374F"/>
    <w:rsid w:val="001A4786"/>
    <w:rsid w:val="001B1EAF"/>
    <w:rsid w:val="001B458D"/>
    <w:rsid w:val="001B4FC7"/>
    <w:rsid w:val="001B5D16"/>
    <w:rsid w:val="001B6DFD"/>
    <w:rsid w:val="001C4484"/>
    <w:rsid w:val="001C46E9"/>
    <w:rsid w:val="001C5691"/>
    <w:rsid w:val="001C56B8"/>
    <w:rsid w:val="001C5B82"/>
    <w:rsid w:val="001D1C14"/>
    <w:rsid w:val="001D575F"/>
    <w:rsid w:val="001D6683"/>
    <w:rsid w:val="001D67F9"/>
    <w:rsid w:val="001D6AFD"/>
    <w:rsid w:val="001E660A"/>
    <w:rsid w:val="001F308A"/>
    <w:rsid w:val="0020130A"/>
    <w:rsid w:val="00205EB7"/>
    <w:rsid w:val="0020791D"/>
    <w:rsid w:val="002129DA"/>
    <w:rsid w:val="0021550A"/>
    <w:rsid w:val="00215F41"/>
    <w:rsid w:val="00217A2E"/>
    <w:rsid w:val="00217EB6"/>
    <w:rsid w:val="002247C2"/>
    <w:rsid w:val="002322E6"/>
    <w:rsid w:val="00233827"/>
    <w:rsid w:val="00234A5E"/>
    <w:rsid w:val="00236072"/>
    <w:rsid w:val="0023672E"/>
    <w:rsid w:val="00236AB3"/>
    <w:rsid w:val="002436F0"/>
    <w:rsid w:val="00245E73"/>
    <w:rsid w:val="00246135"/>
    <w:rsid w:val="00247F4E"/>
    <w:rsid w:val="00251E92"/>
    <w:rsid w:val="0025220B"/>
    <w:rsid w:val="00252B39"/>
    <w:rsid w:val="00254AC2"/>
    <w:rsid w:val="0025525B"/>
    <w:rsid w:val="0027242A"/>
    <w:rsid w:val="00272A5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40B"/>
    <w:rsid w:val="002C10A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6D58"/>
    <w:rsid w:val="003212BB"/>
    <w:rsid w:val="00321C92"/>
    <w:rsid w:val="003235DF"/>
    <w:rsid w:val="00323ABC"/>
    <w:rsid w:val="00324A7C"/>
    <w:rsid w:val="00324FE5"/>
    <w:rsid w:val="00333EC9"/>
    <w:rsid w:val="0033515C"/>
    <w:rsid w:val="00336BF8"/>
    <w:rsid w:val="00342356"/>
    <w:rsid w:val="00343425"/>
    <w:rsid w:val="0034386B"/>
    <w:rsid w:val="00346D73"/>
    <w:rsid w:val="003473C6"/>
    <w:rsid w:val="00355C69"/>
    <w:rsid w:val="0035676B"/>
    <w:rsid w:val="0036386A"/>
    <w:rsid w:val="00366549"/>
    <w:rsid w:val="00372156"/>
    <w:rsid w:val="003722AE"/>
    <w:rsid w:val="0037561F"/>
    <w:rsid w:val="0037563A"/>
    <w:rsid w:val="00380849"/>
    <w:rsid w:val="003818DB"/>
    <w:rsid w:val="003834CD"/>
    <w:rsid w:val="00383908"/>
    <w:rsid w:val="00391614"/>
    <w:rsid w:val="003966E6"/>
    <w:rsid w:val="003968D7"/>
    <w:rsid w:val="003A613D"/>
    <w:rsid w:val="003A6341"/>
    <w:rsid w:val="003B3A5F"/>
    <w:rsid w:val="003B3CF1"/>
    <w:rsid w:val="003B4F6E"/>
    <w:rsid w:val="003B5338"/>
    <w:rsid w:val="003C5283"/>
    <w:rsid w:val="003C5CC6"/>
    <w:rsid w:val="003D12C7"/>
    <w:rsid w:val="003D228B"/>
    <w:rsid w:val="003D4CD7"/>
    <w:rsid w:val="003D4D7C"/>
    <w:rsid w:val="003F08B1"/>
    <w:rsid w:val="003F21BE"/>
    <w:rsid w:val="003F36FB"/>
    <w:rsid w:val="003F660A"/>
    <w:rsid w:val="003F74A0"/>
    <w:rsid w:val="004017BD"/>
    <w:rsid w:val="00402083"/>
    <w:rsid w:val="004023AC"/>
    <w:rsid w:val="00402514"/>
    <w:rsid w:val="0040513F"/>
    <w:rsid w:val="00405DE7"/>
    <w:rsid w:val="00411A5F"/>
    <w:rsid w:val="00413EAF"/>
    <w:rsid w:val="00414097"/>
    <w:rsid w:val="004213AF"/>
    <w:rsid w:val="0042320F"/>
    <w:rsid w:val="00425AF8"/>
    <w:rsid w:val="004358DE"/>
    <w:rsid w:val="00437FF5"/>
    <w:rsid w:val="0046101E"/>
    <w:rsid w:val="00461944"/>
    <w:rsid w:val="00464188"/>
    <w:rsid w:val="00470EC3"/>
    <w:rsid w:val="00476758"/>
    <w:rsid w:val="00477CF8"/>
    <w:rsid w:val="00480A02"/>
    <w:rsid w:val="0048168F"/>
    <w:rsid w:val="00484092"/>
    <w:rsid w:val="00484169"/>
    <w:rsid w:val="00495AC5"/>
    <w:rsid w:val="004965A3"/>
    <w:rsid w:val="004A210E"/>
    <w:rsid w:val="004A49E6"/>
    <w:rsid w:val="004B1E1E"/>
    <w:rsid w:val="004B2785"/>
    <w:rsid w:val="004B5601"/>
    <w:rsid w:val="004B5B20"/>
    <w:rsid w:val="004C3DC3"/>
    <w:rsid w:val="004C4272"/>
    <w:rsid w:val="004C4F3B"/>
    <w:rsid w:val="004D141E"/>
    <w:rsid w:val="004E33A8"/>
    <w:rsid w:val="004E3B3E"/>
    <w:rsid w:val="004E3BD7"/>
    <w:rsid w:val="004E6614"/>
    <w:rsid w:val="004F016F"/>
    <w:rsid w:val="004F7D22"/>
    <w:rsid w:val="00500587"/>
    <w:rsid w:val="00505758"/>
    <w:rsid w:val="005129DA"/>
    <w:rsid w:val="00513612"/>
    <w:rsid w:val="00513D8E"/>
    <w:rsid w:val="00515EEF"/>
    <w:rsid w:val="005174D6"/>
    <w:rsid w:val="0051786C"/>
    <w:rsid w:val="005208FF"/>
    <w:rsid w:val="00521468"/>
    <w:rsid w:val="005216B2"/>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C6B"/>
    <w:rsid w:val="005648A5"/>
    <w:rsid w:val="0057086A"/>
    <w:rsid w:val="005718ED"/>
    <w:rsid w:val="0058153F"/>
    <w:rsid w:val="0058301B"/>
    <w:rsid w:val="005869D9"/>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F0CC2"/>
    <w:rsid w:val="005F439F"/>
    <w:rsid w:val="005F77DA"/>
    <w:rsid w:val="00600B5F"/>
    <w:rsid w:val="006017A2"/>
    <w:rsid w:val="00605275"/>
    <w:rsid w:val="006073A2"/>
    <w:rsid w:val="006073AB"/>
    <w:rsid w:val="0060796B"/>
    <w:rsid w:val="006100F5"/>
    <w:rsid w:val="0061467E"/>
    <w:rsid w:val="00615C30"/>
    <w:rsid w:val="00624881"/>
    <w:rsid w:val="00624B2F"/>
    <w:rsid w:val="00624F31"/>
    <w:rsid w:val="00626B3F"/>
    <w:rsid w:val="00627A1C"/>
    <w:rsid w:val="00632971"/>
    <w:rsid w:val="00635112"/>
    <w:rsid w:val="00643A9E"/>
    <w:rsid w:val="00646FF7"/>
    <w:rsid w:val="006500AC"/>
    <w:rsid w:val="00651323"/>
    <w:rsid w:val="00656A65"/>
    <w:rsid w:val="006578BB"/>
    <w:rsid w:val="00657A0F"/>
    <w:rsid w:val="006645BE"/>
    <w:rsid w:val="006648F5"/>
    <w:rsid w:val="00664EA0"/>
    <w:rsid w:val="0067044E"/>
    <w:rsid w:val="00670D17"/>
    <w:rsid w:val="00671040"/>
    <w:rsid w:val="0067321D"/>
    <w:rsid w:val="006734B3"/>
    <w:rsid w:val="0067356E"/>
    <w:rsid w:val="00673D6E"/>
    <w:rsid w:val="00675507"/>
    <w:rsid w:val="006811AD"/>
    <w:rsid w:val="006907EE"/>
    <w:rsid w:val="00691C2F"/>
    <w:rsid w:val="006947B7"/>
    <w:rsid w:val="006969E7"/>
    <w:rsid w:val="00696A22"/>
    <w:rsid w:val="006A07CA"/>
    <w:rsid w:val="006A207B"/>
    <w:rsid w:val="006A2E42"/>
    <w:rsid w:val="006A5032"/>
    <w:rsid w:val="006A5B0E"/>
    <w:rsid w:val="006B4DED"/>
    <w:rsid w:val="006C1819"/>
    <w:rsid w:val="006C29FB"/>
    <w:rsid w:val="006D0366"/>
    <w:rsid w:val="006D3593"/>
    <w:rsid w:val="006D3F0B"/>
    <w:rsid w:val="006D5799"/>
    <w:rsid w:val="006D60AB"/>
    <w:rsid w:val="006D6B92"/>
    <w:rsid w:val="006E10BF"/>
    <w:rsid w:val="006E2489"/>
    <w:rsid w:val="006E4DA8"/>
    <w:rsid w:val="006E7CF8"/>
    <w:rsid w:val="006F0257"/>
    <w:rsid w:val="006F0654"/>
    <w:rsid w:val="006F0B62"/>
    <w:rsid w:val="006F0F2D"/>
    <w:rsid w:val="006F1516"/>
    <w:rsid w:val="006F4A07"/>
    <w:rsid w:val="006F690E"/>
    <w:rsid w:val="006F74C9"/>
    <w:rsid w:val="007065B1"/>
    <w:rsid w:val="007073F6"/>
    <w:rsid w:val="007118F5"/>
    <w:rsid w:val="0071286E"/>
    <w:rsid w:val="007133CF"/>
    <w:rsid w:val="0071506D"/>
    <w:rsid w:val="00715EC6"/>
    <w:rsid w:val="00720431"/>
    <w:rsid w:val="007308CD"/>
    <w:rsid w:val="007317AD"/>
    <w:rsid w:val="0073324E"/>
    <w:rsid w:val="00734278"/>
    <w:rsid w:val="00740B1E"/>
    <w:rsid w:val="0074108E"/>
    <w:rsid w:val="00741135"/>
    <w:rsid w:val="00742F27"/>
    <w:rsid w:val="00742FDD"/>
    <w:rsid w:val="007435E3"/>
    <w:rsid w:val="00744AB6"/>
    <w:rsid w:val="007451EC"/>
    <w:rsid w:val="00745803"/>
    <w:rsid w:val="00751279"/>
    <w:rsid w:val="00751324"/>
    <w:rsid w:val="00751DAF"/>
    <w:rsid w:val="00753159"/>
    <w:rsid w:val="007569BB"/>
    <w:rsid w:val="00761508"/>
    <w:rsid w:val="007626C9"/>
    <w:rsid w:val="00764773"/>
    <w:rsid w:val="00764B9C"/>
    <w:rsid w:val="0076624E"/>
    <w:rsid w:val="007712FB"/>
    <w:rsid w:val="007717E2"/>
    <w:rsid w:val="007740D4"/>
    <w:rsid w:val="007756B0"/>
    <w:rsid w:val="00782959"/>
    <w:rsid w:val="00782E30"/>
    <w:rsid w:val="00785E5E"/>
    <w:rsid w:val="0078600B"/>
    <w:rsid w:val="00790676"/>
    <w:rsid w:val="00791410"/>
    <w:rsid w:val="007937AE"/>
    <w:rsid w:val="00793DE6"/>
    <w:rsid w:val="00793E8B"/>
    <w:rsid w:val="007958F2"/>
    <w:rsid w:val="007A1B5F"/>
    <w:rsid w:val="007A4F3E"/>
    <w:rsid w:val="007A5985"/>
    <w:rsid w:val="007A6929"/>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C86"/>
    <w:rsid w:val="007F6F6D"/>
    <w:rsid w:val="007F7257"/>
    <w:rsid w:val="00805ADB"/>
    <w:rsid w:val="00812452"/>
    <w:rsid w:val="00826923"/>
    <w:rsid w:val="0083461E"/>
    <w:rsid w:val="00834A9F"/>
    <w:rsid w:val="008364E5"/>
    <w:rsid w:val="00837B04"/>
    <w:rsid w:val="0084221C"/>
    <w:rsid w:val="0084393C"/>
    <w:rsid w:val="00846808"/>
    <w:rsid w:val="00847A89"/>
    <w:rsid w:val="00853068"/>
    <w:rsid w:val="00861669"/>
    <w:rsid w:val="008632DB"/>
    <w:rsid w:val="008640A5"/>
    <w:rsid w:val="00865821"/>
    <w:rsid w:val="00865AFA"/>
    <w:rsid w:val="00865FA0"/>
    <w:rsid w:val="008664A8"/>
    <w:rsid w:val="00866E96"/>
    <w:rsid w:val="00874634"/>
    <w:rsid w:val="00875EA5"/>
    <w:rsid w:val="00881D4B"/>
    <w:rsid w:val="00891AE7"/>
    <w:rsid w:val="008A1155"/>
    <w:rsid w:val="008A3181"/>
    <w:rsid w:val="008A31BE"/>
    <w:rsid w:val="008B1B75"/>
    <w:rsid w:val="008B3518"/>
    <w:rsid w:val="008B45B5"/>
    <w:rsid w:val="008B5A12"/>
    <w:rsid w:val="008B7E23"/>
    <w:rsid w:val="008C782A"/>
    <w:rsid w:val="008E1083"/>
    <w:rsid w:val="008E3872"/>
    <w:rsid w:val="008E729D"/>
    <w:rsid w:val="008F5112"/>
    <w:rsid w:val="008F6703"/>
    <w:rsid w:val="00900D78"/>
    <w:rsid w:val="00901C1E"/>
    <w:rsid w:val="00910FE1"/>
    <w:rsid w:val="0091229B"/>
    <w:rsid w:val="00912D25"/>
    <w:rsid w:val="00915C96"/>
    <w:rsid w:val="00915D77"/>
    <w:rsid w:val="00916DF8"/>
    <w:rsid w:val="0091758E"/>
    <w:rsid w:val="009216A8"/>
    <w:rsid w:val="00921C68"/>
    <w:rsid w:val="0092673B"/>
    <w:rsid w:val="0093134E"/>
    <w:rsid w:val="00931786"/>
    <w:rsid w:val="00937ABE"/>
    <w:rsid w:val="00945925"/>
    <w:rsid w:val="00952DE4"/>
    <w:rsid w:val="00953C30"/>
    <w:rsid w:val="009568EF"/>
    <w:rsid w:val="00956B79"/>
    <w:rsid w:val="00965F6B"/>
    <w:rsid w:val="00970D92"/>
    <w:rsid w:val="00970F4C"/>
    <w:rsid w:val="0097130A"/>
    <w:rsid w:val="00974D94"/>
    <w:rsid w:val="009774FE"/>
    <w:rsid w:val="009832F8"/>
    <w:rsid w:val="00983611"/>
    <w:rsid w:val="009839DA"/>
    <w:rsid w:val="00985E49"/>
    <w:rsid w:val="00991418"/>
    <w:rsid w:val="00994476"/>
    <w:rsid w:val="00994B0E"/>
    <w:rsid w:val="0099700D"/>
    <w:rsid w:val="00997347"/>
    <w:rsid w:val="009A012A"/>
    <w:rsid w:val="009A1CD3"/>
    <w:rsid w:val="009A44A4"/>
    <w:rsid w:val="009A4A5D"/>
    <w:rsid w:val="009A5EEF"/>
    <w:rsid w:val="009B18EB"/>
    <w:rsid w:val="009B5D1A"/>
    <w:rsid w:val="009C153E"/>
    <w:rsid w:val="009C28DE"/>
    <w:rsid w:val="009C2C5E"/>
    <w:rsid w:val="009D0838"/>
    <w:rsid w:val="009D0C9F"/>
    <w:rsid w:val="009D10B2"/>
    <w:rsid w:val="009D2543"/>
    <w:rsid w:val="009D64E4"/>
    <w:rsid w:val="009E20F1"/>
    <w:rsid w:val="009E329B"/>
    <w:rsid w:val="009E38EA"/>
    <w:rsid w:val="009E5594"/>
    <w:rsid w:val="009F517D"/>
    <w:rsid w:val="009F6554"/>
    <w:rsid w:val="009F7F98"/>
    <w:rsid w:val="00A02F58"/>
    <w:rsid w:val="00A032AE"/>
    <w:rsid w:val="00A048D2"/>
    <w:rsid w:val="00A10DAC"/>
    <w:rsid w:val="00A31988"/>
    <w:rsid w:val="00A34FE2"/>
    <w:rsid w:val="00A35FDA"/>
    <w:rsid w:val="00A360E8"/>
    <w:rsid w:val="00A36118"/>
    <w:rsid w:val="00A41736"/>
    <w:rsid w:val="00A4395F"/>
    <w:rsid w:val="00A43B9C"/>
    <w:rsid w:val="00A4581B"/>
    <w:rsid w:val="00A45BD4"/>
    <w:rsid w:val="00A46B06"/>
    <w:rsid w:val="00A471E3"/>
    <w:rsid w:val="00A47DDA"/>
    <w:rsid w:val="00A509C6"/>
    <w:rsid w:val="00A52A49"/>
    <w:rsid w:val="00A535C7"/>
    <w:rsid w:val="00A53C94"/>
    <w:rsid w:val="00A53DBD"/>
    <w:rsid w:val="00A54EC4"/>
    <w:rsid w:val="00A56DD8"/>
    <w:rsid w:val="00A6017D"/>
    <w:rsid w:val="00A64309"/>
    <w:rsid w:val="00A6484C"/>
    <w:rsid w:val="00A64A02"/>
    <w:rsid w:val="00A656C0"/>
    <w:rsid w:val="00A66688"/>
    <w:rsid w:val="00A77540"/>
    <w:rsid w:val="00A81DF0"/>
    <w:rsid w:val="00A8266F"/>
    <w:rsid w:val="00A843B5"/>
    <w:rsid w:val="00A855EA"/>
    <w:rsid w:val="00A86AF0"/>
    <w:rsid w:val="00A86B3F"/>
    <w:rsid w:val="00A86F4D"/>
    <w:rsid w:val="00A9067B"/>
    <w:rsid w:val="00A90E80"/>
    <w:rsid w:val="00A91FCD"/>
    <w:rsid w:val="00A92D58"/>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F2D89"/>
    <w:rsid w:val="00AF7DA4"/>
    <w:rsid w:val="00B00EBD"/>
    <w:rsid w:val="00B0370E"/>
    <w:rsid w:val="00B03E68"/>
    <w:rsid w:val="00B05E35"/>
    <w:rsid w:val="00B124BD"/>
    <w:rsid w:val="00B12FB8"/>
    <w:rsid w:val="00B22390"/>
    <w:rsid w:val="00B244A1"/>
    <w:rsid w:val="00B24F72"/>
    <w:rsid w:val="00B27419"/>
    <w:rsid w:val="00B329B9"/>
    <w:rsid w:val="00B330C2"/>
    <w:rsid w:val="00B37406"/>
    <w:rsid w:val="00B404DF"/>
    <w:rsid w:val="00B419C8"/>
    <w:rsid w:val="00B4227A"/>
    <w:rsid w:val="00B43B8D"/>
    <w:rsid w:val="00B43EEA"/>
    <w:rsid w:val="00B43F6D"/>
    <w:rsid w:val="00B442A2"/>
    <w:rsid w:val="00B46712"/>
    <w:rsid w:val="00B47CFB"/>
    <w:rsid w:val="00B6401E"/>
    <w:rsid w:val="00B652A1"/>
    <w:rsid w:val="00B702C0"/>
    <w:rsid w:val="00B735DD"/>
    <w:rsid w:val="00B737D1"/>
    <w:rsid w:val="00B7459B"/>
    <w:rsid w:val="00B749E2"/>
    <w:rsid w:val="00B74CE9"/>
    <w:rsid w:val="00B7553C"/>
    <w:rsid w:val="00B75C20"/>
    <w:rsid w:val="00B82549"/>
    <w:rsid w:val="00B82635"/>
    <w:rsid w:val="00B82C51"/>
    <w:rsid w:val="00B82E71"/>
    <w:rsid w:val="00B91F39"/>
    <w:rsid w:val="00BA4F96"/>
    <w:rsid w:val="00BA5D85"/>
    <w:rsid w:val="00BA6688"/>
    <w:rsid w:val="00BA6F4B"/>
    <w:rsid w:val="00BC1A5D"/>
    <w:rsid w:val="00BC34D3"/>
    <w:rsid w:val="00BC6808"/>
    <w:rsid w:val="00BC71E1"/>
    <w:rsid w:val="00BD2962"/>
    <w:rsid w:val="00BD5D49"/>
    <w:rsid w:val="00BD643D"/>
    <w:rsid w:val="00BE28AA"/>
    <w:rsid w:val="00BE41D3"/>
    <w:rsid w:val="00BE720A"/>
    <w:rsid w:val="00BE7698"/>
    <w:rsid w:val="00BF1BFB"/>
    <w:rsid w:val="00BF41E2"/>
    <w:rsid w:val="00BF43F8"/>
    <w:rsid w:val="00BF4E1E"/>
    <w:rsid w:val="00C0670D"/>
    <w:rsid w:val="00C07A0C"/>
    <w:rsid w:val="00C107F6"/>
    <w:rsid w:val="00C12D6A"/>
    <w:rsid w:val="00C13590"/>
    <w:rsid w:val="00C145CF"/>
    <w:rsid w:val="00C221D7"/>
    <w:rsid w:val="00C2331C"/>
    <w:rsid w:val="00C27302"/>
    <w:rsid w:val="00C30188"/>
    <w:rsid w:val="00C30F72"/>
    <w:rsid w:val="00C312C0"/>
    <w:rsid w:val="00C31E9B"/>
    <w:rsid w:val="00C41926"/>
    <w:rsid w:val="00C42FB9"/>
    <w:rsid w:val="00C52BDA"/>
    <w:rsid w:val="00C578BE"/>
    <w:rsid w:val="00C61129"/>
    <w:rsid w:val="00C640B2"/>
    <w:rsid w:val="00C72CF8"/>
    <w:rsid w:val="00C74E37"/>
    <w:rsid w:val="00C74F34"/>
    <w:rsid w:val="00C846A4"/>
    <w:rsid w:val="00C847EE"/>
    <w:rsid w:val="00C853D5"/>
    <w:rsid w:val="00C92063"/>
    <w:rsid w:val="00C955F4"/>
    <w:rsid w:val="00C96336"/>
    <w:rsid w:val="00CA1B43"/>
    <w:rsid w:val="00CA6C99"/>
    <w:rsid w:val="00CB02F7"/>
    <w:rsid w:val="00CB25A2"/>
    <w:rsid w:val="00CB4B5C"/>
    <w:rsid w:val="00CB5499"/>
    <w:rsid w:val="00CC2015"/>
    <w:rsid w:val="00CC26EB"/>
    <w:rsid w:val="00CC59E5"/>
    <w:rsid w:val="00CD2F67"/>
    <w:rsid w:val="00CD3754"/>
    <w:rsid w:val="00CD5E04"/>
    <w:rsid w:val="00CD5E74"/>
    <w:rsid w:val="00CE0239"/>
    <w:rsid w:val="00CE132D"/>
    <w:rsid w:val="00CE3BEA"/>
    <w:rsid w:val="00CE499C"/>
    <w:rsid w:val="00CE7C3A"/>
    <w:rsid w:val="00CF04AE"/>
    <w:rsid w:val="00D03D06"/>
    <w:rsid w:val="00D06A43"/>
    <w:rsid w:val="00D079BC"/>
    <w:rsid w:val="00D12CC9"/>
    <w:rsid w:val="00D13792"/>
    <w:rsid w:val="00D147C9"/>
    <w:rsid w:val="00D161D4"/>
    <w:rsid w:val="00D21E2D"/>
    <w:rsid w:val="00D22B42"/>
    <w:rsid w:val="00D26972"/>
    <w:rsid w:val="00D30647"/>
    <w:rsid w:val="00D3351A"/>
    <w:rsid w:val="00D34147"/>
    <w:rsid w:val="00D36AF6"/>
    <w:rsid w:val="00D36E09"/>
    <w:rsid w:val="00D41969"/>
    <w:rsid w:val="00D44632"/>
    <w:rsid w:val="00D450BB"/>
    <w:rsid w:val="00D5552B"/>
    <w:rsid w:val="00D557FD"/>
    <w:rsid w:val="00D569A1"/>
    <w:rsid w:val="00D61557"/>
    <w:rsid w:val="00D632A3"/>
    <w:rsid w:val="00D65589"/>
    <w:rsid w:val="00D65BB5"/>
    <w:rsid w:val="00D6788F"/>
    <w:rsid w:val="00D70EC5"/>
    <w:rsid w:val="00D755D9"/>
    <w:rsid w:val="00D76947"/>
    <w:rsid w:val="00D82C29"/>
    <w:rsid w:val="00D84A39"/>
    <w:rsid w:val="00D85131"/>
    <w:rsid w:val="00D8543B"/>
    <w:rsid w:val="00DA064C"/>
    <w:rsid w:val="00DA2795"/>
    <w:rsid w:val="00DA2CD8"/>
    <w:rsid w:val="00DA7B93"/>
    <w:rsid w:val="00DC1151"/>
    <w:rsid w:val="00DC3579"/>
    <w:rsid w:val="00DC3612"/>
    <w:rsid w:val="00DC4D0A"/>
    <w:rsid w:val="00DC5066"/>
    <w:rsid w:val="00DD62BD"/>
    <w:rsid w:val="00DE2383"/>
    <w:rsid w:val="00DF24B9"/>
    <w:rsid w:val="00DF3624"/>
    <w:rsid w:val="00DF5EB7"/>
    <w:rsid w:val="00DF5FD1"/>
    <w:rsid w:val="00DF6A23"/>
    <w:rsid w:val="00E021C1"/>
    <w:rsid w:val="00E04A24"/>
    <w:rsid w:val="00E0564D"/>
    <w:rsid w:val="00E07987"/>
    <w:rsid w:val="00E10926"/>
    <w:rsid w:val="00E13590"/>
    <w:rsid w:val="00E271E4"/>
    <w:rsid w:val="00E31B37"/>
    <w:rsid w:val="00E31D04"/>
    <w:rsid w:val="00E33CB7"/>
    <w:rsid w:val="00E34912"/>
    <w:rsid w:val="00E3564C"/>
    <w:rsid w:val="00E35E72"/>
    <w:rsid w:val="00E41079"/>
    <w:rsid w:val="00E42721"/>
    <w:rsid w:val="00E43490"/>
    <w:rsid w:val="00E44AF0"/>
    <w:rsid w:val="00E5082E"/>
    <w:rsid w:val="00E513CC"/>
    <w:rsid w:val="00E51A66"/>
    <w:rsid w:val="00E5415A"/>
    <w:rsid w:val="00E5487E"/>
    <w:rsid w:val="00E54C30"/>
    <w:rsid w:val="00E55349"/>
    <w:rsid w:val="00E55557"/>
    <w:rsid w:val="00E62ED2"/>
    <w:rsid w:val="00E658A1"/>
    <w:rsid w:val="00E671FC"/>
    <w:rsid w:val="00E75D3B"/>
    <w:rsid w:val="00E76BB5"/>
    <w:rsid w:val="00E76CA1"/>
    <w:rsid w:val="00E76F75"/>
    <w:rsid w:val="00E84BB9"/>
    <w:rsid w:val="00E84FA2"/>
    <w:rsid w:val="00E876A0"/>
    <w:rsid w:val="00E928D7"/>
    <w:rsid w:val="00E97C4A"/>
    <w:rsid w:val="00EA0448"/>
    <w:rsid w:val="00EB1536"/>
    <w:rsid w:val="00EB1C20"/>
    <w:rsid w:val="00EB2B6A"/>
    <w:rsid w:val="00EB4C46"/>
    <w:rsid w:val="00EC18C3"/>
    <w:rsid w:val="00EC19E1"/>
    <w:rsid w:val="00EC3396"/>
    <w:rsid w:val="00EC5F32"/>
    <w:rsid w:val="00EC5F36"/>
    <w:rsid w:val="00EC6E52"/>
    <w:rsid w:val="00ED1554"/>
    <w:rsid w:val="00ED6399"/>
    <w:rsid w:val="00ED7365"/>
    <w:rsid w:val="00ED7FBD"/>
    <w:rsid w:val="00EE0A91"/>
    <w:rsid w:val="00EE28CD"/>
    <w:rsid w:val="00EE45FD"/>
    <w:rsid w:val="00EE5DF0"/>
    <w:rsid w:val="00EE6B58"/>
    <w:rsid w:val="00EF10E8"/>
    <w:rsid w:val="00EF34F7"/>
    <w:rsid w:val="00EF3746"/>
    <w:rsid w:val="00F05682"/>
    <w:rsid w:val="00F1516C"/>
    <w:rsid w:val="00F17161"/>
    <w:rsid w:val="00F177AC"/>
    <w:rsid w:val="00F20F55"/>
    <w:rsid w:val="00F2227D"/>
    <w:rsid w:val="00F2233A"/>
    <w:rsid w:val="00F23D0F"/>
    <w:rsid w:val="00F2629E"/>
    <w:rsid w:val="00F32725"/>
    <w:rsid w:val="00F34857"/>
    <w:rsid w:val="00F3653F"/>
    <w:rsid w:val="00F36B57"/>
    <w:rsid w:val="00F4131C"/>
    <w:rsid w:val="00F434C7"/>
    <w:rsid w:val="00F5504F"/>
    <w:rsid w:val="00F5578A"/>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14D4"/>
    <w:rsid w:val="00FC1C72"/>
    <w:rsid w:val="00FC5060"/>
    <w:rsid w:val="00FC7475"/>
    <w:rsid w:val="00FD00AA"/>
    <w:rsid w:val="00FD0105"/>
    <w:rsid w:val="00FD0B1C"/>
    <w:rsid w:val="00FD2745"/>
    <w:rsid w:val="00FD7A4A"/>
    <w:rsid w:val="00FE2242"/>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fr-FR"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basedOn w:val="Normal"/>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paragraph" w:customStyle="1" w:styleId="paragraph">
    <w:name w:val="paragraph"/>
    <w:basedOn w:val="Normal"/>
    <w:rsid w:val="00C74F34"/>
    <w:pPr>
      <w:spacing w:before="100" w:beforeAutospacing="1" w:after="100" w:afterAutospacing="1"/>
    </w:pPr>
    <w:rPr>
      <w:lang w:eastAsia="fr-FR"/>
    </w:rPr>
  </w:style>
  <w:style w:type="character" w:customStyle="1" w:styleId="normaltextrun">
    <w:name w:val="normaltextrun"/>
    <w:basedOn w:val="DefaultParagraphFont"/>
    <w:rsid w:val="00C74F34"/>
  </w:style>
  <w:style w:type="character" w:customStyle="1" w:styleId="eop">
    <w:name w:val="eop"/>
    <w:basedOn w:val="DefaultParagraphFont"/>
    <w:rsid w:val="00C7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097407468">
      <w:bodyDiv w:val="1"/>
      <w:marLeft w:val="0"/>
      <w:marRight w:val="0"/>
      <w:marTop w:val="0"/>
      <w:marBottom w:val="0"/>
      <w:divBdr>
        <w:top w:val="none" w:sz="0" w:space="0" w:color="auto"/>
        <w:left w:val="none" w:sz="0" w:space="0" w:color="auto"/>
        <w:bottom w:val="none" w:sz="0" w:space="0" w:color="auto"/>
        <w:right w:val="none" w:sz="0" w:space="0" w:color="auto"/>
      </w:divBdr>
      <w:divsChild>
        <w:div w:id="1263342275">
          <w:marLeft w:val="0"/>
          <w:marRight w:val="0"/>
          <w:marTop w:val="0"/>
          <w:marBottom w:val="0"/>
          <w:divBdr>
            <w:top w:val="none" w:sz="0" w:space="0" w:color="auto"/>
            <w:left w:val="none" w:sz="0" w:space="0" w:color="auto"/>
            <w:bottom w:val="none" w:sz="0" w:space="0" w:color="auto"/>
            <w:right w:val="none" w:sz="0" w:space="0" w:color="auto"/>
          </w:divBdr>
        </w:div>
        <w:div w:id="1364986800">
          <w:marLeft w:val="0"/>
          <w:marRight w:val="0"/>
          <w:marTop w:val="0"/>
          <w:marBottom w:val="0"/>
          <w:divBdr>
            <w:top w:val="none" w:sz="0" w:space="0" w:color="auto"/>
            <w:left w:val="none" w:sz="0" w:space="0" w:color="auto"/>
            <w:bottom w:val="none" w:sz="0" w:space="0" w:color="auto"/>
            <w:right w:val="none" w:sz="0" w:space="0" w:color="auto"/>
          </w:divBdr>
        </w:div>
        <w:div w:id="2038003006">
          <w:marLeft w:val="0"/>
          <w:marRight w:val="0"/>
          <w:marTop w:val="0"/>
          <w:marBottom w:val="0"/>
          <w:divBdr>
            <w:top w:val="none" w:sz="0" w:space="0" w:color="auto"/>
            <w:left w:val="none" w:sz="0" w:space="0" w:color="auto"/>
            <w:bottom w:val="none" w:sz="0" w:space="0" w:color="auto"/>
            <w:right w:val="none" w:sz="0" w:space="0" w:color="auto"/>
          </w:divBdr>
        </w:div>
        <w:div w:id="1829855586">
          <w:marLeft w:val="0"/>
          <w:marRight w:val="0"/>
          <w:marTop w:val="0"/>
          <w:marBottom w:val="0"/>
          <w:divBdr>
            <w:top w:val="none" w:sz="0" w:space="0" w:color="auto"/>
            <w:left w:val="none" w:sz="0" w:space="0" w:color="auto"/>
            <w:bottom w:val="none" w:sz="0" w:space="0" w:color="auto"/>
            <w:right w:val="none" w:sz="0" w:space="0" w:color="auto"/>
          </w:divBdr>
        </w:div>
        <w:div w:id="139463929">
          <w:marLeft w:val="0"/>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842309081">
      <w:bodyDiv w:val="1"/>
      <w:marLeft w:val="0"/>
      <w:marRight w:val="0"/>
      <w:marTop w:val="0"/>
      <w:marBottom w:val="0"/>
      <w:divBdr>
        <w:top w:val="none" w:sz="0" w:space="0" w:color="auto"/>
        <w:left w:val="none" w:sz="0" w:space="0" w:color="auto"/>
        <w:bottom w:val="none" w:sz="0" w:space="0" w:color="auto"/>
        <w:right w:val="none" w:sz="0" w:space="0" w:color="auto"/>
      </w:divBdr>
      <w:divsChild>
        <w:div w:id="305673522">
          <w:marLeft w:val="0"/>
          <w:marRight w:val="0"/>
          <w:marTop w:val="0"/>
          <w:marBottom w:val="0"/>
          <w:divBdr>
            <w:top w:val="none" w:sz="0" w:space="0" w:color="auto"/>
            <w:left w:val="none" w:sz="0" w:space="0" w:color="auto"/>
            <w:bottom w:val="none" w:sz="0" w:space="0" w:color="auto"/>
            <w:right w:val="none" w:sz="0" w:space="0" w:color="auto"/>
          </w:divBdr>
        </w:div>
        <w:div w:id="1684866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58D300-47E0-4EF7-B9D1-C0E68DBAB32A}">
  <ds:schemaRefs>
    <ds:schemaRef ds:uri="http://schemas.openxmlformats.org/officeDocument/2006/bibliography"/>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4189</Words>
  <Characters>23880</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Tony Kouemo</cp:lastModifiedBy>
  <cp:revision>2</cp:revision>
  <cp:lastPrinted>2014-02-10T17:12:00Z</cp:lastPrinted>
  <dcterms:created xsi:type="dcterms:W3CDTF">2021-12-03T14:34:00Z</dcterms:created>
  <dcterms:modified xsi:type="dcterms:W3CDTF">2021-12-03T14:34:00Z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