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B667AC">
      <w:pPr>
        <w:jc w:val="both"/>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0AF5B45"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F74261">
        <w:rPr>
          <w:bCs/>
          <w:iCs/>
          <w:snapToGrid w:val="0"/>
        </w:rPr>
        <w:t>Somalia</w:t>
      </w:r>
    </w:p>
    <w:p w14:paraId="28AB750A" w14:textId="59811A6F"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F778FE">
        <w:rPr>
          <w:b/>
          <w:bCs/>
          <w:caps/>
        </w:rPr>
        <w:t>Semi-annual</w:t>
      </w:r>
    </w:p>
    <w:p w14:paraId="54B5CFAE" w14:textId="1F3CD1DB"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F778FE">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31B0A509" w14:textId="77777777" w:rsidR="00AC4E5A" w:rsidRPr="00B67A7E" w:rsidRDefault="00793DE6" w:rsidP="00AC4E5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C4E5A">
              <w:rPr>
                <w:rFonts w:ascii="Times New Roman" w:hAnsi="Times New Roman" w:cs="Times New Roman"/>
                <w:bCs/>
                <w:sz w:val="24"/>
                <w:szCs w:val="24"/>
                <w:lang w:val="en-US"/>
              </w:rPr>
              <w:t>I</w:t>
            </w:r>
            <w:r w:rsidR="00AC4E5A" w:rsidRPr="000E2F49">
              <w:rPr>
                <w:rFonts w:ascii="Times New Roman" w:hAnsi="Times New Roman" w:cs="Times New Roman"/>
                <w:bCs/>
                <w:sz w:val="24"/>
                <w:szCs w:val="24"/>
                <w:lang w:val="en-US"/>
              </w:rPr>
              <w:t>mp</w:t>
            </w:r>
            <w:r w:rsidR="00AC4E5A" w:rsidRPr="00B67A7E">
              <w:rPr>
                <w:rFonts w:ascii="Times New Roman" w:hAnsi="Times New Roman" w:cs="Times New Roman"/>
                <w:bCs/>
                <w:iCs/>
                <w:snapToGrid w:val="0"/>
                <w:sz w:val="24"/>
                <w:szCs w:val="24"/>
              </w:rPr>
              <w:t>roving psychosocial support and mental health care for conflict affected</w:t>
            </w:r>
          </w:p>
          <w:p w14:paraId="7093DA9F" w14:textId="72A7A066" w:rsidR="00793DE6" w:rsidRPr="00627A1C" w:rsidRDefault="00AC4E5A" w:rsidP="00AC4E5A">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B67A7E">
              <w:rPr>
                <w:rFonts w:ascii="Times New Roman" w:hAnsi="Times New Roman" w:cs="Times New Roman"/>
                <w:bCs/>
                <w:iCs/>
                <w:snapToGrid w:val="0"/>
                <w:sz w:val="24"/>
                <w:szCs w:val="24"/>
              </w:rPr>
              <w:t xml:space="preserve">youth in Somalia: a </w:t>
            </w:r>
            <w:r w:rsidR="001419C2" w:rsidRPr="00B67A7E">
              <w:rPr>
                <w:rFonts w:ascii="Times New Roman" w:hAnsi="Times New Roman" w:cs="Times New Roman"/>
                <w:bCs/>
                <w:iCs/>
                <w:snapToGrid w:val="0"/>
                <w:sz w:val="24"/>
                <w:szCs w:val="24"/>
              </w:rPr>
              <w:t>socially inclusive</w:t>
            </w:r>
            <w:r w:rsidRPr="00B67A7E">
              <w:rPr>
                <w:rFonts w:ascii="Times New Roman" w:hAnsi="Times New Roman" w:cs="Times New Roman"/>
                <w:bCs/>
                <w:iCs/>
                <w:snapToGrid w:val="0"/>
                <w:sz w:val="24"/>
                <w:szCs w:val="24"/>
              </w:rPr>
              <w:t xml:space="preserve"> integrated approach for peace building</w:t>
            </w:r>
          </w:p>
          <w:p w14:paraId="7336EAC3" w14:textId="1C8EC093"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0" w:name="projtype"/>
            <w:r w:rsidR="004D141E" w:rsidRPr="00627A1C">
              <w:rPr>
                <w:b/>
              </w:rPr>
              <w:instrText xml:space="preserve"> FORMDROPDOWN </w:instrText>
            </w:r>
            <w:r w:rsidR="0095730A">
              <w:rPr>
                <w:b/>
              </w:rPr>
            </w:r>
            <w:r w:rsidR="0095730A">
              <w:rPr>
                <w:b/>
              </w:rPr>
              <w:fldChar w:fldCharType="separate"/>
            </w:r>
            <w:r w:rsidR="004D141E" w:rsidRPr="00627A1C">
              <w:rPr>
                <w:b/>
              </w:rPr>
              <w:fldChar w:fldCharType="end"/>
            </w:r>
            <w:bookmarkEnd w:id="0"/>
            <w:r w:rsidR="00A43B9C" w:rsidRPr="00627A1C">
              <w:rPr>
                <w:b/>
              </w:rPr>
              <w:t xml:space="preserve">   </w:t>
            </w:r>
            <w:r w:rsidR="00146C48">
              <w:rPr>
                <w:b/>
              </w:rPr>
              <w:fldChar w:fldCharType="begin">
                <w:ffData>
                  <w:name w:val="Text39"/>
                  <w:enabled/>
                  <w:calcOnExit w:val="0"/>
                  <w:textInput>
                    <w:default w:val="118835"/>
                  </w:textInput>
                </w:ffData>
              </w:fldChar>
            </w:r>
            <w:bookmarkStart w:id="1" w:name="Text39"/>
            <w:r w:rsidR="00146C48">
              <w:rPr>
                <w:b/>
              </w:rPr>
              <w:instrText xml:space="preserve"> FORMTEXT </w:instrText>
            </w:r>
            <w:r w:rsidR="00146C48">
              <w:rPr>
                <w:b/>
              </w:rPr>
            </w:r>
            <w:r w:rsidR="00146C48">
              <w:rPr>
                <w:b/>
              </w:rPr>
              <w:fldChar w:fldCharType="separate"/>
            </w:r>
            <w:r w:rsidR="00146C48">
              <w:rPr>
                <w:b/>
                <w:noProof/>
              </w:rPr>
              <w:t>118835</w:t>
            </w:r>
            <w:r w:rsidR="00146C48">
              <w:rPr>
                <w:b/>
              </w:rPr>
              <w:fldChar w:fldCharType="end"/>
            </w:r>
            <w:bookmarkEnd w:id="1"/>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95730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95730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55405E75" w14:textId="77777777" w:rsidR="00417878" w:rsidRPr="00627A1C" w:rsidRDefault="00417878" w:rsidP="00417878">
            <w:pPr>
              <w:pStyle w:val="BalloonText"/>
              <w:numPr>
                <w:ilvl w:val="12"/>
                <w:numId w:val="0"/>
              </w:numPr>
              <w:tabs>
                <w:tab w:val="left" w:pos="-720"/>
                <w:tab w:val="left" w:pos="4500"/>
              </w:tabs>
              <w:ind w:left="1532" w:hanging="1532"/>
              <w:rPr>
                <w:rFonts w:ascii="Times New Roman" w:hAnsi="Times New Roman" w:cs="Times New Roman"/>
                <w:b/>
                <w:sz w:val="24"/>
                <w:szCs w:val="24"/>
              </w:rPr>
            </w:pPr>
            <w:r>
              <w:rPr>
                <w:rFonts w:ascii="Times New Roman" w:hAnsi="Times New Roman" w:cs="Times New Roman"/>
                <w:b/>
                <w:sz w:val="24"/>
                <w:szCs w:val="24"/>
              </w:rPr>
              <w:t>RUNO</w:t>
            </w:r>
            <w:r w:rsidRPr="00627A1C">
              <w:rPr>
                <w:rFonts w:ascii="Times New Roman" w:hAnsi="Times New Roman" w:cs="Times New Roman"/>
                <w:b/>
                <w:sz w:val="24"/>
                <w:szCs w:val="24"/>
              </w:rPr>
              <w:t xml:space="preserve">     </w:t>
            </w:r>
            <w:r>
              <w:rPr>
                <w:rFonts w:ascii="Times New Roman" w:hAnsi="Times New Roman" w:cs="Times New Roman"/>
                <w:b/>
                <w:sz w:val="24"/>
                <w:szCs w:val="24"/>
              </w:rPr>
              <w:tab/>
              <w:t>WHO</w:t>
            </w:r>
            <w:r w:rsidRPr="00627A1C">
              <w:rPr>
                <w:rFonts w:ascii="Times New Roman" w:hAnsi="Times New Roman" w:cs="Times New Roman"/>
                <w:b/>
                <w:sz w:val="24"/>
                <w:szCs w:val="24"/>
              </w:rPr>
              <w:t xml:space="preserve"> (Convening Agency)</w:t>
            </w:r>
          </w:p>
          <w:p w14:paraId="21748725" w14:textId="77777777" w:rsidR="00417878" w:rsidRPr="00627A1C" w:rsidRDefault="00417878" w:rsidP="00417878">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trike/>
                <w:sz w:val="24"/>
                <w:szCs w:val="24"/>
                <w:highlight w:val="lightGray"/>
              </w:rPr>
              <w:fldChar w:fldCharType="begin">
                <w:ffData>
                  <w:name w:val=""/>
                  <w:enabled/>
                  <w:calcOnExit w:val="0"/>
                  <w:ddList>
                    <w:listEntry w:val="please select"/>
                    <w:listEntry w:val="RUNO"/>
                    <w:listEntry w:val="NUNO"/>
                  </w:ddList>
                </w:ffData>
              </w:fldChar>
            </w:r>
            <w:r>
              <w:rPr>
                <w:rFonts w:ascii="Times New Roman" w:hAnsi="Times New Roman" w:cs="Times New Roman"/>
                <w:b/>
                <w:strike/>
                <w:sz w:val="24"/>
                <w:szCs w:val="24"/>
                <w:highlight w:val="lightGray"/>
              </w:rPr>
              <w:instrText xml:space="preserve"> FORMDROPDOWN </w:instrText>
            </w:r>
            <w:r w:rsidR="0095730A">
              <w:rPr>
                <w:rFonts w:ascii="Times New Roman" w:hAnsi="Times New Roman" w:cs="Times New Roman"/>
                <w:b/>
                <w:strike/>
                <w:sz w:val="24"/>
                <w:szCs w:val="24"/>
                <w:highlight w:val="lightGray"/>
              </w:rPr>
            </w:r>
            <w:r w:rsidR="0095730A">
              <w:rPr>
                <w:rFonts w:ascii="Times New Roman" w:hAnsi="Times New Roman" w:cs="Times New Roman"/>
                <w:b/>
                <w:strike/>
                <w:sz w:val="24"/>
                <w:szCs w:val="24"/>
                <w:highlight w:val="lightGray"/>
              </w:rPr>
              <w:fldChar w:fldCharType="separate"/>
            </w:r>
            <w:r>
              <w:rPr>
                <w:rFonts w:ascii="Times New Roman" w:hAnsi="Times New Roman" w:cs="Times New Roman"/>
                <w:b/>
                <w:strike/>
                <w:sz w:val="24"/>
                <w:szCs w:val="24"/>
                <w:highlight w:val="lightGray"/>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IOM</w:t>
            </w:r>
          </w:p>
          <w:p w14:paraId="0E716BB7" w14:textId="77777777" w:rsidR="00417878" w:rsidRPr="00627A1C" w:rsidRDefault="00417878" w:rsidP="00417878">
            <w:pPr>
              <w:pStyle w:val="BalloonText"/>
              <w:numPr>
                <w:ilvl w:val="12"/>
                <w:numId w:val="0"/>
              </w:numPr>
              <w:tabs>
                <w:tab w:val="left" w:pos="-720"/>
                <w:tab w:val="left" w:pos="4500"/>
              </w:tabs>
              <w:rPr>
                <w:rFonts w:ascii="Times New Roman" w:hAnsi="Times New Roman" w:cs="Times New Roman"/>
                <w:b/>
                <w:sz w:val="24"/>
                <w:szCs w:val="24"/>
              </w:rPr>
            </w:pPr>
            <w:r w:rsidRPr="00EF691B">
              <w:rPr>
                <w:rFonts w:ascii="Times New Roman" w:hAnsi="Times New Roman" w:cs="Times New Roman"/>
                <w:b/>
                <w:strike/>
                <w:sz w:val="24"/>
                <w:szCs w:val="24"/>
                <w:highlight w:val="lightGray"/>
              </w:rPr>
              <w:fldChar w:fldCharType="begin">
                <w:ffData>
                  <w:name w:val="recipeinttype"/>
                  <w:enabled/>
                  <w:calcOnExit w:val="0"/>
                  <w:ddList>
                    <w:listEntry w:val="please select"/>
                    <w:listEntry w:val="RUNO"/>
                    <w:listEntry w:val="NUNO"/>
                  </w:ddList>
                </w:ffData>
              </w:fldChar>
            </w:r>
            <w:bookmarkStart w:id="2" w:name="recipeinttype"/>
            <w:r w:rsidRPr="00EF691B">
              <w:rPr>
                <w:rFonts w:ascii="Times New Roman" w:hAnsi="Times New Roman" w:cs="Times New Roman"/>
                <w:b/>
                <w:strike/>
                <w:sz w:val="24"/>
                <w:szCs w:val="24"/>
                <w:highlight w:val="lightGray"/>
              </w:rPr>
              <w:instrText xml:space="preserve"> FORMDROPDOWN </w:instrText>
            </w:r>
            <w:r w:rsidR="0095730A">
              <w:rPr>
                <w:rFonts w:ascii="Times New Roman" w:hAnsi="Times New Roman" w:cs="Times New Roman"/>
                <w:b/>
                <w:strike/>
                <w:sz w:val="24"/>
                <w:szCs w:val="24"/>
                <w:highlight w:val="lightGray"/>
              </w:rPr>
            </w:r>
            <w:r w:rsidR="0095730A">
              <w:rPr>
                <w:rFonts w:ascii="Times New Roman" w:hAnsi="Times New Roman" w:cs="Times New Roman"/>
                <w:b/>
                <w:strike/>
                <w:sz w:val="24"/>
                <w:szCs w:val="24"/>
                <w:highlight w:val="lightGray"/>
              </w:rPr>
              <w:fldChar w:fldCharType="separate"/>
            </w:r>
            <w:r w:rsidRPr="00EF691B">
              <w:rPr>
                <w:rFonts w:ascii="Times New Roman" w:hAnsi="Times New Roman" w:cs="Times New Roman"/>
                <w:b/>
                <w:strike/>
                <w:sz w:val="24"/>
                <w:szCs w:val="24"/>
                <w:highlight w:val="lightGray"/>
              </w:rPr>
              <w:fldChar w:fldCharType="end"/>
            </w:r>
            <w:bookmarkEnd w:id="2"/>
            <w:r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27A1C">
              <w:rPr>
                <w:rFonts w:ascii="Times New Roman" w:hAnsi="Times New Roman" w:cs="Times New Roman"/>
                <w:b/>
                <w:sz w:val="24"/>
                <w:szCs w:val="24"/>
              </w:rPr>
              <w:t xml:space="preserve">   </w:t>
            </w:r>
            <w:r>
              <w:rPr>
                <w:rFonts w:ascii="Times New Roman" w:hAnsi="Times New Roman" w:cs="Times New Roman"/>
                <w:b/>
                <w:sz w:val="24"/>
                <w:szCs w:val="24"/>
              </w:rPr>
              <w:t>UNICEF</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5730A">
              <w:rPr>
                <w:rFonts w:ascii="Times New Roman" w:hAnsi="Times New Roman" w:cs="Times New Roman"/>
                <w:b/>
                <w:sz w:val="24"/>
                <w:szCs w:val="24"/>
              </w:rPr>
            </w:r>
            <w:r w:rsidR="0095730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95730A">
              <w:rPr>
                <w:rFonts w:ascii="Times New Roman" w:hAnsi="Times New Roman" w:cs="Times New Roman"/>
                <w:b/>
                <w:sz w:val="24"/>
                <w:szCs w:val="24"/>
              </w:rPr>
            </w:r>
            <w:r w:rsidR="0095730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6084002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3B0732" w:rsidRPr="00EF691B">
              <w:rPr>
                <w:bCs/>
                <w:iCs/>
                <w:snapToGrid w:val="0"/>
                <w:highlight w:val="lightGray"/>
              </w:rPr>
              <w:t>26</w:t>
            </w:r>
            <w:r w:rsidR="003B0732" w:rsidRPr="00EF691B">
              <w:rPr>
                <w:bCs/>
                <w:iCs/>
                <w:snapToGrid w:val="0"/>
                <w:highlight w:val="lightGray"/>
                <w:vertAlign w:val="superscript"/>
              </w:rPr>
              <w:t>th</w:t>
            </w:r>
            <w:r w:rsidR="003B0732" w:rsidRPr="00EF691B">
              <w:rPr>
                <w:bCs/>
                <w:iCs/>
                <w:snapToGrid w:val="0"/>
                <w:highlight w:val="lightGray"/>
              </w:rPr>
              <w:t xml:space="preserve"> November 2019</w:t>
            </w:r>
          </w:p>
          <w:p w14:paraId="37A4BB59" w14:textId="48A14354"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B0732">
              <w:rPr>
                <w:bCs/>
                <w:iCs/>
                <w:snapToGrid w:val="0"/>
              </w:rPr>
              <w:t>31 August 2021</w:t>
            </w:r>
            <w:r w:rsidR="0025220B" w:rsidRPr="00627A1C">
              <w:rPr>
                <w:bCs/>
                <w:iCs/>
                <w:snapToGrid w:val="0"/>
              </w:rPr>
              <w:t xml:space="preserve">     </w:t>
            </w:r>
          </w:p>
          <w:p w14:paraId="45B406BF" w14:textId="5933D9B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3B0732">
              <w:rPr>
                <w:bCs/>
                <w:iCs/>
                <w:snapToGrid w:val="0"/>
              </w:rPr>
              <w:t xml:space="preserve">Yes </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5730A">
              <w:fldChar w:fldCharType="separate"/>
            </w:r>
            <w:r w:rsidRPr="00627A1C">
              <w:fldChar w:fldCharType="end"/>
            </w:r>
            <w:r w:rsidRPr="00627A1C">
              <w:t xml:space="preserve"> Gender promotion initiative</w:t>
            </w:r>
          </w:p>
          <w:p w14:paraId="55AFED50" w14:textId="04BC1F66" w:rsidR="00793DE6" w:rsidRPr="00627A1C" w:rsidRDefault="003B0732" w:rsidP="00F23D0F">
            <w:r>
              <w:fldChar w:fldCharType="begin">
                <w:ffData>
                  <w:name w:val=""/>
                  <w:enabled/>
                  <w:calcOnExit w:val="0"/>
                  <w:checkBox>
                    <w:sizeAuto/>
                    <w:default w:val="1"/>
                  </w:checkBox>
                </w:ffData>
              </w:fldChar>
            </w:r>
            <w:r>
              <w:instrText xml:space="preserve"> FORMCHECKBOX </w:instrText>
            </w:r>
            <w:r w:rsidR="0095730A">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5730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5730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6"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6"/>
          <w:p w14:paraId="5F3735FD" w14:textId="77777777" w:rsidR="002D4586" w:rsidRPr="00EF691B" w:rsidRDefault="002D4586" w:rsidP="002D4586">
            <w:pPr>
              <w:rPr>
                <w:bCs/>
                <w:iCs/>
                <w:snapToGrid w:val="0"/>
                <w:highlight w:val="lightGray"/>
              </w:rPr>
            </w:pPr>
            <w:r w:rsidRPr="00EF691B">
              <w:rPr>
                <w:bCs/>
                <w:iCs/>
                <w:snapToGrid w:val="0"/>
                <w:highlight w:val="lightGray"/>
              </w:rPr>
              <w:t>WHO</w:t>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Pr>
                <w:bCs/>
                <w:iCs/>
                <w:snapToGrid w:val="0"/>
                <w:highlight w:val="lightGray"/>
              </w:rPr>
              <w:t xml:space="preserve">   </w:t>
            </w:r>
            <w:proofErr w:type="gramStart"/>
            <w:r w:rsidRPr="00EF691B">
              <w:rPr>
                <w:iCs/>
                <w:highlight w:val="lightGray"/>
              </w:rPr>
              <w:t>$</w:t>
            </w:r>
            <w:r w:rsidRPr="00EF691B">
              <w:rPr>
                <w:bCs/>
                <w:iCs/>
                <w:snapToGrid w:val="0"/>
                <w:highlight w:val="lightGray"/>
              </w:rPr>
              <w:t>770,400</w:t>
            </w:r>
            <w:proofErr w:type="gramEnd"/>
          </w:p>
          <w:p w14:paraId="641F1AED" w14:textId="77777777" w:rsidR="002D4586" w:rsidRPr="00EF691B" w:rsidRDefault="002D4586" w:rsidP="002D4586">
            <w:pPr>
              <w:rPr>
                <w:bCs/>
                <w:iCs/>
                <w:snapToGrid w:val="0"/>
                <w:highlight w:val="lightGray"/>
              </w:rPr>
            </w:pPr>
            <w:r w:rsidRPr="00EF691B">
              <w:rPr>
                <w:bCs/>
                <w:iCs/>
                <w:snapToGrid w:val="0"/>
                <w:highlight w:val="lightGray"/>
              </w:rPr>
              <w:t>UNICEF</w:t>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Pr>
                <w:bCs/>
                <w:iCs/>
                <w:snapToGrid w:val="0"/>
                <w:highlight w:val="lightGray"/>
              </w:rPr>
              <w:t xml:space="preserve">   </w:t>
            </w:r>
            <w:r w:rsidRPr="00EF691B">
              <w:rPr>
                <w:highlight w:val="lightGray"/>
              </w:rPr>
              <w:t>$</w:t>
            </w:r>
            <w:r w:rsidRPr="00EF691B">
              <w:rPr>
                <w:bCs/>
                <w:iCs/>
                <w:snapToGrid w:val="0"/>
                <w:highlight w:val="lightGray"/>
              </w:rPr>
              <w:t>254,948</w:t>
            </w:r>
          </w:p>
          <w:p w14:paraId="1858E525" w14:textId="77777777" w:rsidR="002D4586" w:rsidRPr="00EF691B" w:rsidRDefault="002D4586" w:rsidP="002D4586">
            <w:pPr>
              <w:rPr>
                <w:bCs/>
                <w:iCs/>
                <w:snapToGrid w:val="0"/>
                <w:highlight w:val="lightGray"/>
              </w:rPr>
            </w:pPr>
            <w:r w:rsidRPr="00EF691B">
              <w:rPr>
                <w:bCs/>
                <w:iCs/>
                <w:snapToGrid w:val="0"/>
                <w:highlight w:val="lightGray"/>
              </w:rPr>
              <w:t>IOM</w:t>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sidRPr="00EF691B">
              <w:rPr>
                <w:bCs/>
                <w:iCs/>
                <w:snapToGrid w:val="0"/>
                <w:highlight w:val="lightGray"/>
              </w:rPr>
              <w:tab/>
            </w:r>
            <w:r>
              <w:rPr>
                <w:bCs/>
                <w:iCs/>
                <w:snapToGrid w:val="0"/>
                <w:highlight w:val="lightGray"/>
              </w:rPr>
              <w:t xml:space="preserve">   </w:t>
            </w:r>
            <w:r w:rsidRPr="00EF691B">
              <w:rPr>
                <w:highlight w:val="lightGray"/>
              </w:rPr>
              <w:t>$</w:t>
            </w:r>
            <w:r w:rsidRPr="00EF691B">
              <w:rPr>
                <w:bCs/>
                <w:iCs/>
                <w:snapToGrid w:val="0"/>
                <w:highlight w:val="lightGray"/>
              </w:rPr>
              <w:t>474,652</w:t>
            </w:r>
          </w:p>
          <w:p w14:paraId="255B7743" w14:textId="77777777" w:rsidR="002D4586" w:rsidRPr="00EF691B" w:rsidRDefault="002D4586" w:rsidP="002D4586">
            <w:pPr>
              <w:rPr>
                <w:b/>
                <w:bCs/>
                <w:iCs/>
              </w:rPr>
            </w:pPr>
            <w:r w:rsidRPr="00EF691B">
              <w:rPr>
                <w:b/>
                <w:bCs/>
                <w:highlight w:val="lightGray"/>
              </w:rPr>
              <w:t>Total:</w:t>
            </w:r>
            <w:r w:rsidRPr="00EF691B">
              <w:rPr>
                <w:b/>
                <w:bCs/>
                <w:highlight w:val="lightGray"/>
              </w:rPr>
              <w:tab/>
            </w:r>
            <w:r w:rsidRPr="00EF691B">
              <w:rPr>
                <w:b/>
                <w:bCs/>
                <w:highlight w:val="lightGray"/>
              </w:rPr>
              <w:tab/>
            </w:r>
            <w:r w:rsidRPr="00EF691B">
              <w:rPr>
                <w:b/>
                <w:bCs/>
                <w:highlight w:val="lightGray"/>
              </w:rPr>
              <w:tab/>
            </w:r>
            <w:r w:rsidRPr="00EF691B">
              <w:rPr>
                <w:b/>
                <w:bCs/>
                <w:highlight w:val="lightGray"/>
              </w:rPr>
              <w:tab/>
            </w:r>
            <w:r w:rsidRPr="00EF691B">
              <w:rPr>
                <w:b/>
                <w:bCs/>
                <w:highlight w:val="lightGray"/>
              </w:rPr>
              <w:tab/>
              <w:t>$</w:t>
            </w:r>
            <w:r w:rsidRPr="00EF691B">
              <w:rPr>
                <w:b/>
                <w:bCs/>
                <w:iCs/>
                <w:snapToGrid w:val="0"/>
                <w:highlight w:val="lightGray"/>
              </w:rPr>
              <w:t>1,500,000</w:t>
            </w:r>
            <w:r w:rsidRPr="00EF691B">
              <w:rPr>
                <w:b/>
                <w:bCs/>
                <w:iCs/>
                <w:snapToGrid w:val="0"/>
              </w:rPr>
              <w:t xml:space="preserve"> </w:t>
            </w:r>
          </w:p>
          <w:p w14:paraId="5E09328A" w14:textId="3ED72870" w:rsidR="00793DE6" w:rsidRPr="00627A1C" w:rsidRDefault="00C12D6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p>
          <w:p w14:paraId="21E4CBF9" w14:textId="0DAF54E5"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158EF">
              <w:rPr>
                <w:rFonts w:ascii="Times New Roman" w:hAnsi="Times New Roman" w:cs="Times New Roman"/>
                <w:bCs/>
                <w:iCs/>
                <w:snapToGrid w:val="0"/>
                <w:sz w:val="24"/>
                <w:szCs w:val="24"/>
              </w:rPr>
              <w:t xml:space="preserve">Approximate implementation rate as percentage of total project budget: </w:t>
            </w:r>
            <w:r w:rsidR="006C2EFD">
              <w:rPr>
                <w:rFonts w:ascii="Times New Roman" w:hAnsi="Times New Roman" w:cs="Times New Roman"/>
                <w:bCs/>
                <w:iCs/>
                <w:snapToGrid w:val="0"/>
                <w:sz w:val="24"/>
                <w:szCs w:val="24"/>
              </w:rPr>
              <w:t>56%</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5397DCA"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p>
          <w:p w14:paraId="40C55E50" w14:textId="77777777" w:rsidR="00E1742E" w:rsidRPr="0055028D" w:rsidRDefault="00E1742E" w:rsidP="00E1742E">
            <w:r w:rsidRPr="0055028D">
              <w:t>-WHO: $333,305</w:t>
            </w:r>
          </w:p>
          <w:p w14:paraId="6EC0090A" w14:textId="77777777" w:rsidR="00E1742E" w:rsidRPr="0055028D" w:rsidRDefault="00E1742E" w:rsidP="00E1742E">
            <w:r w:rsidRPr="0055028D">
              <w:t>-IOM: $309,403/88</w:t>
            </w:r>
          </w:p>
          <w:p w14:paraId="5827A6A3" w14:textId="77777777" w:rsidR="00E1742E" w:rsidRPr="0055028D" w:rsidRDefault="00E1742E" w:rsidP="00E1742E">
            <w:r w:rsidRPr="0055028D">
              <w:t>-UNICEF: $157,384.6</w:t>
            </w:r>
          </w:p>
          <w:p w14:paraId="599B6993" w14:textId="3F8B11B4" w:rsidR="00E1742E" w:rsidRDefault="00E1742E" w:rsidP="00E1742E">
            <w:r w:rsidRPr="0055028D">
              <w:t>TOTAL: $800,093.48</w:t>
            </w:r>
          </w:p>
          <w:p w14:paraId="553303D3" w14:textId="77777777" w:rsidR="00E1742E" w:rsidRPr="00627A1C" w:rsidRDefault="00E1742E" w:rsidP="00E1742E"/>
          <w:p w14:paraId="0345EEE7" w14:textId="4B607836" w:rsidR="00006EC0" w:rsidRPr="00627A1C" w:rsidRDefault="00006EC0" w:rsidP="00006EC0">
            <w:r w:rsidRPr="006158EF">
              <w:t xml:space="preserve">Amount expended to date on activities focussed on gender equality or women’s empowerment: </w:t>
            </w:r>
            <w:r w:rsidR="001E583E">
              <w:t>$452,363.07</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55C3132C" w14:textId="77777777" w:rsidR="008A7813" w:rsidRPr="00E7059F" w:rsidRDefault="008A7813" w:rsidP="008A7813">
            <w:pPr>
              <w:rPr>
                <w:b/>
                <w:bCs/>
                <w:iCs/>
                <w:lang w:val="sv-SE"/>
              </w:rPr>
            </w:pPr>
            <w:r w:rsidRPr="00627A1C">
              <w:rPr>
                <w:b/>
                <w:bCs/>
                <w:iCs/>
              </w:rPr>
              <w:lastRenderedPageBreak/>
              <w:t xml:space="preserve">Project Gender Marker: </w:t>
            </w:r>
            <w:r w:rsidRPr="00E7059F">
              <w:rPr>
                <w:iCs/>
                <w:highlight w:val="lightGray"/>
                <w:lang w:val="sv-SE"/>
              </w:rPr>
              <w:t>GM2</w:t>
            </w:r>
          </w:p>
          <w:p w14:paraId="37C3675C" w14:textId="77777777" w:rsidR="008A7813" w:rsidRPr="00E7059F" w:rsidRDefault="008A7813" w:rsidP="008A7813">
            <w:pPr>
              <w:rPr>
                <w:b/>
                <w:bCs/>
                <w:iCs/>
                <w:lang w:val="sv-SE"/>
              </w:rPr>
            </w:pPr>
            <w:r w:rsidRPr="00E7059F">
              <w:rPr>
                <w:b/>
                <w:bCs/>
                <w:iCs/>
                <w:lang w:val="sv-SE"/>
              </w:rPr>
              <w:t>Project Risk Marker:</w:t>
            </w:r>
            <w:r w:rsidRPr="00E7059F">
              <w:rPr>
                <w:b/>
                <w:bCs/>
                <w:iCs/>
                <w:lang w:val="sv-SE"/>
              </w:rPr>
              <w:tab/>
            </w:r>
            <w:r w:rsidRPr="00E7059F">
              <w:rPr>
                <w:iCs/>
                <w:highlight w:val="lightGray"/>
                <w:lang w:val="sv-SE"/>
              </w:rPr>
              <w:t>Medium</w:t>
            </w:r>
          </w:p>
          <w:p w14:paraId="1DAEED2D" w14:textId="5E610F3C" w:rsidR="009B18EB" w:rsidRPr="00627A1C" w:rsidRDefault="008A7813" w:rsidP="008A7813">
            <w:pPr>
              <w:rPr>
                <w:b/>
                <w:bCs/>
                <w:iCs/>
              </w:rPr>
            </w:pPr>
            <w:r w:rsidRPr="00627A1C">
              <w:rPr>
                <w:b/>
                <w:bCs/>
                <w:iCs/>
              </w:rPr>
              <w:t>Project PBF focus area:</w:t>
            </w:r>
            <w:r>
              <w:rPr>
                <w:b/>
                <w:bCs/>
                <w:iCs/>
              </w:rPr>
              <w:tab/>
            </w:r>
            <w:r w:rsidRPr="00EF691B">
              <w:rPr>
                <w:iCs/>
                <w:highlight w:val="lightGray"/>
              </w:rPr>
              <w:t>3.2 E</w:t>
            </w:r>
            <w:proofErr w:type="spellStart"/>
            <w:r w:rsidRPr="00EF691B">
              <w:rPr>
                <w:color w:val="000000" w:themeColor="text1"/>
                <w:highlight w:val="lightGray"/>
                <w:lang w:val="en-US"/>
              </w:rPr>
              <w:t>quitable</w:t>
            </w:r>
            <w:proofErr w:type="spellEnd"/>
            <w:r w:rsidRPr="00EF691B">
              <w:rPr>
                <w:color w:val="000000" w:themeColor="text1"/>
                <w:highlight w:val="lightGray"/>
                <w:lang w:val="en-US"/>
              </w:rPr>
              <w:t xml:space="preserve"> access to social services</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4D1FF513" w14:textId="77777777" w:rsidR="00331832" w:rsidRPr="00627A1C" w:rsidRDefault="00331832" w:rsidP="00331832">
            <w:r w:rsidRPr="00627A1C">
              <w:t xml:space="preserve">Project report prepared by: </w:t>
            </w:r>
            <w:r w:rsidRPr="00EF691B">
              <w:rPr>
                <w:highlight w:val="lightGray"/>
              </w:rPr>
              <w:t xml:space="preserve">Clara </w:t>
            </w:r>
            <w:proofErr w:type="spellStart"/>
            <w:r w:rsidRPr="00EF691B">
              <w:rPr>
                <w:highlight w:val="lightGray"/>
              </w:rPr>
              <w:t>Bruhman</w:t>
            </w:r>
            <w:proofErr w:type="spellEnd"/>
            <w:r w:rsidRPr="00EF691B">
              <w:rPr>
                <w:highlight w:val="lightGray"/>
              </w:rPr>
              <w:t>, WHO</w:t>
            </w:r>
          </w:p>
          <w:p w14:paraId="5E09AFB2" w14:textId="77777777" w:rsidR="00331832" w:rsidRPr="00627A1C" w:rsidRDefault="00331832" w:rsidP="00331832">
            <w:r w:rsidRPr="00627A1C">
              <w:t>Project report approved by:</w:t>
            </w:r>
            <w:r>
              <w:tab/>
            </w:r>
            <w:proofErr w:type="spellStart"/>
            <w:r w:rsidRPr="00EF691B">
              <w:rPr>
                <w:highlight w:val="lightGray"/>
              </w:rPr>
              <w:t>Dr.</w:t>
            </w:r>
            <w:proofErr w:type="spellEnd"/>
            <w:r w:rsidRPr="00EF691B">
              <w:rPr>
                <w:highlight w:val="lightGray"/>
              </w:rPr>
              <w:t xml:space="preserve"> </w:t>
            </w:r>
            <w:proofErr w:type="spellStart"/>
            <w:r w:rsidRPr="00EF691B">
              <w:rPr>
                <w:highlight w:val="lightGray"/>
              </w:rPr>
              <w:t>Humuyan</w:t>
            </w:r>
            <w:proofErr w:type="spellEnd"/>
            <w:r w:rsidRPr="00EF691B">
              <w:rPr>
                <w:highlight w:val="lightGray"/>
              </w:rPr>
              <w:t xml:space="preserve"> Rizwan, WHO</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7" w:name="secretariatreview"/>
            <w:r w:rsidR="004D141E" w:rsidRPr="00627A1C">
              <w:instrText xml:space="preserve"> FORMDROPDOWN </w:instrText>
            </w:r>
            <w:r w:rsidR="0095730A">
              <w:fldChar w:fldCharType="separate"/>
            </w:r>
            <w:r w:rsidR="004D141E" w:rsidRPr="00627A1C">
              <w:fldChar w:fldCharType="end"/>
            </w:r>
            <w:bookmarkEnd w:id="7"/>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3FF2035B" w:rsidR="00627A1C" w:rsidRPr="005937E9" w:rsidRDefault="00225EC6" w:rsidP="00521A07">
      <w:pPr>
        <w:ind w:left="-810"/>
        <w:jc w:val="both"/>
        <w:rPr>
          <w:bCs/>
          <w:iCs/>
        </w:rPr>
      </w:pPr>
      <w:r w:rsidRPr="005937E9">
        <w:rPr>
          <w:b/>
          <w:i/>
        </w:rPr>
        <w:t>-</w:t>
      </w:r>
      <w:r w:rsidRPr="005937E9">
        <w:rPr>
          <w:b/>
          <w:iCs/>
        </w:rPr>
        <w:t>WHO</w:t>
      </w:r>
      <w:r w:rsidRPr="005937E9">
        <w:rPr>
          <w:bCs/>
          <w:iCs/>
        </w:rPr>
        <w:t xml:space="preserve">: </w:t>
      </w:r>
      <w:r w:rsidR="008F3548" w:rsidRPr="005937E9">
        <w:rPr>
          <w:bCs/>
          <w:iCs/>
        </w:rPr>
        <w:t>After developing</w:t>
      </w:r>
      <w:r w:rsidR="00FE2581" w:rsidRPr="005937E9">
        <w:rPr>
          <w:bCs/>
          <w:iCs/>
        </w:rPr>
        <w:t xml:space="preserve"> the </w:t>
      </w:r>
      <w:r w:rsidR="00414CB1" w:rsidRPr="005937E9">
        <w:rPr>
          <w:bCs/>
          <w:iCs/>
          <w:lang w:val="en-US"/>
        </w:rPr>
        <w:t xml:space="preserve">curriculum using the </w:t>
      </w:r>
      <w:proofErr w:type="spellStart"/>
      <w:r w:rsidR="00C772C7">
        <w:rPr>
          <w:bCs/>
          <w:iCs/>
          <w:lang w:val="en-US"/>
        </w:rPr>
        <w:t>m</w:t>
      </w:r>
      <w:r w:rsidR="00414CB1" w:rsidRPr="005937E9">
        <w:rPr>
          <w:bCs/>
          <w:iCs/>
          <w:lang w:val="en-US"/>
        </w:rPr>
        <w:t>hGap</w:t>
      </w:r>
      <w:proofErr w:type="spellEnd"/>
      <w:r w:rsidR="00414CB1" w:rsidRPr="005937E9">
        <w:rPr>
          <w:bCs/>
          <w:iCs/>
          <w:lang w:val="en-US"/>
        </w:rPr>
        <w:t xml:space="preserve"> intervention guide, WHO </w:t>
      </w:r>
      <w:r w:rsidR="00C52C6F" w:rsidRPr="005937E9">
        <w:rPr>
          <w:bCs/>
          <w:iCs/>
          <w:lang w:val="en-US"/>
        </w:rPr>
        <w:t xml:space="preserve">held </w:t>
      </w:r>
      <w:r w:rsidR="008F3548" w:rsidRPr="005937E9">
        <w:rPr>
          <w:bCs/>
          <w:iCs/>
          <w:lang w:val="en-US"/>
        </w:rPr>
        <w:t xml:space="preserve">a </w:t>
      </w:r>
      <w:r w:rsidR="00C52C6F" w:rsidRPr="005937E9">
        <w:rPr>
          <w:bCs/>
          <w:iCs/>
          <w:lang w:val="en-US"/>
        </w:rPr>
        <w:t xml:space="preserve">training </w:t>
      </w:r>
      <w:r w:rsidR="00DB6BBF">
        <w:rPr>
          <w:bCs/>
          <w:iCs/>
          <w:lang w:val="en-US"/>
        </w:rPr>
        <w:t>of</w:t>
      </w:r>
      <w:r w:rsidR="00B27AE2" w:rsidRPr="005937E9">
        <w:rPr>
          <w:bCs/>
          <w:iCs/>
          <w:lang w:val="en-US"/>
        </w:rPr>
        <w:t xml:space="preserve"> </w:t>
      </w:r>
      <w:r w:rsidR="00414CB1" w:rsidRPr="005937E9">
        <w:rPr>
          <w:bCs/>
          <w:iCs/>
          <w:lang w:val="en-US"/>
        </w:rPr>
        <w:t>trainers</w:t>
      </w:r>
      <w:r w:rsidR="004C582C">
        <w:rPr>
          <w:bCs/>
          <w:iCs/>
          <w:lang w:val="en-US"/>
        </w:rPr>
        <w:t xml:space="preserve"> (TOTs</w:t>
      </w:r>
      <w:r w:rsidR="00FD0A21" w:rsidRPr="005937E9">
        <w:rPr>
          <w:bCs/>
          <w:iCs/>
          <w:lang w:val="en-US"/>
        </w:rPr>
        <w:t>)</w:t>
      </w:r>
      <w:r w:rsidR="008F3548" w:rsidRPr="005937E9">
        <w:rPr>
          <w:bCs/>
          <w:iCs/>
          <w:lang w:val="en-US"/>
        </w:rPr>
        <w:t xml:space="preserve"> and</w:t>
      </w:r>
      <w:r w:rsidR="00C52C6F" w:rsidRPr="005937E9">
        <w:rPr>
          <w:bCs/>
          <w:iCs/>
          <w:lang w:val="en-US"/>
        </w:rPr>
        <w:t xml:space="preserve"> cascade trainings</w:t>
      </w:r>
      <w:r w:rsidR="00FD0A21" w:rsidRPr="005937E9">
        <w:rPr>
          <w:bCs/>
          <w:iCs/>
          <w:lang w:val="en-US"/>
        </w:rPr>
        <w:t>,</w:t>
      </w:r>
      <w:r w:rsidR="00D07BF2" w:rsidRPr="005937E9">
        <w:rPr>
          <w:bCs/>
          <w:iCs/>
          <w:lang w:val="en-US"/>
        </w:rPr>
        <w:t xml:space="preserve"> </w:t>
      </w:r>
      <w:r w:rsidR="001D48F9" w:rsidRPr="005937E9">
        <w:rPr>
          <w:bCs/>
          <w:iCs/>
          <w:lang w:val="en-US"/>
        </w:rPr>
        <w:t>in collaboration with SNU</w:t>
      </w:r>
      <w:r w:rsidR="00FD0A21" w:rsidRPr="005937E9">
        <w:rPr>
          <w:bCs/>
          <w:iCs/>
          <w:lang w:val="en-US"/>
        </w:rPr>
        <w:t xml:space="preserve">. </w:t>
      </w:r>
      <w:r w:rsidR="00FC30DE" w:rsidRPr="005937E9">
        <w:rPr>
          <w:bCs/>
          <w:iCs/>
          <w:lang w:val="en-US"/>
        </w:rPr>
        <w:t>WHO published an open call</w:t>
      </w:r>
      <w:r w:rsidR="00082EBD" w:rsidRPr="005937E9">
        <w:rPr>
          <w:bCs/>
          <w:iCs/>
          <w:lang w:val="en-US"/>
        </w:rPr>
        <w:t xml:space="preserve"> </w:t>
      </w:r>
      <w:r w:rsidR="004F7804" w:rsidRPr="005937E9">
        <w:rPr>
          <w:bCs/>
          <w:iCs/>
          <w:lang w:val="en-US"/>
        </w:rPr>
        <w:t xml:space="preserve">and selected </w:t>
      </w:r>
      <w:r w:rsidR="00134364" w:rsidRPr="005937E9">
        <w:rPr>
          <w:bCs/>
          <w:iCs/>
          <w:lang w:val="en-US"/>
        </w:rPr>
        <w:t xml:space="preserve">a firm </w:t>
      </w:r>
      <w:r w:rsidR="00603146">
        <w:rPr>
          <w:bCs/>
          <w:iCs/>
          <w:lang w:val="en-US"/>
        </w:rPr>
        <w:t>to</w:t>
      </w:r>
      <w:r w:rsidR="004F7804" w:rsidRPr="005937E9">
        <w:rPr>
          <w:bCs/>
          <w:iCs/>
          <w:lang w:val="en-US"/>
        </w:rPr>
        <w:t xml:space="preserve"> undertake the </w:t>
      </w:r>
      <w:proofErr w:type="gramStart"/>
      <w:r w:rsidR="004F7804" w:rsidRPr="005937E9">
        <w:rPr>
          <w:bCs/>
          <w:iCs/>
          <w:lang w:val="en-US"/>
        </w:rPr>
        <w:t>research</w:t>
      </w:r>
      <w:r w:rsidR="00134364" w:rsidRPr="005937E9">
        <w:rPr>
          <w:bCs/>
          <w:iCs/>
          <w:lang w:val="en-US"/>
        </w:rPr>
        <w:t>.</w:t>
      </w:r>
      <w:proofErr w:type="gramEnd"/>
      <w:r w:rsidR="00134364" w:rsidRPr="005937E9">
        <w:rPr>
          <w:bCs/>
          <w:iCs/>
          <w:lang w:val="en-US"/>
        </w:rPr>
        <w:t xml:space="preserve"> </w:t>
      </w:r>
      <w:r w:rsidR="004642DA" w:rsidRPr="005937E9">
        <w:rPr>
          <w:bCs/>
          <w:iCs/>
          <w:lang w:val="en-US"/>
        </w:rPr>
        <w:t>The</w:t>
      </w:r>
      <w:r w:rsidR="001F5349" w:rsidRPr="005937E9">
        <w:rPr>
          <w:bCs/>
          <w:iCs/>
          <w:lang w:val="en-US"/>
        </w:rPr>
        <w:t xml:space="preserve"> M&amp;E framework</w:t>
      </w:r>
      <w:r w:rsidR="00024A3F" w:rsidRPr="005937E9">
        <w:rPr>
          <w:bCs/>
          <w:iCs/>
          <w:lang w:val="en-US"/>
        </w:rPr>
        <w:t xml:space="preserve"> </w:t>
      </w:r>
      <w:r w:rsidR="004642DA" w:rsidRPr="005937E9">
        <w:rPr>
          <w:bCs/>
          <w:iCs/>
          <w:lang w:val="en-US"/>
        </w:rPr>
        <w:t xml:space="preserve">was finalized </w:t>
      </w:r>
      <w:r w:rsidR="00024A3F" w:rsidRPr="005937E9">
        <w:rPr>
          <w:bCs/>
          <w:iCs/>
          <w:lang w:val="en-US"/>
        </w:rPr>
        <w:t xml:space="preserve">and </w:t>
      </w:r>
      <w:r w:rsidR="00AD74C5" w:rsidRPr="005937E9">
        <w:rPr>
          <w:bCs/>
          <w:iCs/>
          <w:lang w:val="en-US"/>
        </w:rPr>
        <w:t xml:space="preserve">qualitative data </w:t>
      </w:r>
      <w:r w:rsidR="00EC6493" w:rsidRPr="005937E9">
        <w:rPr>
          <w:bCs/>
          <w:iCs/>
          <w:lang w:val="en-US"/>
        </w:rPr>
        <w:t xml:space="preserve">for the baseline </w:t>
      </w:r>
      <w:r w:rsidR="0005533C" w:rsidRPr="005937E9">
        <w:rPr>
          <w:bCs/>
          <w:iCs/>
          <w:lang w:val="en-US"/>
        </w:rPr>
        <w:t>is being compiled</w:t>
      </w:r>
      <w:r w:rsidR="00AD74C5" w:rsidRPr="005937E9">
        <w:rPr>
          <w:bCs/>
          <w:iCs/>
          <w:lang w:val="en-US"/>
        </w:rPr>
        <w:t>.</w:t>
      </w:r>
      <w:r w:rsidR="00FD0A21" w:rsidRPr="005937E9">
        <w:rPr>
          <w:bCs/>
          <w:iCs/>
          <w:lang w:val="en-US"/>
        </w:rPr>
        <w:t xml:space="preserve"> </w:t>
      </w:r>
      <w:r w:rsidR="00834BA3" w:rsidRPr="005937E9">
        <w:rPr>
          <w:bCs/>
          <w:iCs/>
          <w:lang w:val="en-US"/>
        </w:rPr>
        <w:t xml:space="preserve">The </w:t>
      </w:r>
      <w:r w:rsidR="00FD0A21" w:rsidRPr="005937E9">
        <w:rPr>
          <w:bCs/>
          <w:iCs/>
          <w:lang w:val="en-US"/>
        </w:rPr>
        <w:t xml:space="preserve">project </w:t>
      </w:r>
      <w:r w:rsidR="00834BA3" w:rsidRPr="005937E9">
        <w:rPr>
          <w:bCs/>
          <w:iCs/>
          <w:lang w:val="en-US"/>
        </w:rPr>
        <w:t>website</w:t>
      </w:r>
      <w:r w:rsidR="00AD74C5" w:rsidRPr="005937E9">
        <w:rPr>
          <w:bCs/>
          <w:iCs/>
          <w:lang w:val="en-US"/>
        </w:rPr>
        <w:t xml:space="preserve"> </w:t>
      </w:r>
      <w:r w:rsidR="00834BA3" w:rsidRPr="005937E9">
        <w:rPr>
          <w:bCs/>
          <w:iCs/>
          <w:lang w:val="en-US"/>
        </w:rPr>
        <w:t>is near final.</w:t>
      </w:r>
      <w:r w:rsidR="00AD74C5" w:rsidRPr="005937E9">
        <w:rPr>
          <w:bCs/>
          <w:iCs/>
          <w:lang w:val="en-US"/>
        </w:rPr>
        <w:t xml:space="preserve"> </w:t>
      </w:r>
      <w:r w:rsidR="007D03FD" w:rsidRPr="005937E9">
        <w:rPr>
          <w:bCs/>
          <w:iCs/>
          <w:lang w:val="en-US"/>
        </w:rPr>
        <w:t xml:space="preserve">WHO </w:t>
      </w:r>
      <w:r w:rsidR="00BC2E52" w:rsidRPr="005937E9">
        <w:rPr>
          <w:bCs/>
          <w:iCs/>
          <w:lang w:val="en-US"/>
        </w:rPr>
        <w:t xml:space="preserve">contracted a consultant </w:t>
      </w:r>
      <w:r w:rsidR="00494893" w:rsidRPr="005937E9">
        <w:rPr>
          <w:bCs/>
          <w:iCs/>
          <w:lang w:val="en-US"/>
        </w:rPr>
        <w:t xml:space="preserve">to update the </w:t>
      </w:r>
      <w:r w:rsidR="006655D4" w:rsidRPr="005937E9">
        <w:rPr>
          <w:bCs/>
          <w:iCs/>
          <w:lang w:val="en-US"/>
        </w:rPr>
        <w:t xml:space="preserve">MH </w:t>
      </w:r>
      <w:r w:rsidR="00494893" w:rsidRPr="005937E9">
        <w:rPr>
          <w:bCs/>
          <w:iCs/>
          <w:lang w:val="en-US"/>
        </w:rPr>
        <w:t xml:space="preserve">situation analysis </w:t>
      </w:r>
      <w:r w:rsidR="004A064A" w:rsidRPr="005937E9">
        <w:rPr>
          <w:bCs/>
          <w:iCs/>
          <w:lang w:val="en-US"/>
        </w:rPr>
        <w:t xml:space="preserve">and prepare a </w:t>
      </w:r>
      <w:r w:rsidR="009A2D98" w:rsidRPr="005937E9">
        <w:rPr>
          <w:bCs/>
          <w:iCs/>
          <w:lang w:val="en-US"/>
        </w:rPr>
        <w:t xml:space="preserve">draft </w:t>
      </w:r>
      <w:r w:rsidR="004A064A" w:rsidRPr="005937E9">
        <w:rPr>
          <w:bCs/>
          <w:iCs/>
          <w:lang w:val="en-US"/>
        </w:rPr>
        <w:t>action plan for Somalia</w:t>
      </w:r>
      <w:r w:rsidR="00C8172E" w:rsidRPr="005937E9">
        <w:rPr>
          <w:bCs/>
          <w:iCs/>
          <w:lang w:val="en-US"/>
        </w:rPr>
        <w:t xml:space="preserve">, </w:t>
      </w:r>
      <w:r w:rsidR="00EC6493" w:rsidRPr="005937E9">
        <w:rPr>
          <w:bCs/>
          <w:iCs/>
          <w:lang w:val="en-US"/>
        </w:rPr>
        <w:t>to</w:t>
      </w:r>
      <w:r w:rsidR="009A2D98" w:rsidRPr="005937E9">
        <w:rPr>
          <w:bCs/>
          <w:iCs/>
          <w:lang w:val="en-US"/>
        </w:rPr>
        <w:t xml:space="preserve"> help expand MH services and mobilize additional </w:t>
      </w:r>
      <w:proofErr w:type="gramStart"/>
      <w:r w:rsidR="009A2D98" w:rsidRPr="005937E9">
        <w:rPr>
          <w:bCs/>
          <w:iCs/>
          <w:lang w:val="en-US"/>
        </w:rPr>
        <w:t>funds.</w:t>
      </w:r>
      <w:proofErr w:type="gramEnd"/>
    </w:p>
    <w:p w14:paraId="68A18D2B" w14:textId="71B56B20" w:rsidR="00225EC6" w:rsidRPr="005937E9" w:rsidRDefault="00165836" w:rsidP="00521A07">
      <w:pPr>
        <w:ind w:left="-810"/>
        <w:jc w:val="both"/>
        <w:rPr>
          <w:iCs/>
        </w:rPr>
      </w:pPr>
      <w:r w:rsidRPr="005937E9">
        <w:rPr>
          <w:b/>
          <w:iCs/>
        </w:rPr>
        <w:t>-IOM:</w:t>
      </w:r>
      <w:r w:rsidR="00342857" w:rsidRPr="005937E9">
        <w:rPr>
          <w:bCs/>
          <w:iCs/>
        </w:rPr>
        <w:t xml:space="preserve"> </w:t>
      </w:r>
      <w:r w:rsidR="005E7347" w:rsidRPr="005937E9">
        <w:rPr>
          <w:iCs/>
        </w:rPr>
        <w:t xml:space="preserve">Following the rapid </w:t>
      </w:r>
      <w:r w:rsidR="00E2663C" w:rsidRPr="005937E9">
        <w:rPr>
          <w:iCs/>
        </w:rPr>
        <w:t>MHPSS</w:t>
      </w:r>
      <w:r w:rsidR="005E7347" w:rsidRPr="005937E9">
        <w:rPr>
          <w:iCs/>
        </w:rPr>
        <w:t xml:space="preserve"> needs assessment, IOM </w:t>
      </w:r>
      <w:r w:rsidR="000F2632" w:rsidRPr="005937E9">
        <w:rPr>
          <w:iCs/>
        </w:rPr>
        <w:t>trained 54 health workers</w:t>
      </w:r>
      <w:r w:rsidR="005E7347" w:rsidRPr="005937E9">
        <w:rPr>
          <w:iCs/>
        </w:rPr>
        <w:t xml:space="preserve"> </w:t>
      </w:r>
      <w:r w:rsidR="009A1A8E" w:rsidRPr="005937E9">
        <w:rPr>
          <w:iCs/>
        </w:rPr>
        <w:t xml:space="preserve">in </w:t>
      </w:r>
      <w:r w:rsidR="000C5ED4" w:rsidRPr="005937E9">
        <w:rPr>
          <w:iCs/>
        </w:rPr>
        <w:t>c</w:t>
      </w:r>
      <w:r w:rsidR="009A1A8E" w:rsidRPr="005937E9">
        <w:rPr>
          <w:iCs/>
        </w:rPr>
        <w:t xml:space="preserve">ommunity-based MHPSS skills </w:t>
      </w:r>
      <w:r w:rsidR="000C5ED4" w:rsidRPr="005937E9">
        <w:rPr>
          <w:iCs/>
        </w:rPr>
        <w:t>(</w:t>
      </w:r>
      <w:proofErr w:type="spellStart"/>
      <w:r w:rsidR="005E7347" w:rsidRPr="005937E9">
        <w:rPr>
          <w:iCs/>
        </w:rPr>
        <w:t>Dollow</w:t>
      </w:r>
      <w:proofErr w:type="spellEnd"/>
      <w:r w:rsidR="005E7347" w:rsidRPr="005937E9">
        <w:rPr>
          <w:iCs/>
        </w:rPr>
        <w:t>, Kismayo</w:t>
      </w:r>
      <w:r w:rsidR="000C5ED4" w:rsidRPr="005937E9">
        <w:rPr>
          <w:iCs/>
        </w:rPr>
        <w:t xml:space="preserve">, </w:t>
      </w:r>
      <w:r w:rsidR="005E7347" w:rsidRPr="005937E9">
        <w:rPr>
          <w:iCs/>
        </w:rPr>
        <w:t>Baidoa</w:t>
      </w:r>
      <w:r w:rsidR="000C5ED4" w:rsidRPr="005937E9">
        <w:rPr>
          <w:iCs/>
        </w:rPr>
        <w:t>)</w:t>
      </w:r>
      <w:r w:rsidR="005E7347" w:rsidRPr="005937E9">
        <w:rPr>
          <w:iCs/>
        </w:rPr>
        <w:t>.</w:t>
      </w:r>
      <w:r w:rsidR="006C0930">
        <w:rPr>
          <w:iCs/>
        </w:rPr>
        <w:t xml:space="preserve"> </w:t>
      </w:r>
      <w:r w:rsidR="005E7347" w:rsidRPr="005937E9">
        <w:rPr>
          <w:iCs/>
        </w:rPr>
        <w:t xml:space="preserve">142 persons were assisted through individual counselling, home visits and follow-up sessions. </w:t>
      </w:r>
      <w:r w:rsidR="005A34B4" w:rsidRPr="005937E9">
        <w:rPr>
          <w:iCs/>
        </w:rPr>
        <w:t>12</w:t>
      </w:r>
      <w:r w:rsidR="005E7347" w:rsidRPr="005937E9">
        <w:rPr>
          <w:iCs/>
        </w:rPr>
        <w:t xml:space="preserve"> youth-aged groups were </w:t>
      </w:r>
      <w:proofErr w:type="gramStart"/>
      <w:r w:rsidR="005E7347" w:rsidRPr="005937E9">
        <w:rPr>
          <w:iCs/>
        </w:rPr>
        <w:t>formed</w:t>
      </w:r>
      <w:proofErr w:type="gramEnd"/>
      <w:r w:rsidR="005E7347" w:rsidRPr="005937E9">
        <w:rPr>
          <w:iCs/>
        </w:rPr>
        <w:t xml:space="preserve"> </w:t>
      </w:r>
      <w:r w:rsidR="00A87AD8" w:rsidRPr="005937E9">
        <w:rPr>
          <w:iCs/>
        </w:rPr>
        <w:t>and</w:t>
      </w:r>
      <w:r w:rsidR="005E7347" w:rsidRPr="005937E9">
        <w:rPr>
          <w:iCs/>
        </w:rPr>
        <w:t xml:space="preserve"> 98 </w:t>
      </w:r>
      <w:r w:rsidR="00A87AD8" w:rsidRPr="005937E9">
        <w:rPr>
          <w:iCs/>
        </w:rPr>
        <w:t xml:space="preserve">members </w:t>
      </w:r>
      <w:r w:rsidR="005E7347" w:rsidRPr="005937E9">
        <w:rPr>
          <w:iCs/>
        </w:rPr>
        <w:t>are participating in small group discussions. 30 youth-aged counsellors, 15 non-youth aged counsellors and 30 youth animators have form</w:t>
      </w:r>
      <w:r w:rsidR="00DA6D11" w:rsidRPr="005937E9">
        <w:rPr>
          <w:iCs/>
        </w:rPr>
        <w:t>ed</w:t>
      </w:r>
      <w:r w:rsidR="005E7347" w:rsidRPr="005937E9">
        <w:rPr>
          <w:iCs/>
        </w:rPr>
        <w:t xml:space="preserve"> mobile MHPSS teams</w:t>
      </w:r>
      <w:r w:rsidR="00F17EAD" w:rsidRPr="005937E9">
        <w:rPr>
          <w:iCs/>
        </w:rPr>
        <w:t xml:space="preserve">, after receiving </w:t>
      </w:r>
      <w:r w:rsidR="005E7347" w:rsidRPr="005937E9">
        <w:rPr>
          <w:iCs/>
        </w:rPr>
        <w:t xml:space="preserve">technical orientation on </w:t>
      </w:r>
      <w:r w:rsidR="000C5ED4" w:rsidRPr="005937E9">
        <w:rPr>
          <w:iCs/>
        </w:rPr>
        <w:t>c</w:t>
      </w:r>
      <w:r w:rsidR="005E7347" w:rsidRPr="005937E9">
        <w:rPr>
          <w:iCs/>
        </w:rPr>
        <w:t>ommunity-based MHPSS skills</w:t>
      </w:r>
      <w:r w:rsidR="00A65EE0" w:rsidRPr="005937E9">
        <w:rPr>
          <w:iCs/>
        </w:rPr>
        <w:t>.</w:t>
      </w:r>
    </w:p>
    <w:p w14:paraId="236F0EA9" w14:textId="0254D621" w:rsidR="003C646B" w:rsidRPr="005937E9" w:rsidRDefault="00165836" w:rsidP="00DE5E8F">
      <w:pPr>
        <w:ind w:left="-810"/>
        <w:jc w:val="both"/>
      </w:pPr>
      <w:r w:rsidRPr="005937E9">
        <w:rPr>
          <w:b/>
          <w:iCs/>
        </w:rPr>
        <w:t>-UNICEF</w:t>
      </w:r>
      <w:r w:rsidR="00646A0A" w:rsidRPr="005937E9">
        <w:rPr>
          <w:b/>
          <w:iCs/>
        </w:rPr>
        <w:t xml:space="preserve"> </w:t>
      </w:r>
      <w:r w:rsidR="00646A0A" w:rsidRPr="005937E9">
        <w:t>consulted with 42 youth</w:t>
      </w:r>
      <w:r w:rsidR="00E4491B">
        <w:t xml:space="preserve"> </w:t>
      </w:r>
      <w:r w:rsidR="007741AB">
        <w:t>(</w:t>
      </w:r>
      <w:r w:rsidR="00646A0A" w:rsidRPr="005937E9">
        <w:t>Baidoa</w:t>
      </w:r>
      <w:r w:rsidR="006B680B">
        <w:t xml:space="preserve">, </w:t>
      </w:r>
      <w:r w:rsidR="00646A0A" w:rsidRPr="005937E9">
        <w:t>Galkayo</w:t>
      </w:r>
      <w:r w:rsidR="007741AB">
        <w:t>)</w:t>
      </w:r>
      <w:r w:rsidR="00646A0A" w:rsidRPr="005937E9">
        <w:t xml:space="preserve"> to develop contextualised messages on</w:t>
      </w:r>
      <w:r w:rsidR="00E4491B">
        <w:t xml:space="preserve"> </w:t>
      </w:r>
      <w:r w:rsidR="00E4491B" w:rsidRPr="00E4491B">
        <w:t>Mental Health and Psychosocial Support</w:t>
      </w:r>
      <w:r w:rsidR="00E4491B">
        <w:t xml:space="preserve"> (</w:t>
      </w:r>
      <w:r w:rsidR="00646A0A" w:rsidRPr="005937E9">
        <w:t>MHPSS</w:t>
      </w:r>
      <w:r w:rsidR="00E4491B">
        <w:t>)</w:t>
      </w:r>
      <w:r w:rsidR="00135CE2" w:rsidRPr="005937E9">
        <w:t xml:space="preserve"> and a</w:t>
      </w:r>
      <w:r w:rsidR="0008350A" w:rsidRPr="005937E9">
        <w:t>ired r</w:t>
      </w:r>
      <w:r w:rsidR="00646A0A" w:rsidRPr="005937E9">
        <w:t>adio messages</w:t>
      </w:r>
      <w:r w:rsidR="00F56D8D" w:rsidRPr="005937E9">
        <w:t xml:space="preserve"> (</w:t>
      </w:r>
      <w:r w:rsidR="00E4491B">
        <w:t>~</w:t>
      </w:r>
      <w:r w:rsidR="00646A0A" w:rsidRPr="005937E9">
        <w:t>200,000 people</w:t>
      </w:r>
      <w:r w:rsidR="00F56D8D" w:rsidRPr="005937E9">
        <w:t xml:space="preserve"> reached)</w:t>
      </w:r>
      <w:r w:rsidR="00646A0A" w:rsidRPr="005937E9">
        <w:t>. Social workers mobilised peer</w:t>
      </w:r>
      <w:r w:rsidR="001945D9" w:rsidRPr="005937E9">
        <w:t>-</w:t>
      </w:r>
      <w:r w:rsidR="00646A0A" w:rsidRPr="005937E9">
        <w:t>to</w:t>
      </w:r>
      <w:r w:rsidR="001945D9" w:rsidRPr="005937E9">
        <w:t>-</w:t>
      </w:r>
      <w:r w:rsidR="00646A0A" w:rsidRPr="005937E9">
        <w:t xml:space="preserve">peer youth groups and sensitised communities on stigma, substance use prevention, child marriage and </w:t>
      </w:r>
      <w:r w:rsidR="00E4491B">
        <w:t>gender-based violence</w:t>
      </w:r>
      <w:r w:rsidR="004A0680">
        <w:t xml:space="preserve"> (GBV)</w:t>
      </w:r>
      <w:r w:rsidR="00646A0A" w:rsidRPr="005937E9">
        <w:t xml:space="preserve"> referral mechanisms </w:t>
      </w:r>
      <w:r w:rsidR="006B680B">
        <w:t>(</w:t>
      </w:r>
      <w:r w:rsidR="00646A0A" w:rsidRPr="005937E9">
        <w:t>Baidoa, Galkayo</w:t>
      </w:r>
      <w:r w:rsidR="0008350A" w:rsidRPr="005937E9">
        <w:t xml:space="preserve">, </w:t>
      </w:r>
      <w:r w:rsidR="00646A0A" w:rsidRPr="005937E9">
        <w:t>Kismayo</w:t>
      </w:r>
      <w:r w:rsidR="006B680B">
        <w:t>)</w:t>
      </w:r>
      <w:r w:rsidR="00646A0A" w:rsidRPr="005937E9">
        <w:t xml:space="preserve">. </w:t>
      </w:r>
      <w:r w:rsidR="0000187B" w:rsidRPr="005937E9">
        <w:t xml:space="preserve">35 religious leaders were oriented on </w:t>
      </w:r>
      <w:r w:rsidR="00C66797" w:rsidRPr="005937E9">
        <w:t>similar themes</w:t>
      </w:r>
      <w:r w:rsidR="005937E9" w:rsidRPr="005937E9">
        <w:t xml:space="preserve"> </w:t>
      </w:r>
      <w:r w:rsidR="0000187B" w:rsidRPr="005937E9">
        <w:t>by youth mobilisers and social workers from the Ministries of Justice and of Women and Human Rights</w:t>
      </w:r>
      <w:r w:rsidR="00221058">
        <w:t xml:space="preserve">. </w:t>
      </w:r>
      <w:r w:rsidR="002048B5" w:rsidRPr="005937E9">
        <w:t>B</w:t>
      </w:r>
      <w:r w:rsidR="00646A0A" w:rsidRPr="005937E9">
        <w:t xml:space="preserve">illboards with key </w:t>
      </w:r>
      <w:r w:rsidR="002048B5" w:rsidRPr="005937E9">
        <w:t xml:space="preserve">MHPSS </w:t>
      </w:r>
      <w:r w:rsidR="00646A0A" w:rsidRPr="005937E9">
        <w:t xml:space="preserve">messages </w:t>
      </w:r>
      <w:r w:rsidR="002048B5" w:rsidRPr="005937E9">
        <w:t>are</w:t>
      </w:r>
      <w:r w:rsidR="00646A0A" w:rsidRPr="005937E9">
        <w:t xml:space="preserve"> pending authorisation by local authorities. </w:t>
      </w:r>
    </w:p>
    <w:p w14:paraId="4D2A1151" w14:textId="77777777" w:rsidR="00165836" w:rsidRPr="00165836" w:rsidRDefault="00165836" w:rsidP="00165836">
      <w:pPr>
        <w:rPr>
          <w:bCs/>
          <w:iCs/>
        </w:rPr>
      </w:pP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02008210" w:rsidR="00161D02" w:rsidRPr="005D73C5" w:rsidRDefault="00B3065D" w:rsidP="005D73C5">
      <w:pPr>
        <w:ind w:left="-810"/>
        <w:jc w:val="both"/>
        <w:rPr>
          <w:bCs/>
          <w:iCs/>
        </w:rPr>
      </w:pPr>
      <w:r w:rsidRPr="005D73C5">
        <w:rPr>
          <w:b/>
          <w:iCs/>
        </w:rPr>
        <w:t xml:space="preserve">-WHO </w:t>
      </w:r>
      <w:r w:rsidRPr="005D73C5">
        <w:rPr>
          <w:bCs/>
          <w:iCs/>
        </w:rPr>
        <w:t xml:space="preserve">will </w:t>
      </w:r>
      <w:r w:rsidR="00070903" w:rsidRPr="005D73C5">
        <w:rPr>
          <w:bCs/>
          <w:iCs/>
        </w:rPr>
        <w:t>(</w:t>
      </w:r>
      <w:proofErr w:type="spellStart"/>
      <w:r w:rsidR="00070903" w:rsidRPr="005D73C5">
        <w:rPr>
          <w:bCs/>
          <w:iCs/>
        </w:rPr>
        <w:t>i</w:t>
      </w:r>
      <w:proofErr w:type="spellEnd"/>
      <w:r w:rsidR="00070903" w:rsidRPr="005D73C5">
        <w:rPr>
          <w:bCs/>
          <w:iCs/>
        </w:rPr>
        <w:t xml:space="preserve">) </w:t>
      </w:r>
      <w:r w:rsidR="00F53F3C" w:rsidRPr="005D73C5">
        <w:rPr>
          <w:bCs/>
          <w:iCs/>
        </w:rPr>
        <w:t>contract</w:t>
      </w:r>
      <w:r w:rsidRPr="005D73C5">
        <w:rPr>
          <w:bCs/>
          <w:iCs/>
        </w:rPr>
        <w:t xml:space="preserve"> the firm</w:t>
      </w:r>
      <w:r w:rsidR="00C11F1D" w:rsidRPr="005D73C5">
        <w:rPr>
          <w:bCs/>
          <w:iCs/>
        </w:rPr>
        <w:t xml:space="preserve"> </w:t>
      </w:r>
      <w:r w:rsidRPr="005D73C5">
        <w:rPr>
          <w:bCs/>
          <w:iCs/>
        </w:rPr>
        <w:t>and roll out the research</w:t>
      </w:r>
      <w:r w:rsidR="00C11F1D" w:rsidRPr="005D73C5">
        <w:rPr>
          <w:bCs/>
          <w:iCs/>
        </w:rPr>
        <w:t xml:space="preserve"> </w:t>
      </w:r>
      <w:r w:rsidR="00C6098D" w:rsidRPr="005D73C5">
        <w:rPr>
          <w:bCs/>
          <w:iCs/>
        </w:rPr>
        <w:t xml:space="preserve">evidencing the link between MH and peacebuilding </w:t>
      </w:r>
      <w:r w:rsidR="00C11F1D" w:rsidRPr="005D73C5">
        <w:rPr>
          <w:bCs/>
          <w:iCs/>
        </w:rPr>
        <w:t xml:space="preserve">in upcoming </w:t>
      </w:r>
      <w:r w:rsidR="005C56C7" w:rsidRPr="005D73C5">
        <w:rPr>
          <w:bCs/>
          <w:iCs/>
        </w:rPr>
        <w:t>weeks</w:t>
      </w:r>
      <w:r w:rsidR="00070903" w:rsidRPr="005D73C5">
        <w:rPr>
          <w:bCs/>
          <w:iCs/>
        </w:rPr>
        <w:t xml:space="preserve">, (ii) </w:t>
      </w:r>
      <w:r w:rsidRPr="005D73C5">
        <w:rPr>
          <w:bCs/>
          <w:iCs/>
        </w:rPr>
        <w:t xml:space="preserve">sub-contract an evaluation firm, </w:t>
      </w:r>
      <w:r w:rsidR="00932066">
        <w:rPr>
          <w:bCs/>
          <w:iCs/>
        </w:rPr>
        <w:t>for the</w:t>
      </w:r>
      <w:r w:rsidRPr="005D73C5">
        <w:rPr>
          <w:bCs/>
          <w:iCs/>
        </w:rPr>
        <w:t xml:space="preserve"> final evaluation report</w:t>
      </w:r>
      <w:r w:rsidR="00C80758" w:rsidRPr="005D73C5">
        <w:rPr>
          <w:bCs/>
          <w:iCs/>
        </w:rPr>
        <w:t xml:space="preserve">, </w:t>
      </w:r>
      <w:r w:rsidR="00070903" w:rsidRPr="005D73C5">
        <w:rPr>
          <w:bCs/>
          <w:iCs/>
        </w:rPr>
        <w:t xml:space="preserve">(iii) </w:t>
      </w:r>
      <w:r w:rsidR="00A15AB2" w:rsidRPr="005D73C5">
        <w:rPr>
          <w:bCs/>
          <w:iCs/>
        </w:rPr>
        <w:t>roll</w:t>
      </w:r>
      <w:r w:rsidR="006B45B4" w:rsidRPr="005D73C5">
        <w:rPr>
          <w:bCs/>
          <w:iCs/>
        </w:rPr>
        <w:t xml:space="preserve"> </w:t>
      </w:r>
      <w:r w:rsidR="00A15AB2" w:rsidRPr="005D73C5">
        <w:rPr>
          <w:bCs/>
          <w:iCs/>
        </w:rPr>
        <w:t xml:space="preserve">out refresher and mentoring trainings for </w:t>
      </w:r>
      <w:r w:rsidR="003727DA" w:rsidRPr="005D73C5">
        <w:rPr>
          <w:bCs/>
          <w:iCs/>
        </w:rPr>
        <w:t xml:space="preserve">participants </w:t>
      </w:r>
      <w:r w:rsidR="00851EF7" w:rsidRPr="005D73C5">
        <w:rPr>
          <w:bCs/>
          <w:iCs/>
        </w:rPr>
        <w:t>of</w:t>
      </w:r>
      <w:r w:rsidR="003727DA" w:rsidRPr="005D73C5">
        <w:rPr>
          <w:bCs/>
          <w:iCs/>
        </w:rPr>
        <w:t xml:space="preserve"> cascade trainings and </w:t>
      </w:r>
      <w:r w:rsidR="00C80758" w:rsidRPr="005D73C5">
        <w:rPr>
          <w:bCs/>
          <w:iCs/>
        </w:rPr>
        <w:t xml:space="preserve">(iv) </w:t>
      </w:r>
      <w:r w:rsidR="003727DA" w:rsidRPr="005D73C5">
        <w:rPr>
          <w:bCs/>
          <w:iCs/>
        </w:rPr>
        <w:t>launch the project website.</w:t>
      </w:r>
    </w:p>
    <w:p w14:paraId="35EE288B" w14:textId="34FE7E47" w:rsidR="00B3065D" w:rsidRPr="005D73C5" w:rsidRDefault="00B3065D" w:rsidP="005D73C5">
      <w:pPr>
        <w:ind w:left="-810"/>
        <w:jc w:val="both"/>
        <w:rPr>
          <w:iCs/>
        </w:rPr>
      </w:pPr>
      <w:r w:rsidRPr="005D73C5">
        <w:rPr>
          <w:b/>
          <w:iCs/>
        </w:rPr>
        <w:t>-IOM</w:t>
      </w:r>
      <w:r w:rsidR="00C7703E" w:rsidRPr="005D73C5">
        <w:rPr>
          <w:bCs/>
          <w:iCs/>
        </w:rPr>
        <w:t xml:space="preserve"> </w:t>
      </w:r>
      <w:r w:rsidR="00E27DA6" w:rsidRPr="005D73C5">
        <w:rPr>
          <w:bCs/>
          <w:iCs/>
        </w:rPr>
        <w:t>w</w:t>
      </w:r>
      <w:r w:rsidR="00C7703E" w:rsidRPr="005D73C5">
        <w:rPr>
          <w:bCs/>
          <w:iCs/>
        </w:rPr>
        <w:t xml:space="preserve">ith the support of </w:t>
      </w:r>
      <w:r w:rsidR="00C7703E" w:rsidRPr="005D73C5">
        <w:rPr>
          <w:iCs/>
        </w:rPr>
        <w:t xml:space="preserve">trainers trained as part of the TOTs, </w:t>
      </w:r>
      <w:r w:rsidR="00E35D48" w:rsidRPr="005D73C5">
        <w:rPr>
          <w:iCs/>
        </w:rPr>
        <w:t xml:space="preserve">will </w:t>
      </w:r>
      <w:r w:rsidR="00545977" w:rsidRPr="005D73C5">
        <w:rPr>
          <w:iCs/>
        </w:rPr>
        <w:t>hold</w:t>
      </w:r>
      <w:r w:rsidR="00E35D48" w:rsidRPr="005D73C5">
        <w:rPr>
          <w:iCs/>
        </w:rPr>
        <w:t xml:space="preserve"> a refresher training on </w:t>
      </w:r>
      <w:r w:rsidR="005C56C7" w:rsidRPr="005D73C5">
        <w:rPr>
          <w:iCs/>
        </w:rPr>
        <w:t>c</w:t>
      </w:r>
      <w:r w:rsidR="00E35D48" w:rsidRPr="005D73C5">
        <w:rPr>
          <w:iCs/>
        </w:rPr>
        <w:t xml:space="preserve">ommunity-based MHPSS skills </w:t>
      </w:r>
      <w:r w:rsidR="008D2E7C" w:rsidRPr="005D73C5">
        <w:rPr>
          <w:iCs/>
        </w:rPr>
        <w:t>(</w:t>
      </w:r>
      <w:r w:rsidR="000E1958" w:rsidRPr="005D73C5">
        <w:rPr>
          <w:iCs/>
        </w:rPr>
        <w:t>5</w:t>
      </w:r>
      <w:r w:rsidR="005B4B3A">
        <w:rPr>
          <w:iCs/>
        </w:rPr>
        <w:t>3</w:t>
      </w:r>
      <w:r w:rsidR="000E1958" w:rsidRPr="005D73C5">
        <w:rPr>
          <w:iCs/>
        </w:rPr>
        <w:t xml:space="preserve"> health workers)</w:t>
      </w:r>
      <w:r w:rsidR="002D766B" w:rsidRPr="005D73C5">
        <w:rPr>
          <w:iCs/>
        </w:rPr>
        <w:t xml:space="preserve"> to</w:t>
      </w:r>
      <w:r w:rsidR="00C7703E" w:rsidRPr="005D73C5">
        <w:rPr>
          <w:iCs/>
        </w:rPr>
        <w:t xml:space="preserve"> </w:t>
      </w:r>
      <w:r w:rsidR="00E35D48" w:rsidRPr="005D73C5">
        <w:rPr>
          <w:iCs/>
        </w:rPr>
        <w:t>increas</w:t>
      </w:r>
      <w:r w:rsidR="00204E6D" w:rsidRPr="005D73C5">
        <w:rPr>
          <w:iCs/>
        </w:rPr>
        <w:t>e</w:t>
      </w:r>
      <w:r w:rsidR="00E35D48" w:rsidRPr="005D73C5">
        <w:rPr>
          <w:iCs/>
        </w:rPr>
        <w:t xml:space="preserve"> active case finding, outreach activities at home level and referrals. IOM will conduct</w:t>
      </w:r>
      <w:r w:rsidR="005D73C5" w:rsidRPr="005D73C5">
        <w:rPr>
          <w:iCs/>
        </w:rPr>
        <w:t xml:space="preserve"> </w:t>
      </w:r>
      <w:r w:rsidR="009437F7" w:rsidRPr="005D73C5">
        <w:rPr>
          <w:iCs/>
        </w:rPr>
        <w:t>(</w:t>
      </w:r>
      <w:proofErr w:type="spellStart"/>
      <w:r w:rsidR="009437F7" w:rsidRPr="005D73C5">
        <w:rPr>
          <w:iCs/>
        </w:rPr>
        <w:t>i</w:t>
      </w:r>
      <w:proofErr w:type="spellEnd"/>
      <w:r w:rsidR="009437F7" w:rsidRPr="005D73C5">
        <w:rPr>
          <w:iCs/>
        </w:rPr>
        <w:t xml:space="preserve">) </w:t>
      </w:r>
      <w:r w:rsidR="00E35D48" w:rsidRPr="005D73C5">
        <w:rPr>
          <w:iCs/>
        </w:rPr>
        <w:t>a meeting with GBV actors to identify key MHPSS services and update the service mapping in existing referral pathways</w:t>
      </w:r>
      <w:r w:rsidR="009437F7" w:rsidRPr="005D73C5">
        <w:rPr>
          <w:iCs/>
        </w:rPr>
        <w:t xml:space="preserve"> and (ii)</w:t>
      </w:r>
      <w:r w:rsidR="00E35D48" w:rsidRPr="005D73C5">
        <w:rPr>
          <w:iCs/>
        </w:rPr>
        <w:t xml:space="preserve"> a </w:t>
      </w:r>
      <w:r w:rsidR="00BD12E7" w:rsidRPr="005D73C5">
        <w:rPr>
          <w:iCs/>
        </w:rPr>
        <w:t xml:space="preserve">workshop for </w:t>
      </w:r>
      <w:r w:rsidR="00E35D48" w:rsidRPr="005D73C5">
        <w:rPr>
          <w:iCs/>
        </w:rPr>
        <w:t xml:space="preserve">community </w:t>
      </w:r>
      <w:r w:rsidR="00756ECE" w:rsidRPr="005D73C5">
        <w:rPr>
          <w:iCs/>
        </w:rPr>
        <w:t>leaders</w:t>
      </w:r>
      <w:r w:rsidR="00E35D48" w:rsidRPr="005D73C5">
        <w:rPr>
          <w:iCs/>
        </w:rPr>
        <w:t xml:space="preserve"> to </w:t>
      </w:r>
      <w:r w:rsidR="00A811B4" w:rsidRPr="005D73C5">
        <w:rPr>
          <w:iCs/>
        </w:rPr>
        <w:t>map out</w:t>
      </w:r>
      <w:r w:rsidR="00E35D48" w:rsidRPr="005D73C5">
        <w:rPr>
          <w:iCs/>
        </w:rPr>
        <w:t xml:space="preserve"> ways of </w:t>
      </w:r>
      <w:r w:rsidR="00A811B4" w:rsidRPr="005D73C5">
        <w:rPr>
          <w:iCs/>
        </w:rPr>
        <w:t xml:space="preserve">supporting youth in their </w:t>
      </w:r>
      <w:r w:rsidR="00E35D48" w:rsidRPr="005D73C5">
        <w:rPr>
          <w:iCs/>
        </w:rPr>
        <w:t>communit</w:t>
      </w:r>
      <w:r w:rsidR="006505D4" w:rsidRPr="005D73C5">
        <w:rPr>
          <w:iCs/>
        </w:rPr>
        <w:t>i</w:t>
      </w:r>
      <w:r w:rsidR="00A811B4" w:rsidRPr="005D73C5">
        <w:rPr>
          <w:iCs/>
        </w:rPr>
        <w:t>es</w:t>
      </w:r>
    </w:p>
    <w:p w14:paraId="626B828B" w14:textId="60A8CEF1" w:rsidR="000B078E" w:rsidRPr="005D73C5" w:rsidRDefault="00B3065D" w:rsidP="005D73C5">
      <w:pPr>
        <w:ind w:left="-810"/>
        <w:jc w:val="both"/>
      </w:pPr>
      <w:r w:rsidRPr="005D73C5">
        <w:rPr>
          <w:b/>
          <w:iCs/>
        </w:rPr>
        <w:t>-UNICEF</w:t>
      </w:r>
      <w:r w:rsidR="000B078E" w:rsidRPr="005D73C5">
        <w:rPr>
          <w:b/>
          <w:iCs/>
        </w:rPr>
        <w:t xml:space="preserve"> </w:t>
      </w:r>
      <w:r w:rsidR="000B078E" w:rsidRPr="005D73C5">
        <w:t xml:space="preserve">will expand its </w:t>
      </w:r>
      <w:r w:rsidR="00FE70E2" w:rsidRPr="005D73C5">
        <w:t>peer-to-peer</w:t>
      </w:r>
      <w:r w:rsidR="000B078E" w:rsidRPr="005D73C5">
        <w:t xml:space="preserve"> awareness activities to reach remote communities </w:t>
      </w:r>
      <w:r w:rsidR="006505D4" w:rsidRPr="005D73C5">
        <w:t>(</w:t>
      </w:r>
      <w:r w:rsidR="000B078E" w:rsidRPr="005D73C5">
        <w:t>Kismayo</w:t>
      </w:r>
      <w:r w:rsidR="00B41721">
        <w:t xml:space="preserve">, </w:t>
      </w:r>
      <w:r w:rsidR="000B078E" w:rsidRPr="005D73C5">
        <w:t>Galkayo</w:t>
      </w:r>
      <w:r w:rsidR="006505D4" w:rsidRPr="005D73C5">
        <w:t>)</w:t>
      </w:r>
      <w:r w:rsidR="000B078E" w:rsidRPr="005D73C5">
        <w:t xml:space="preserve">. Billboards and </w:t>
      </w:r>
      <w:r w:rsidR="006505D4" w:rsidRPr="005D73C5">
        <w:t>m</w:t>
      </w:r>
      <w:r w:rsidR="000B078E" w:rsidRPr="005D73C5">
        <w:t xml:space="preserve">urals will be set up. Community mobilisers </w:t>
      </w:r>
      <w:r w:rsidR="00EA3C1E" w:rsidRPr="005D73C5">
        <w:t xml:space="preserve">will work </w:t>
      </w:r>
      <w:r w:rsidR="00676071" w:rsidRPr="005D73C5">
        <w:t xml:space="preserve">with </w:t>
      </w:r>
      <w:r w:rsidR="00EA3C1E" w:rsidRPr="005D73C5">
        <w:t>(</w:t>
      </w:r>
      <w:proofErr w:type="spellStart"/>
      <w:r w:rsidR="00EA3C1E" w:rsidRPr="005D73C5">
        <w:t>i</w:t>
      </w:r>
      <w:proofErr w:type="spellEnd"/>
      <w:r w:rsidR="00EA3C1E" w:rsidRPr="005D73C5">
        <w:t xml:space="preserve">) </w:t>
      </w:r>
      <w:r w:rsidR="000B078E" w:rsidRPr="005D73C5">
        <w:t>religious leaders</w:t>
      </w:r>
      <w:r w:rsidR="0085396A">
        <w:t>,</w:t>
      </w:r>
      <w:r w:rsidR="000B078E" w:rsidRPr="005D73C5">
        <w:t xml:space="preserve"> </w:t>
      </w:r>
      <w:r w:rsidR="00EA3C1E" w:rsidRPr="005D73C5">
        <w:t>to</w:t>
      </w:r>
      <w:r w:rsidR="000B078E" w:rsidRPr="005D73C5">
        <w:t xml:space="preserve"> extract religious texts supporting initiatives to prevent substance </w:t>
      </w:r>
      <w:r w:rsidR="000B078E" w:rsidRPr="005D73C5">
        <w:lastRenderedPageBreak/>
        <w:t xml:space="preserve">abuse, stigma, </w:t>
      </w:r>
      <w:r w:rsidR="001F6FC4">
        <w:t>GBV</w:t>
      </w:r>
      <w:r w:rsidR="00E4491B">
        <w:t xml:space="preserve"> </w:t>
      </w:r>
      <w:r w:rsidR="000B078E" w:rsidRPr="005D73C5">
        <w:t>and negative coping mechanisms</w:t>
      </w:r>
      <w:r w:rsidR="00EA3C1E" w:rsidRPr="005D73C5">
        <w:t xml:space="preserve">, and (ii) </w:t>
      </w:r>
      <w:r w:rsidR="000B078E" w:rsidRPr="005D73C5">
        <w:t>universities</w:t>
      </w:r>
      <w:r w:rsidR="0085396A">
        <w:t>,</w:t>
      </w:r>
      <w:r w:rsidR="000B078E" w:rsidRPr="005D73C5">
        <w:t xml:space="preserve"> </w:t>
      </w:r>
      <w:r w:rsidR="0085396A">
        <w:t>to</w:t>
      </w:r>
      <w:r w:rsidR="0085396A" w:rsidRPr="005D73C5">
        <w:t xml:space="preserve"> </w:t>
      </w:r>
      <w:r w:rsidR="000B078E" w:rsidRPr="005D73C5">
        <w:t xml:space="preserve">conduct a </w:t>
      </w:r>
      <w:r w:rsidR="00E4491B" w:rsidRPr="00E4491B">
        <w:t xml:space="preserve">Knowledge, Attitude and Practices </w:t>
      </w:r>
      <w:r w:rsidR="00E4491B">
        <w:t>(</w:t>
      </w:r>
      <w:r w:rsidR="002D4F5A" w:rsidRPr="005D73C5">
        <w:t>KAP</w:t>
      </w:r>
      <w:r w:rsidR="00E4491B">
        <w:t>)</w:t>
      </w:r>
      <w:r w:rsidR="00CB1DEB" w:rsidRPr="005D73C5">
        <w:t xml:space="preserve"> </w:t>
      </w:r>
      <w:r w:rsidR="000B078E" w:rsidRPr="005D73C5">
        <w:t>survey</w:t>
      </w:r>
      <w:r w:rsidR="00981ABC" w:rsidRPr="005D73C5">
        <w:t>.</w:t>
      </w:r>
    </w:p>
    <w:p w14:paraId="73F26A8A" w14:textId="77777777" w:rsidR="00B3065D" w:rsidRPr="00627A1C" w:rsidRDefault="00B3065D" w:rsidP="001332F3"/>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51B7BBE7" w:rsidR="00411A5F" w:rsidRDefault="00224693" w:rsidP="00255D6B">
      <w:pPr>
        <w:ind w:left="-810"/>
        <w:jc w:val="both"/>
      </w:pPr>
      <w:r w:rsidRPr="00224693">
        <w:rPr>
          <w:b/>
          <w:bCs/>
        </w:rPr>
        <w:t>-WHO</w:t>
      </w:r>
      <w:r>
        <w:t xml:space="preserve">: </w:t>
      </w:r>
      <w:r w:rsidR="007D41F1">
        <w:t xml:space="preserve">Reports from trainings </w:t>
      </w:r>
      <w:r w:rsidR="002C1EB9">
        <w:t>and</w:t>
      </w:r>
      <w:r w:rsidR="007D41F1">
        <w:t xml:space="preserve"> </w:t>
      </w:r>
      <w:r w:rsidR="00EF6CC0">
        <w:t xml:space="preserve">subsequent </w:t>
      </w:r>
      <w:r w:rsidR="007D41F1">
        <w:t xml:space="preserve">consistent exchanges between trainees and </w:t>
      </w:r>
      <w:r w:rsidR="00BE22BE">
        <w:t xml:space="preserve">trainers </w:t>
      </w:r>
      <w:r w:rsidR="007D41F1">
        <w:t>have shown (</w:t>
      </w:r>
      <w:proofErr w:type="spellStart"/>
      <w:r w:rsidR="007D41F1">
        <w:t>i</w:t>
      </w:r>
      <w:proofErr w:type="spellEnd"/>
      <w:r w:rsidR="007D41F1">
        <w:t xml:space="preserve">) </w:t>
      </w:r>
      <w:r w:rsidR="00EF6CC0">
        <w:t>an increase in health care workers’ knowledge on MH and</w:t>
      </w:r>
      <w:r w:rsidR="007D41F1">
        <w:t xml:space="preserve"> (ii) </w:t>
      </w:r>
      <w:r w:rsidR="003E584D">
        <w:t xml:space="preserve">a change in attitude among service providers and affected communities, </w:t>
      </w:r>
      <w:r w:rsidR="008A2897">
        <w:t>suggesting that a long-term structural change could take place in</w:t>
      </w:r>
      <w:r w:rsidR="00880C3D">
        <w:t xml:space="preserve"> MH</w:t>
      </w:r>
      <w:r w:rsidR="008A2897">
        <w:t xml:space="preserve"> service provision in Somalia</w:t>
      </w:r>
      <w:r w:rsidR="00B83D43">
        <w:t xml:space="preserve"> (cf. training reports in annex)</w:t>
      </w:r>
      <w:r w:rsidR="003E584D">
        <w:t xml:space="preserve">. </w:t>
      </w:r>
      <w:r w:rsidR="00E7434C">
        <w:t>T</w:t>
      </w:r>
      <w:r w:rsidR="003E584D">
        <w:t xml:space="preserve">he </w:t>
      </w:r>
      <w:r w:rsidR="008A2897">
        <w:t xml:space="preserve">MH curriculum will help harmonize </w:t>
      </w:r>
      <w:r w:rsidR="001D1BBD">
        <w:t xml:space="preserve">training of MH care providers </w:t>
      </w:r>
      <w:r w:rsidR="008A2897">
        <w:t xml:space="preserve">throughout Somalia, </w:t>
      </w:r>
      <w:r w:rsidR="00F33BE2">
        <w:t>formalizing a structural/institutional change with the potential for long-term positive consequences.</w:t>
      </w:r>
    </w:p>
    <w:p w14:paraId="095D0E51" w14:textId="322953CE" w:rsidR="00224693" w:rsidRPr="00255D6B" w:rsidRDefault="00224693" w:rsidP="00255D6B">
      <w:pPr>
        <w:ind w:left="-810"/>
        <w:jc w:val="both"/>
        <w:rPr>
          <w:iCs/>
        </w:rPr>
      </w:pPr>
      <w:r>
        <w:rPr>
          <w:b/>
          <w:iCs/>
        </w:rPr>
        <w:t>-IOM</w:t>
      </w:r>
      <w:r w:rsidR="000B0705">
        <w:rPr>
          <w:bCs/>
          <w:iCs/>
        </w:rPr>
        <w:t>:</w:t>
      </w:r>
      <w:r w:rsidR="00E02715">
        <w:rPr>
          <w:b/>
          <w:iCs/>
        </w:rPr>
        <w:t xml:space="preserve"> </w:t>
      </w:r>
      <w:r w:rsidR="006C248F" w:rsidRPr="00824994">
        <w:rPr>
          <w:iCs/>
        </w:rPr>
        <w:t>The deployment of community</w:t>
      </w:r>
      <w:r w:rsidR="006C248F">
        <w:rPr>
          <w:iCs/>
        </w:rPr>
        <w:t xml:space="preserve"> </w:t>
      </w:r>
      <w:r w:rsidR="006C248F" w:rsidRPr="00824994">
        <w:rPr>
          <w:iCs/>
        </w:rPr>
        <w:t>health workers</w:t>
      </w:r>
      <w:r w:rsidR="0067796B">
        <w:rPr>
          <w:iCs/>
        </w:rPr>
        <w:t xml:space="preserve"> (CHWs)</w:t>
      </w:r>
      <w:r w:rsidR="006C248F" w:rsidRPr="00824994">
        <w:rPr>
          <w:iCs/>
        </w:rPr>
        <w:t xml:space="preserve"> and clinicians </w:t>
      </w:r>
      <w:r w:rsidR="00B004A2" w:rsidRPr="00824994">
        <w:rPr>
          <w:iCs/>
        </w:rPr>
        <w:t xml:space="preserve">has </w:t>
      </w:r>
      <w:r w:rsidR="00B004A2">
        <w:rPr>
          <w:iCs/>
        </w:rPr>
        <w:t>helped</w:t>
      </w:r>
      <w:r w:rsidR="00B004A2" w:rsidRPr="00824994">
        <w:rPr>
          <w:iCs/>
        </w:rPr>
        <w:t xml:space="preserve"> </w:t>
      </w:r>
      <w:r w:rsidR="00B004A2">
        <w:rPr>
          <w:iCs/>
        </w:rPr>
        <w:t>improve</w:t>
      </w:r>
      <w:r w:rsidR="00B004A2" w:rsidRPr="00824994">
        <w:rPr>
          <w:iCs/>
        </w:rPr>
        <w:t xml:space="preserve"> </w:t>
      </w:r>
      <w:r w:rsidR="00B004A2">
        <w:rPr>
          <w:iCs/>
        </w:rPr>
        <w:t>the</w:t>
      </w:r>
      <w:r w:rsidR="00B004A2" w:rsidRPr="00824994">
        <w:rPr>
          <w:iCs/>
        </w:rPr>
        <w:t xml:space="preserve"> identification of persons needing </w:t>
      </w:r>
      <w:r w:rsidR="00B004A2">
        <w:rPr>
          <w:iCs/>
        </w:rPr>
        <w:t>MHPSS service</w:t>
      </w:r>
      <w:r w:rsidR="006C248F" w:rsidRPr="00824994">
        <w:rPr>
          <w:iCs/>
        </w:rPr>
        <w:t xml:space="preserve"> and </w:t>
      </w:r>
      <w:r w:rsidR="00C0067C">
        <w:rPr>
          <w:iCs/>
        </w:rPr>
        <w:t xml:space="preserve">has improved the provision of </w:t>
      </w:r>
      <w:r w:rsidR="00C0067C" w:rsidRPr="00824994">
        <w:rPr>
          <w:iCs/>
        </w:rPr>
        <w:t>community-based MHPSS services</w:t>
      </w:r>
      <w:r w:rsidR="00C86363">
        <w:rPr>
          <w:iCs/>
        </w:rPr>
        <w:t>. P</w:t>
      </w:r>
      <w:r w:rsidR="007F454B" w:rsidRPr="00255D6B">
        <w:rPr>
          <w:iCs/>
        </w:rPr>
        <w:t>eople’s wellbeing has increased through (</w:t>
      </w:r>
      <w:proofErr w:type="spellStart"/>
      <w:r w:rsidR="007F454B" w:rsidRPr="00255D6B">
        <w:rPr>
          <w:iCs/>
        </w:rPr>
        <w:t>i</w:t>
      </w:r>
      <w:proofErr w:type="spellEnd"/>
      <w:r w:rsidR="007F454B" w:rsidRPr="00255D6B">
        <w:rPr>
          <w:iCs/>
        </w:rPr>
        <w:t xml:space="preserve">) </w:t>
      </w:r>
      <w:r w:rsidR="00AC07BF" w:rsidRPr="00255D6B">
        <w:rPr>
          <w:iCs/>
        </w:rPr>
        <w:t xml:space="preserve">individual counselling services provided by </w:t>
      </w:r>
      <w:r w:rsidR="00824994" w:rsidRPr="00255D6B">
        <w:rPr>
          <w:iCs/>
        </w:rPr>
        <w:t xml:space="preserve">clinical teams </w:t>
      </w:r>
      <w:r w:rsidR="00AC07BF" w:rsidRPr="00255D6B">
        <w:rPr>
          <w:iCs/>
        </w:rPr>
        <w:t>and</w:t>
      </w:r>
      <w:r w:rsidR="00824994" w:rsidRPr="00255D6B">
        <w:rPr>
          <w:iCs/>
        </w:rPr>
        <w:t xml:space="preserve"> community-based mobile teams </w:t>
      </w:r>
      <w:r w:rsidR="009E5D07" w:rsidRPr="00255D6B">
        <w:rPr>
          <w:iCs/>
        </w:rPr>
        <w:t>(</w:t>
      </w:r>
      <w:r w:rsidR="00824994" w:rsidRPr="00255D6B">
        <w:rPr>
          <w:iCs/>
        </w:rPr>
        <w:t>comprised of youth and non-youth aged counsellors</w:t>
      </w:r>
      <w:r w:rsidR="009E5D07" w:rsidRPr="00255D6B">
        <w:rPr>
          <w:iCs/>
        </w:rPr>
        <w:t>) that help</w:t>
      </w:r>
      <w:r w:rsidR="00255D6B" w:rsidRPr="00255D6B">
        <w:rPr>
          <w:iCs/>
        </w:rPr>
        <w:t xml:space="preserve"> </w:t>
      </w:r>
      <w:r w:rsidR="009E5D07" w:rsidRPr="00255D6B">
        <w:rPr>
          <w:iCs/>
        </w:rPr>
        <w:t xml:space="preserve">reduce </w:t>
      </w:r>
      <w:r w:rsidR="00824994" w:rsidRPr="00255D6B">
        <w:rPr>
          <w:iCs/>
        </w:rPr>
        <w:t xml:space="preserve">daily stressors in life </w:t>
      </w:r>
      <w:r w:rsidR="009E5D07" w:rsidRPr="00255D6B">
        <w:rPr>
          <w:iCs/>
        </w:rPr>
        <w:t xml:space="preserve">and (ii) youth group discussions </w:t>
      </w:r>
      <w:r w:rsidR="00255D6B" w:rsidRPr="00255D6B">
        <w:rPr>
          <w:iCs/>
        </w:rPr>
        <w:t>on</w:t>
      </w:r>
      <w:r w:rsidR="009E5D07" w:rsidRPr="00255D6B">
        <w:rPr>
          <w:iCs/>
        </w:rPr>
        <w:t xml:space="preserve"> relevant social or health-related issues</w:t>
      </w:r>
      <w:r w:rsidR="00235B9C" w:rsidRPr="00255D6B">
        <w:rPr>
          <w:iCs/>
        </w:rPr>
        <w:t xml:space="preserve">, organised jointly by </w:t>
      </w:r>
      <w:r w:rsidR="00824994" w:rsidRPr="00255D6B">
        <w:rPr>
          <w:iCs/>
        </w:rPr>
        <w:t>youth animators</w:t>
      </w:r>
      <w:r w:rsidR="00235B9C" w:rsidRPr="00255D6B">
        <w:rPr>
          <w:iCs/>
        </w:rPr>
        <w:t xml:space="preserve">, </w:t>
      </w:r>
      <w:r w:rsidR="00824994" w:rsidRPr="00255D6B">
        <w:rPr>
          <w:iCs/>
        </w:rPr>
        <w:t>clinical and mobile team</w:t>
      </w:r>
      <w:r w:rsidR="00235B9C" w:rsidRPr="00255D6B">
        <w:rPr>
          <w:iCs/>
        </w:rPr>
        <w:t>s</w:t>
      </w:r>
      <w:r w:rsidR="00824994" w:rsidRPr="00255D6B">
        <w:rPr>
          <w:iCs/>
        </w:rPr>
        <w:t xml:space="preserve"> of counsellors. The combination of facility-based and decentralised actions in this project has </w:t>
      </w:r>
      <w:r w:rsidR="00F744ED" w:rsidRPr="00255D6B">
        <w:rPr>
          <w:iCs/>
        </w:rPr>
        <w:t xml:space="preserve">increased </w:t>
      </w:r>
      <w:r w:rsidR="00824994" w:rsidRPr="00255D6B">
        <w:rPr>
          <w:iCs/>
        </w:rPr>
        <w:t xml:space="preserve">access </w:t>
      </w:r>
      <w:r w:rsidR="005A65A8" w:rsidRPr="00255D6B">
        <w:rPr>
          <w:iCs/>
        </w:rPr>
        <w:t>(including geographically) to</w:t>
      </w:r>
      <w:r w:rsidR="00824994" w:rsidRPr="00255D6B">
        <w:rPr>
          <w:iCs/>
        </w:rPr>
        <w:t xml:space="preserve"> MHPSS services </w:t>
      </w:r>
      <w:r w:rsidR="00F744ED" w:rsidRPr="00255D6B">
        <w:rPr>
          <w:iCs/>
        </w:rPr>
        <w:t>for</w:t>
      </w:r>
      <w:r w:rsidR="00824994" w:rsidRPr="00255D6B">
        <w:rPr>
          <w:iCs/>
        </w:rPr>
        <w:t xml:space="preserve"> people in need of support</w:t>
      </w:r>
      <w:r w:rsidR="005A65A8" w:rsidRPr="00255D6B">
        <w:rPr>
          <w:iCs/>
        </w:rPr>
        <w:t>.</w:t>
      </w:r>
    </w:p>
    <w:p w14:paraId="2DA5F827" w14:textId="26082630" w:rsidR="00EC1BC8" w:rsidRPr="00255D6B" w:rsidRDefault="00224693" w:rsidP="00255D6B">
      <w:pPr>
        <w:ind w:left="-810"/>
        <w:jc w:val="both"/>
        <w:rPr>
          <w:bCs/>
          <w:iCs/>
        </w:rPr>
      </w:pPr>
      <w:r w:rsidRPr="00255D6B">
        <w:rPr>
          <w:b/>
          <w:iCs/>
        </w:rPr>
        <w:t>-UNICEF:</w:t>
      </w:r>
      <w:r w:rsidR="00EC1BC8" w:rsidRPr="00255D6B">
        <w:rPr>
          <w:b/>
          <w:iCs/>
        </w:rPr>
        <w:t xml:space="preserve"> </w:t>
      </w:r>
      <w:r w:rsidR="00EC1BC8" w:rsidRPr="00255D6B">
        <w:rPr>
          <w:bCs/>
          <w:iCs/>
        </w:rPr>
        <w:t>Youth and social workers leading community awareness-raising have noted</w:t>
      </w:r>
      <w:r w:rsidR="000C5C1D" w:rsidRPr="00255D6B">
        <w:rPr>
          <w:bCs/>
          <w:iCs/>
        </w:rPr>
        <w:t xml:space="preserve"> an</w:t>
      </w:r>
      <w:r w:rsidR="00EC1BC8" w:rsidRPr="00255D6B">
        <w:rPr>
          <w:bCs/>
          <w:iCs/>
        </w:rPr>
        <w:t xml:space="preserve"> increased knowledge on child protection, </w:t>
      </w:r>
      <w:r w:rsidR="0095736D">
        <w:rPr>
          <w:bCs/>
          <w:iCs/>
        </w:rPr>
        <w:t>GBV</w:t>
      </w:r>
      <w:r w:rsidR="00EC1BC8" w:rsidRPr="00255D6B">
        <w:rPr>
          <w:bCs/>
          <w:iCs/>
        </w:rPr>
        <w:t xml:space="preserve">, </w:t>
      </w:r>
      <w:r w:rsidR="0095736D">
        <w:t>MHPSS</w:t>
      </w:r>
      <w:r w:rsidR="00EC1BC8" w:rsidRPr="00255D6B">
        <w:rPr>
          <w:bCs/>
          <w:iCs/>
        </w:rPr>
        <w:t xml:space="preserve"> and dangers of substance abuse. Consultations with the youth </w:t>
      </w:r>
      <w:r w:rsidR="00D147CD" w:rsidRPr="00255D6B">
        <w:rPr>
          <w:bCs/>
          <w:iCs/>
        </w:rPr>
        <w:t>as part of the process of development of</w:t>
      </w:r>
      <w:r w:rsidR="00EC1BC8" w:rsidRPr="00255D6B">
        <w:rPr>
          <w:bCs/>
          <w:iCs/>
        </w:rPr>
        <w:t xml:space="preserve"> key messages increased their self-awareness, empowerment and confidence as agents </w:t>
      </w:r>
      <w:r w:rsidR="00D147CD" w:rsidRPr="00255D6B">
        <w:rPr>
          <w:bCs/>
          <w:iCs/>
        </w:rPr>
        <w:t xml:space="preserve">of change </w:t>
      </w:r>
      <w:r w:rsidR="00EC1BC8" w:rsidRPr="00255D6B">
        <w:rPr>
          <w:bCs/>
          <w:iCs/>
        </w:rPr>
        <w:t>in the communities.</w:t>
      </w:r>
    </w:p>
    <w:p w14:paraId="51FAE2DC" w14:textId="532DA8AA" w:rsidR="00224693" w:rsidRPr="002D4F5A" w:rsidRDefault="00224693" w:rsidP="00224693">
      <w:pPr>
        <w:ind w:left="-810"/>
        <w:rPr>
          <w:b/>
          <w:iCs/>
          <w:sz w:val="28"/>
          <w:szCs w:val="28"/>
        </w:rPr>
      </w:pP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3AEE26C6" w:rsidR="00BA5D85" w:rsidRDefault="005947E2" w:rsidP="00531545">
      <w:pPr>
        <w:ind w:left="-810"/>
        <w:jc w:val="both"/>
      </w:pPr>
      <w:r>
        <w:t>-</w:t>
      </w:r>
      <w:r w:rsidRPr="005947E2">
        <w:rPr>
          <w:b/>
          <w:bCs/>
        </w:rPr>
        <w:t>WHO</w:t>
      </w:r>
      <w:r>
        <w:t xml:space="preserve">: </w:t>
      </w:r>
      <w:r w:rsidR="00980562">
        <w:t>As already mentioned, the unified curriculum</w:t>
      </w:r>
      <w:r w:rsidR="00632EFC">
        <w:t xml:space="preserve"> (that uses</w:t>
      </w:r>
      <w:r w:rsidR="000B7CF0">
        <w:t xml:space="preserve"> the </w:t>
      </w:r>
      <w:proofErr w:type="spellStart"/>
      <w:r w:rsidR="000B7CF0">
        <w:rPr>
          <w:bCs/>
          <w:iCs/>
        </w:rPr>
        <w:t>m</w:t>
      </w:r>
      <w:r w:rsidR="000B7CF0" w:rsidRPr="00FF0F03">
        <w:rPr>
          <w:bCs/>
          <w:iCs/>
        </w:rPr>
        <w:t>hG</w:t>
      </w:r>
      <w:r w:rsidR="000B7CF0">
        <w:rPr>
          <w:bCs/>
          <w:iCs/>
        </w:rPr>
        <w:t>AP</w:t>
      </w:r>
      <w:proofErr w:type="spellEnd"/>
      <w:r w:rsidR="000B7CF0" w:rsidRPr="00FF0F03">
        <w:rPr>
          <w:bCs/>
          <w:iCs/>
        </w:rPr>
        <w:t xml:space="preserve"> intervention guide</w:t>
      </w:r>
      <w:r w:rsidR="00632EFC">
        <w:rPr>
          <w:bCs/>
          <w:iCs/>
        </w:rPr>
        <w:t>)</w:t>
      </w:r>
      <w:r w:rsidR="000B7CF0">
        <w:rPr>
          <w:bCs/>
          <w:iCs/>
        </w:rPr>
        <w:t xml:space="preserve"> combined with the trainings has had positive human impact both on service providers who are able to provide better and more appropriate services, and on patients</w:t>
      </w:r>
      <w:r w:rsidR="00372B79">
        <w:rPr>
          <w:bCs/>
          <w:iCs/>
        </w:rPr>
        <w:t xml:space="preserve"> and beneficiaries who are in turn receiving enhanced services. </w:t>
      </w:r>
    </w:p>
    <w:p w14:paraId="58BE8B28" w14:textId="6AEE438A" w:rsidR="005947E2" w:rsidRDefault="005947E2" w:rsidP="00531545">
      <w:pPr>
        <w:ind w:left="-810"/>
        <w:jc w:val="both"/>
        <w:rPr>
          <w:b/>
          <w:iCs/>
        </w:rPr>
      </w:pPr>
      <w:r>
        <w:rPr>
          <w:b/>
          <w:iCs/>
        </w:rPr>
        <w:t>-IOM:</w:t>
      </w:r>
      <w:r w:rsidR="0094750D">
        <w:rPr>
          <w:b/>
          <w:iCs/>
        </w:rPr>
        <w:t xml:space="preserve"> </w:t>
      </w:r>
      <w:r w:rsidR="0094750D" w:rsidRPr="0094750D">
        <w:rPr>
          <w:bCs/>
          <w:iCs/>
        </w:rPr>
        <w:t>The involvement of youth-aged health workers and community-based MHPSS workers (counsellors and animators) as service providers, have increased their knowledge and awareness of the importance of promoting well-being among their fellow youth. This initiative has also allowed them to be more proactive in identifying people who may need suppor</w:t>
      </w:r>
      <w:r w:rsidR="00EB07BD">
        <w:rPr>
          <w:bCs/>
          <w:iCs/>
        </w:rPr>
        <w:t>t</w:t>
      </w:r>
      <w:r w:rsidR="0094750D" w:rsidRPr="0094750D">
        <w:rPr>
          <w:bCs/>
          <w:iCs/>
        </w:rPr>
        <w:t xml:space="preserve"> and to provide </w:t>
      </w:r>
      <w:r w:rsidR="006F320A">
        <w:rPr>
          <w:bCs/>
          <w:iCs/>
        </w:rPr>
        <w:t xml:space="preserve">relevant </w:t>
      </w:r>
      <w:r w:rsidR="0094750D" w:rsidRPr="0094750D">
        <w:rPr>
          <w:bCs/>
          <w:iCs/>
        </w:rPr>
        <w:t>support within their own capacities</w:t>
      </w:r>
      <w:r w:rsidR="006F320A">
        <w:rPr>
          <w:bCs/>
          <w:iCs/>
        </w:rPr>
        <w:t>, as a result of the capacity building trainings they received.</w:t>
      </w:r>
      <w:r w:rsidR="0094750D" w:rsidRPr="0094750D">
        <w:rPr>
          <w:bCs/>
          <w:iCs/>
        </w:rPr>
        <w:t xml:space="preserve"> Despite limitations </w:t>
      </w:r>
      <w:r w:rsidR="00FA6519">
        <w:rPr>
          <w:bCs/>
          <w:iCs/>
        </w:rPr>
        <w:t>imposed o</w:t>
      </w:r>
      <w:r w:rsidR="0094750D" w:rsidRPr="0094750D">
        <w:rPr>
          <w:bCs/>
          <w:iCs/>
        </w:rPr>
        <w:t xml:space="preserve">n social gatherings, communities are able to access basic information </w:t>
      </w:r>
      <w:r w:rsidR="00FA6519" w:rsidRPr="0094750D">
        <w:rPr>
          <w:bCs/>
          <w:iCs/>
        </w:rPr>
        <w:t xml:space="preserve">on how </w:t>
      </w:r>
      <w:r w:rsidR="00FA6519">
        <w:rPr>
          <w:bCs/>
          <w:iCs/>
        </w:rPr>
        <w:t xml:space="preserve">to </w:t>
      </w:r>
      <w:r w:rsidR="00FA6519" w:rsidRPr="0094750D">
        <w:rPr>
          <w:bCs/>
          <w:iCs/>
        </w:rPr>
        <w:t>better care for their wellbeing during the pandemic</w:t>
      </w:r>
      <w:r w:rsidR="00FA6519">
        <w:rPr>
          <w:bCs/>
          <w:iCs/>
        </w:rPr>
        <w:t>,</w:t>
      </w:r>
      <w:r w:rsidR="00FA6519" w:rsidRPr="0094750D">
        <w:rPr>
          <w:bCs/>
          <w:iCs/>
        </w:rPr>
        <w:t xml:space="preserve"> </w:t>
      </w:r>
      <w:r w:rsidR="0094750D" w:rsidRPr="0094750D">
        <w:rPr>
          <w:bCs/>
          <w:iCs/>
        </w:rPr>
        <w:t xml:space="preserve">through </w:t>
      </w:r>
      <w:r w:rsidR="00FA6519">
        <w:rPr>
          <w:bCs/>
          <w:iCs/>
        </w:rPr>
        <w:t>targeted</w:t>
      </w:r>
      <w:r w:rsidR="0094750D" w:rsidRPr="0094750D">
        <w:rPr>
          <w:bCs/>
          <w:iCs/>
        </w:rPr>
        <w:t xml:space="preserve"> key messaging social activities</w:t>
      </w:r>
      <w:r w:rsidR="00FA6519">
        <w:rPr>
          <w:bCs/>
          <w:iCs/>
        </w:rPr>
        <w:t>.</w:t>
      </w:r>
    </w:p>
    <w:p w14:paraId="317DCCFF" w14:textId="67EE3AF2" w:rsidR="003B3B4A" w:rsidRPr="002D4F5A" w:rsidRDefault="005947E2" w:rsidP="00531545">
      <w:pPr>
        <w:ind w:left="-810"/>
        <w:jc w:val="both"/>
        <w:rPr>
          <w:bCs/>
          <w:iCs/>
          <w:color w:val="4472C4" w:themeColor="accent1"/>
        </w:rPr>
      </w:pPr>
      <w:r>
        <w:rPr>
          <w:b/>
          <w:iCs/>
        </w:rPr>
        <w:t>-</w:t>
      </w:r>
      <w:r w:rsidRPr="00FA6519">
        <w:rPr>
          <w:b/>
          <w:iCs/>
        </w:rPr>
        <w:t>UNICEF:</w:t>
      </w:r>
      <w:r w:rsidR="003B3B4A" w:rsidRPr="00FA6519">
        <w:rPr>
          <w:b/>
          <w:iCs/>
        </w:rPr>
        <w:t xml:space="preserve"> </w:t>
      </w:r>
      <w:r w:rsidR="003B3B4A" w:rsidRPr="00FA6519">
        <w:t>In total, 42 youth (18 female and 24 male)</w:t>
      </w:r>
      <w:r w:rsidR="003B3B4A" w:rsidRPr="00FA6519">
        <w:rPr>
          <w:bCs/>
          <w:iCs/>
        </w:rPr>
        <w:t xml:space="preserve"> youth participating in community mobilisation have been empowered as change agents to trigger social norm change in their communities. There is </w:t>
      </w:r>
      <w:r w:rsidR="00FA6519">
        <w:rPr>
          <w:bCs/>
          <w:iCs/>
        </w:rPr>
        <w:t xml:space="preserve">also </w:t>
      </w:r>
      <w:r w:rsidR="003B3B4A" w:rsidRPr="00FA6519">
        <w:rPr>
          <w:bCs/>
          <w:iCs/>
        </w:rPr>
        <w:t xml:space="preserve">increased awareness of the dangers of substance abuse, child marriage, GBV, and MHPSS, evidenced by the increased use of child protection service points. </w:t>
      </w:r>
    </w:p>
    <w:p w14:paraId="63D89FCC" w14:textId="77777777" w:rsidR="00206D45" w:rsidRPr="002D4F5A" w:rsidRDefault="00206D45" w:rsidP="00206D45">
      <w:pPr>
        <w:rPr>
          <w:b/>
          <w:sz w:val="28"/>
          <w:szCs w:val="28"/>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577EA432"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656892" w:rsidRPr="00025F76">
        <w:rPr>
          <w:bCs/>
        </w:rPr>
        <w:t>Somali youth in conflict-prone displacement settings are less likely to resort to negative practices that contribute to conflict, and instead are more likely to actively engage in activities that promote peacebuilding and social cohesion</w:t>
      </w:r>
      <w:proofErr w:type="gramStart"/>
      <w:r w:rsidR="00656892" w:rsidRPr="00025F76">
        <w:rPr>
          <w:bCs/>
        </w:rPr>
        <w:t>—  achieved</w:t>
      </w:r>
      <w:proofErr w:type="gramEnd"/>
      <w:r w:rsidR="00656892" w:rsidRPr="00025F76">
        <w:rPr>
          <w:bCs/>
        </w:rPr>
        <w:t xml:space="preserve"> through increased access to youth-friendly mental health care, community-based psychosocial support activities and services, and tailored information dissemination.</w:t>
      </w:r>
    </w:p>
    <w:p w14:paraId="41A3C253" w14:textId="77777777" w:rsidR="00D3351A" w:rsidRPr="00627A1C" w:rsidRDefault="00D3351A" w:rsidP="00323ABC">
      <w:pPr>
        <w:ind w:left="-720"/>
        <w:rPr>
          <w:b/>
        </w:rPr>
      </w:pPr>
    </w:p>
    <w:p w14:paraId="4262CE1B" w14:textId="0DFD456A"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F6768B">
        <w:rPr>
          <w:b/>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21ADCF17" w:rsidR="00627A1C" w:rsidRPr="00BE1A70" w:rsidRDefault="00BE1A70" w:rsidP="00521A07">
      <w:pPr>
        <w:ind w:left="-720"/>
        <w:jc w:val="both"/>
        <w:rPr>
          <w:bCs/>
        </w:rPr>
      </w:pPr>
      <w:r>
        <w:rPr>
          <w:b/>
        </w:rPr>
        <w:t xml:space="preserve">-WHO: </w:t>
      </w:r>
      <w:r>
        <w:rPr>
          <w:bCs/>
        </w:rPr>
        <w:t>As mentioned above</w:t>
      </w:r>
      <w:r w:rsidR="00804A36">
        <w:rPr>
          <w:bCs/>
        </w:rPr>
        <w:t xml:space="preserve">, after finalizing the development of the MH curriculum, </w:t>
      </w:r>
      <w:r w:rsidR="00804A36">
        <w:t xml:space="preserve">using the </w:t>
      </w:r>
      <w:proofErr w:type="spellStart"/>
      <w:r w:rsidR="00804A36">
        <w:rPr>
          <w:bCs/>
          <w:iCs/>
        </w:rPr>
        <w:t>m</w:t>
      </w:r>
      <w:r w:rsidR="00804A36" w:rsidRPr="00FF0F03">
        <w:rPr>
          <w:bCs/>
          <w:iCs/>
        </w:rPr>
        <w:t>hG</w:t>
      </w:r>
      <w:r w:rsidR="00804A36">
        <w:rPr>
          <w:bCs/>
          <w:iCs/>
        </w:rPr>
        <w:t>AP</w:t>
      </w:r>
      <w:proofErr w:type="spellEnd"/>
      <w:r w:rsidR="00804A36" w:rsidRPr="00FF0F03">
        <w:rPr>
          <w:bCs/>
          <w:iCs/>
        </w:rPr>
        <w:t xml:space="preserve"> intervention guide</w:t>
      </w:r>
      <w:r w:rsidR="00804A36">
        <w:rPr>
          <w:bCs/>
          <w:iCs/>
        </w:rPr>
        <w:t xml:space="preserve">, WHO implemented as planned the TOTs </w:t>
      </w:r>
      <w:r w:rsidR="004230BB">
        <w:rPr>
          <w:bCs/>
          <w:iCs/>
        </w:rPr>
        <w:t>(</w:t>
      </w:r>
      <w:r w:rsidR="004230BB">
        <w:rPr>
          <w:bCs/>
          <w:iCs/>
          <w:lang w:val="en-US"/>
        </w:rPr>
        <w:t>2</w:t>
      </w:r>
      <w:r w:rsidR="00D96B91">
        <w:rPr>
          <w:bCs/>
          <w:iCs/>
          <w:lang w:val="en-US"/>
        </w:rPr>
        <w:t>4</w:t>
      </w:r>
      <w:r w:rsidR="004230BB">
        <w:rPr>
          <w:bCs/>
          <w:iCs/>
          <w:lang w:val="en-US"/>
        </w:rPr>
        <w:t xml:space="preserve"> participants, Dec. 2020) </w:t>
      </w:r>
      <w:r w:rsidR="00804A36">
        <w:rPr>
          <w:bCs/>
          <w:iCs/>
        </w:rPr>
        <w:t>and cascade trainings</w:t>
      </w:r>
      <w:r w:rsidR="00582D9B">
        <w:rPr>
          <w:bCs/>
          <w:iCs/>
        </w:rPr>
        <w:t xml:space="preserve"> </w:t>
      </w:r>
      <w:r w:rsidR="00582D9B">
        <w:rPr>
          <w:bCs/>
          <w:iCs/>
          <w:lang w:val="en-US"/>
        </w:rPr>
        <w:t>(60 participants, Feb. 2021)</w:t>
      </w:r>
      <w:r w:rsidR="00804A36">
        <w:rPr>
          <w:bCs/>
          <w:iCs/>
        </w:rPr>
        <w:t xml:space="preserve">, in collaboration with SNU. </w:t>
      </w:r>
      <w:r w:rsidR="000D7AC3">
        <w:rPr>
          <w:bCs/>
          <w:iCs/>
        </w:rPr>
        <w:t xml:space="preserve">So far, only the research study remains to be </w:t>
      </w:r>
      <w:r w:rsidR="0063139E">
        <w:rPr>
          <w:bCs/>
          <w:iCs/>
        </w:rPr>
        <w:t>implemented</w:t>
      </w:r>
      <w:r w:rsidR="00AC0433">
        <w:rPr>
          <w:bCs/>
          <w:iCs/>
        </w:rPr>
        <w:t xml:space="preserve">. In this regard, </w:t>
      </w:r>
      <w:r w:rsidR="003C15CC">
        <w:rPr>
          <w:bCs/>
          <w:iCs/>
        </w:rPr>
        <w:t>WHO has already selected the firm</w:t>
      </w:r>
      <w:r w:rsidR="00AC0433">
        <w:rPr>
          <w:bCs/>
          <w:iCs/>
        </w:rPr>
        <w:t xml:space="preserve"> which will conduct the research study and is now discussing with it to </w:t>
      </w:r>
      <w:r w:rsidR="00382CFA">
        <w:rPr>
          <w:bCs/>
          <w:iCs/>
        </w:rPr>
        <w:t>finalize the last details of the contract (</w:t>
      </w:r>
      <w:proofErr w:type="gramStart"/>
      <w:r w:rsidR="00382CFA">
        <w:rPr>
          <w:bCs/>
          <w:iCs/>
        </w:rPr>
        <w:t>e.g.</w:t>
      </w:r>
      <w:proofErr w:type="gramEnd"/>
      <w:r w:rsidR="00382CFA">
        <w:rPr>
          <w:bCs/>
          <w:iCs/>
        </w:rPr>
        <w:t xml:space="preserve"> ensuring the presence of a gender expert as part of the team, discussing the budget, etc.). The research study is expected to be delivered by </w:t>
      </w:r>
      <w:r w:rsidR="001D1BBD">
        <w:rPr>
          <w:bCs/>
          <w:iCs/>
        </w:rPr>
        <w:t>the end of the project</w:t>
      </w:r>
      <w:r w:rsidR="00382CFA">
        <w:rPr>
          <w:bCs/>
          <w:iCs/>
        </w:rPr>
        <w:t xml:space="preserve">. </w:t>
      </w:r>
      <w:r w:rsidR="003551CC">
        <w:rPr>
          <w:bCs/>
          <w:iCs/>
        </w:rPr>
        <w:t>With regards to the visibility of the project, WHO is in the process of finalizing the website, which should be launched in June</w:t>
      </w:r>
      <w:r w:rsidR="00202CCA">
        <w:rPr>
          <w:bCs/>
          <w:iCs/>
        </w:rPr>
        <w:t xml:space="preserve"> or early July</w:t>
      </w:r>
      <w:r w:rsidR="003551CC">
        <w:rPr>
          <w:bCs/>
          <w:iCs/>
        </w:rPr>
        <w:t xml:space="preserve">. </w:t>
      </w:r>
    </w:p>
    <w:p w14:paraId="60A285E7" w14:textId="3C834DED" w:rsidR="00BE1A70" w:rsidRDefault="00BE1A70" w:rsidP="00521A07">
      <w:pPr>
        <w:ind w:left="-720"/>
        <w:jc w:val="both"/>
        <w:rPr>
          <w:b/>
        </w:rPr>
      </w:pPr>
      <w:r>
        <w:rPr>
          <w:b/>
        </w:rPr>
        <w:t>-IOM</w:t>
      </w:r>
      <w:r w:rsidR="00822160">
        <w:rPr>
          <w:b/>
        </w:rPr>
        <w:t xml:space="preserve"> </w:t>
      </w:r>
      <w:r w:rsidR="005A04E5" w:rsidRPr="005A04E5">
        <w:rPr>
          <w:bCs/>
        </w:rPr>
        <w:t xml:space="preserve">has activated the provision of socially inclusive MHPSS services in selected health facilities in </w:t>
      </w:r>
      <w:proofErr w:type="spellStart"/>
      <w:r w:rsidR="005A04E5" w:rsidRPr="005A04E5">
        <w:rPr>
          <w:bCs/>
        </w:rPr>
        <w:t>Dollow</w:t>
      </w:r>
      <w:proofErr w:type="spellEnd"/>
      <w:r w:rsidR="005A04E5" w:rsidRPr="005A04E5">
        <w:rPr>
          <w:bCs/>
        </w:rPr>
        <w:t xml:space="preserve"> (</w:t>
      </w:r>
      <w:proofErr w:type="spellStart"/>
      <w:r w:rsidR="005A04E5" w:rsidRPr="005A04E5">
        <w:rPr>
          <w:bCs/>
        </w:rPr>
        <w:t>Qanxaley</w:t>
      </w:r>
      <w:proofErr w:type="spellEnd"/>
      <w:r w:rsidR="00F866F4">
        <w:rPr>
          <w:bCs/>
        </w:rPr>
        <w:t xml:space="preserve">, </w:t>
      </w:r>
      <w:proofErr w:type="spellStart"/>
      <w:r w:rsidR="005A04E5" w:rsidRPr="005A04E5">
        <w:rPr>
          <w:bCs/>
        </w:rPr>
        <w:t>Kabasa</w:t>
      </w:r>
      <w:proofErr w:type="spellEnd"/>
      <w:r w:rsidR="005A04E5" w:rsidRPr="005A04E5">
        <w:rPr>
          <w:bCs/>
        </w:rPr>
        <w:t>), Kismayo (</w:t>
      </w:r>
      <w:proofErr w:type="spellStart"/>
      <w:r w:rsidR="005A04E5" w:rsidRPr="005A04E5">
        <w:rPr>
          <w:bCs/>
        </w:rPr>
        <w:t>Dalxiiska</w:t>
      </w:r>
      <w:proofErr w:type="spellEnd"/>
      <w:r w:rsidR="005A04E5" w:rsidRPr="005A04E5">
        <w:rPr>
          <w:bCs/>
        </w:rPr>
        <w:t xml:space="preserve">, </w:t>
      </w:r>
      <w:proofErr w:type="spellStart"/>
      <w:r w:rsidR="005A04E5" w:rsidRPr="005A04E5">
        <w:rPr>
          <w:bCs/>
        </w:rPr>
        <w:t>Gulwade</w:t>
      </w:r>
      <w:proofErr w:type="spellEnd"/>
      <w:r w:rsidR="00F866F4">
        <w:rPr>
          <w:bCs/>
        </w:rPr>
        <w:t xml:space="preserve">, </w:t>
      </w:r>
      <w:proofErr w:type="spellStart"/>
      <w:r w:rsidR="005A04E5" w:rsidRPr="005A04E5">
        <w:rPr>
          <w:bCs/>
        </w:rPr>
        <w:t>Bulagudud</w:t>
      </w:r>
      <w:proofErr w:type="spellEnd"/>
      <w:r w:rsidR="005A04E5" w:rsidRPr="005A04E5">
        <w:rPr>
          <w:bCs/>
        </w:rPr>
        <w:t>) and Baidoa (</w:t>
      </w:r>
      <w:proofErr w:type="spellStart"/>
      <w:r w:rsidR="005A04E5" w:rsidRPr="005A04E5">
        <w:rPr>
          <w:bCs/>
        </w:rPr>
        <w:t>Barwaqo</w:t>
      </w:r>
      <w:proofErr w:type="spellEnd"/>
      <w:r w:rsidR="005A04E5" w:rsidRPr="005A04E5">
        <w:rPr>
          <w:bCs/>
        </w:rPr>
        <w:t xml:space="preserve"> resettlement sites) to receive </w:t>
      </w:r>
      <w:r w:rsidR="00775C8B" w:rsidRPr="005A04E5">
        <w:rPr>
          <w:bCs/>
        </w:rPr>
        <w:t xml:space="preserve">youth-aged </w:t>
      </w:r>
      <w:r w:rsidR="005A04E5" w:rsidRPr="005A04E5">
        <w:rPr>
          <w:bCs/>
        </w:rPr>
        <w:t xml:space="preserve">persons </w:t>
      </w:r>
      <w:r w:rsidR="00822160">
        <w:rPr>
          <w:bCs/>
        </w:rPr>
        <w:t>in</w:t>
      </w:r>
      <w:r w:rsidR="005A04E5" w:rsidRPr="005A04E5">
        <w:rPr>
          <w:bCs/>
        </w:rPr>
        <w:t xml:space="preserve"> need </w:t>
      </w:r>
      <w:r w:rsidR="00822160">
        <w:rPr>
          <w:bCs/>
        </w:rPr>
        <w:t xml:space="preserve">of </w:t>
      </w:r>
      <w:r w:rsidR="005A04E5" w:rsidRPr="005A04E5">
        <w:rPr>
          <w:bCs/>
        </w:rPr>
        <w:t xml:space="preserve">specialized </w:t>
      </w:r>
      <w:r w:rsidR="00822160">
        <w:rPr>
          <w:bCs/>
        </w:rPr>
        <w:t>MH</w:t>
      </w:r>
      <w:r w:rsidR="005A04E5" w:rsidRPr="005A04E5">
        <w:rPr>
          <w:bCs/>
        </w:rPr>
        <w:t xml:space="preserve"> care. </w:t>
      </w:r>
      <w:r w:rsidR="00357DB0">
        <w:rPr>
          <w:bCs/>
        </w:rPr>
        <w:t>C</w:t>
      </w:r>
      <w:r w:rsidR="005A04E5" w:rsidRPr="005A04E5">
        <w:rPr>
          <w:bCs/>
        </w:rPr>
        <w:t xml:space="preserve">linical teams </w:t>
      </w:r>
      <w:r w:rsidR="00775C8B">
        <w:rPr>
          <w:bCs/>
        </w:rPr>
        <w:t>(</w:t>
      </w:r>
      <w:r w:rsidR="005A04E5" w:rsidRPr="005A04E5">
        <w:rPr>
          <w:bCs/>
        </w:rPr>
        <w:t xml:space="preserve">clinicians, qualified nurses and </w:t>
      </w:r>
      <w:r w:rsidR="00357DB0">
        <w:rPr>
          <w:bCs/>
        </w:rPr>
        <w:t>CHWs</w:t>
      </w:r>
      <w:r w:rsidR="00775C8B">
        <w:rPr>
          <w:bCs/>
        </w:rPr>
        <w:t>)</w:t>
      </w:r>
      <w:r w:rsidR="005A04E5" w:rsidRPr="005A04E5">
        <w:rPr>
          <w:bCs/>
        </w:rPr>
        <w:t xml:space="preserve"> are working in health facilities and </w:t>
      </w:r>
      <w:r w:rsidR="00DE7799">
        <w:rPr>
          <w:bCs/>
        </w:rPr>
        <w:t>through</w:t>
      </w:r>
      <w:r w:rsidR="005A04E5" w:rsidRPr="005A04E5">
        <w:rPr>
          <w:bCs/>
        </w:rPr>
        <w:t xml:space="preserve"> </w:t>
      </w:r>
      <w:r w:rsidR="00DE7799">
        <w:rPr>
          <w:bCs/>
        </w:rPr>
        <w:t xml:space="preserve">community </w:t>
      </w:r>
      <w:r w:rsidR="005A04E5" w:rsidRPr="005A04E5">
        <w:rPr>
          <w:bCs/>
        </w:rPr>
        <w:t>outreach sessions</w:t>
      </w:r>
      <w:r w:rsidR="00453A4A">
        <w:rPr>
          <w:bCs/>
        </w:rPr>
        <w:t xml:space="preserve">, along </w:t>
      </w:r>
      <w:r w:rsidR="005A04E5" w:rsidRPr="005A04E5">
        <w:rPr>
          <w:bCs/>
        </w:rPr>
        <w:t xml:space="preserve">with </w:t>
      </w:r>
      <w:r w:rsidR="00DE7799" w:rsidRPr="005A04E5">
        <w:rPr>
          <w:bCs/>
        </w:rPr>
        <w:t>community</w:t>
      </w:r>
      <w:r w:rsidR="00DE7799">
        <w:rPr>
          <w:bCs/>
        </w:rPr>
        <w:t xml:space="preserve"> based</w:t>
      </w:r>
      <w:r w:rsidR="005A04E5" w:rsidRPr="005A04E5">
        <w:rPr>
          <w:bCs/>
        </w:rPr>
        <w:t xml:space="preserve"> MHPSS counsellors. 142 persons have been assisted by MHPSS </w:t>
      </w:r>
      <w:r w:rsidR="00453A4A">
        <w:rPr>
          <w:bCs/>
        </w:rPr>
        <w:t xml:space="preserve">mobile </w:t>
      </w:r>
      <w:r w:rsidR="005A04E5" w:rsidRPr="005A04E5">
        <w:rPr>
          <w:bCs/>
        </w:rPr>
        <w:t>teams in IDP sites</w:t>
      </w:r>
      <w:r w:rsidR="00453A4A">
        <w:rPr>
          <w:bCs/>
        </w:rPr>
        <w:t>,</w:t>
      </w:r>
      <w:r w:rsidR="005A04E5" w:rsidRPr="005A04E5">
        <w:rPr>
          <w:bCs/>
        </w:rPr>
        <w:t xml:space="preserve"> through active case identification, initial needs assessments, individual and family counselling</w:t>
      </w:r>
      <w:r w:rsidR="00901650">
        <w:rPr>
          <w:bCs/>
        </w:rPr>
        <w:t xml:space="preserve"> (</w:t>
      </w:r>
      <w:r w:rsidR="005A04E5" w:rsidRPr="005A04E5">
        <w:rPr>
          <w:bCs/>
        </w:rPr>
        <w:t>426 counselling sessions</w:t>
      </w:r>
      <w:r w:rsidR="00901650">
        <w:rPr>
          <w:bCs/>
        </w:rPr>
        <w:t xml:space="preserve"> provided)</w:t>
      </w:r>
      <w:r w:rsidR="005A04E5" w:rsidRPr="005A04E5">
        <w:rPr>
          <w:bCs/>
        </w:rPr>
        <w:t xml:space="preserve">, and follow-up visits both </w:t>
      </w:r>
      <w:r w:rsidR="00C25CCA">
        <w:rPr>
          <w:bCs/>
        </w:rPr>
        <w:t>at</w:t>
      </w:r>
      <w:r w:rsidR="005A04E5" w:rsidRPr="005A04E5">
        <w:rPr>
          <w:bCs/>
        </w:rPr>
        <w:t xml:space="preserve"> health facilities and </w:t>
      </w:r>
      <w:r w:rsidR="00C25CCA">
        <w:rPr>
          <w:bCs/>
        </w:rPr>
        <w:t>at</w:t>
      </w:r>
      <w:r w:rsidR="005A04E5" w:rsidRPr="005A04E5">
        <w:rPr>
          <w:bCs/>
        </w:rPr>
        <w:t xml:space="preserve"> their homes.</w:t>
      </w:r>
      <w:r w:rsidR="008262AB">
        <w:rPr>
          <w:bCs/>
        </w:rPr>
        <w:t xml:space="preserve"> </w:t>
      </w:r>
      <w:r w:rsidR="005A04E5" w:rsidRPr="005A04E5">
        <w:rPr>
          <w:bCs/>
        </w:rPr>
        <w:t>23 persons</w:t>
      </w:r>
      <w:r w:rsidR="008262AB">
        <w:rPr>
          <w:bCs/>
        </w:rPr>
        <w:t xml:space="preserve"> </w:t>
      </w:r>
      <w:r w:rsidR="005A04E5" w:rsidRPr="005A04E5">
        <w:rPr>
          <w:bCs/>
        </w:rPr>
        <w:t xml:space="preserve">were </w:t>
      </w:r>
      <w:r w:rsidR="00C25CCA">
        <w:rPr>
          <w:bCs/>
        </w:rPr>
        <w:t xml:space="preserve">found </w:t>
      </w:r>
      <w:r w:rsidR="005A04E5" w:rsidRPr="005A04E5">
        <w:rPr>
          <w:bCs/>
        </w:rPr>
        <w:t xml:space="preserve">in need of further referral for specialized </w:t>
      </w:r>
      <w:r w:rsidR="00C25CCA">
        <w:rPr>
          <w:bCs/>
        </w:rPr>
        <w:t>MH</w:t>
      </w:r>
      <w:r w:rsidR="005A04E5" w:rsidRPr="005A04E5">
        <w:rPr>
          <w:bCs/>
        </w:rPr>
        <w:t xml:space="preserve"> care</w:t>
      </w:r>
      <w:r w:rsidR="008262AB">
        <w:rPr>
          <w:bCs/>
        </w:rPr>
        <w:t xml:space="preserve"> and were referred, in coordination </w:t>
      </w:r>
      <w:r w:rsidR="005A04E5" w:rsidRPr="005A04E5">
        <w:rPr>
          <w:bCs/>
        </w:rPr>
        <w:t>with the</w:t>
      </w:r>
      <w:r w:rsidR="0002666E">
        <w:rPr>
          <w:bCs/>
        </w:rPr>
        <w:t xml:space="preserve"> MOH</w:t>
      </w:r>
      <w:r w:rsidR="005A04E5" w:rsidRPr="005A04E5">
        <w:rPr>
          <w:bCs/>
        </w:rPr>
        <w:t>. 98 youth</w:t>
      </w:r>
      <w:r w:rsidR="00DA41AF">
        <w:rPr>
          <w:bCs/>
        </w:rPr>
        <w:t>-</w:t>
      </w:r>
      <w:r w:rsidR="005A04E5" w:rsidRPr="005A04E5">
        <w:rPr>
          <w:bCs/>
        </w:rPr>
        <w:t>aged persons are also actively involved in youth groups</w:t>
      </w:r>
      <w:r w:rsidR="008262AB">
        <w:rPr>
          <w:bCs/>
        </w:rPr>
        <w:t xml:space="preserve"> </w:t>
      </w:r>
      <w:r w:rsidR="005A04E5" w:rsidRPr="005A04E5">
        <w:rPr>
          <w:bCs/>
        </w:rPr>
        <w:t xml:space="preserve">discussing issues and solutions to promote their wellbeing at individual, family and community-levels. Engagement with GBV actors in Kismayo, Baidoa and </w:t>
      </w:r>
      <w:proofErr w:type="spellStart"/>
      <w:r w:rsidR="005A04E5" w:rsidRPr="005A04E5">
        <w:rPr>
          <w:bCs/>
        </w:rPr>
        <w:t>Dollow</w:t>
      </w:r>
      <w:proofErr w:type="spellEnd"/>
      <w:r w:rsidR="005A04E5" w:rsidRPr="005A04E5">
        <w:rPr>
          <w:bCs/>
        </w:rPr>
        <w:t xml:space="preserve"> was </w:t>
      </w:r>
      <w:r w:rsidR="004900E5">
        <w:rPr>
          <w:bCs/>
        </w:rPr>
        <w:t xml:space="preserve">also </w:t>
      </w:r>
      <w:proofErr w:type="gramStart"/>
      <w:r w:rsidR="005A04E5" w:rsidRPr="005A04E5">
        <w:rPr>
          <w:bCs/>
        </w:rPr>
        <w:t>activated</w:t>
      </w:r>
      <w:proofErr w:type="gramEnd"/>
      <w:r w:rsidR="005A04E5" w:rsidRPr="005A04E5">
        <w:rPr>
          <w:bCs/>
        </w:rPr>
        <w:t xml:space="preserve"> </w:t>
      </w:r>
      <w:r w:rsidR="004900E5">
        <w:rPr>
          <w:bCs/>
        </w:rPr>
        <w:t xml:space="preserve">and </w:t>
      </w:r>
      <w:r w:rsidR="005A04E5" w:rsidRPr="005A04E5">
        <w:rPr>
          <w:bCs/>
        </w:rPr>
        <w:t xml:space="preserve">preparations </w:t>
      </w:r>
      <w:r w:rsidR="004900E5">
        <w:rPr>
          <w:bCs/>
        </w:rPr>
        <w:t xml:space="preserve">have </w:t>
      </w:r>
      <w:r w:rsidR="005A04E5" w:rsidRPr="005A04E5">
        <w:rPr>
          <w:bCs/>
        </w:rPr>
        <w:t xml:space="preserve">started for a workshop with GBV/MHPSS actors to identify key MHPSS services and update the service mapping in existing GBV referral pathways. Lastly, community leaders were engaged during the selection and recruitment of the MHPSS </w:t>
      </w:r>
      <w:r w:rsidR="005A04E5" w:rsidRPr="005A04E5">
        <w:rPr>
          <w:bCs/>
        </w:rPr>
        <w:lastRenderedPageBreak/>
        <w:t xml:space="preserve">community-based teams. </w:t>
      </w:r>
      <w:r w:rsidR="00214B19">
        <w:rPr>
          <w:bCs/>
        </w:rPr>
        <w:t xml:space="preserve">To capitalize on this, IOM is planning a workshop for </w:t>
      </w:r>
      <w:r w:rsidR="005A04E5" w:rsidRPr="005A04E5">
        <w:rPr>
          <w:bCs/>
        </w:rPr>
        <w:t xml:space="preserve">community </w:t>
      </w:r>
      <w:r w:rsidR="00E4409C" w:rsidRPr="005A04E5">
        <w:rPr>
          <w:bCs/>
        </w:rPr>
        <w:t>leaders</w:t>
      </w:r>
      <w:r w:rsidR="00E4409C">
        <w:rPr>
          <w:bCs/>
        </w:rPr>
        <w:t xml:space="preserve"> </w:t>
      </w:r>
      <w:r w:rsidR="00214B19">
        <w:rPr>
          <w:bCs/>
        </w:rPr>
        <w:t>in</w:t>
      </w:r>
      <w:r w:rsidR="005A04E5" w:rsidRPr="005A04E5">
        <w:rPr>
          <w:bCs/>
        </w:rPr>
        <w:t xml:space="preserve"> July 2021</w:t>
      </w:r>
      <w:r w:rsidR="00E4409C">
        <w:rPr>
          <w:bCs/>
        </w:rPr>
        <w:t>,</w:t>
      </w:r>
      <w:r w:rsidR="005A04E5" w:rsidRPr="005A04E5">
        <w:rPr>
          <w:bCs/>
        </w:rPr>
        <w:t xml:space="preserve"> </w:t>
      </w:r>
      <w:r w:rsidR="00214B19">
        <w:rPr>
          <w:bCs/>
        </w:rPr>
        <w:t xml:space="preserve">aimed at </w:t>
      </w:r>
      <w:r w:rsidR="00965F33">
        <w:rPr>
          <w:bCs/>
        </w:rPr>
        <w:t>undertaking a</w:t>
      </w:r>
      <w:r w:rsidR="005A04E5" w:rsidRPr="005A04E5">
        <w:rPr>
          <w:bCs/>
        </w:rPr>
        <w:t xml:space="preserve"> mapping exercise on various ways </w:t>
      </w:r>
      <w:r w:rsidR="00965F33">
        <w:rPr>
          <w:bCs/>
        </w:rPr>
        <w:t>for them to support the youth in their communities.</w:t>
      </w:r>
    </w:p>
    <w:p w14:paraId="4A919B99" w14:textId="0429F6FA" w:rsidR="001C042B" w:rsidRPr="002C052F" w:rsidRDefault="00BE1A70" w:rsidP="006B5A2E">
      <w:pPr>
        <w:ind w:left="-720"/>
        <w:jc w:val="both"/>
        <w:rPr>
          <w:bCs/>
        </w:rPr>
      </w:pPr>
      <w:r>
        <w:rPr>
          <w:b/>
        </w:rPr>
        <w:t xml:space="preserve">-UNICEF: </w:t>
      </w:r>
      <w:r w:rsidR="001C042B" w:rsidRPr="002C052F">
        <w:rPr>
          <w:bCs/>
        </w:rPr>
        <w:t xml:space="preserve">Information on </w:t>
      </w:r>
      <w:r w:rsidR="00E4491B">
        <w:rPr>
          <w:bCs/>
        </w:rPr>
        <w:t>mental heal</w:t>
      </w:r>
      <w:r w:rsidR="001419C2">
        <w:rPr>
          <w:bCs/>
        </w:rPr>
        <w:t>th</w:t>
      </w:r>
      <w:r w:rsidR="001C042B" w:rsidRPr="002C052F">
        <w:rPr>
          <w:bCs/>
        </w:rPr>
        <w:t xml:space="preserve"> and substance use, GBV, stigma and negative coping mechanisms contributing to sustaining conflict was broadcasted across various radio stations using radio clips</w:t>
      </w:r>
      <w:r w:rsidR="003C2400" w:rsidRPr="002C052F">
        <w:rPr>
          <w:bCs/>
        </w:rPr>
        <w:t xml:space="preserve"> </w:t>
      </w:r>
      <w:r w:rsidR="003C2400" w:rsidRPr="002C052F">
        <w:t>(aired 5 times/day, 10 radio stations for 30 days)</w:t>
      </w:r>
      <w:r w:rsidR="001C042B" w:rsidRPr="002C052F">
        <w:rPr>
          <w:bCs/>
        </w:rPr>
        <w:t xml:space="preserve">. Messages were developed through a consultative process with the youth and elders. An estimated 200,000 people in Baidoa and Galkayo were reached through </w:t>
      </w:r>
      <w:r w:rsidR="00797189" w:rsidRPr="002C052F">
        <w:rPr>
          <w:bCs/>
        </w:rPr>
        <w:t>those</w:t>
      </w:r>
      <w:r w:rsidR="001C042B" w:rsidRPr="002C052F">
        <w:rPr>
          <w:bCs/>
        </w:rPr>
        <w:t xml:space="preserve"> radio broadcasts and are now informed and aware of the dangers of substance use and negative coping mechanisms. Young people have also been empowered as social change agents and are now participating actively as drivers of change in their communities. Similarly, 35 </w:t>
      </w:r>
      <w:proofErr w:type="gramStart"/>
      <w:r w:rsidR="001C042B" w:rsidRPr="002C052F">
        <w:rPr>
          <w:bCs/>
        </w:rPr>
        <w:t>religious</w:t>
      </w:r>
      <w:proofErr w:type="gramEnd"/>
      <w:r w:rsidR="001C042B" w:rsidRPr="002C052F">
        <w:rPr>
          <w:bCs/>
        </w:rPr>
        <w:t xml:space="preserve"> leaders (all men) are now empowered to prevent substance use and refer protection cases to specialised services.</w:t>
      </w:r>
    </w:p>
    <w:p w14:paraId="07ED7578" w14:textId="4F0B1C57" w:rsidR="00BE1A70" w:rsidRPr="00627A1C" w:rsidRDefault="00BE1A70" w:rsidP="00521A07">
      <w:pPr>
        <w:ind w:left="-720"/>
        <w:jc w:val="both"/>
        <w:rPr>
          <w:b/>
        </w:rPr>
      </w:pP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3398C852" w14:textId="794C5668" w:rsidR="00570DF9" w:rsidRPr="00DA506B" w:rsidRDefault="00A3013B" w:rsidP="00DA506B">
      <w:pPr>
        <w:ind w:left="-720"/>
        <w:jc w:val="both"/>
        <w:rPr>
          <w:bCs/>
        </w:rPr>
      </w:pPr>
      <w:r w:rsidRPr="00DA506B">
        <w:rPr>
          <w:b/>
        </w:rPr>
        <w:t>WHO</w:t>
      </w:r>
      <w:r w:rsidRPr="00DA506B">
        <w:rPr>
          <w:bCs/>
        </w:rPr>
        <w:t xml:space="preserve">: </w:t>
      </w:r>
      <w:r w:rsidR="00DA506B" w:rsidRPr="00DA506B">
        <w:rPr>
          <w:bCs/>
        </w:rPr>
        <w:t>A specific gender lens has been included as part of the MHPSS curriculum and a gender balance was sought amongst project participants in TOTs and cascade trainings: out of 2</w:t>
      </w:r>
      <w:r w:rsidR="00F65BAC">
        <w:rPr>
          <w:bCs/>
        </w:rPr>
        <w:t>4</w:t>
      </w:r>
      <w:r w:rsidR="00DA506B" w:rsidRPr="00DA506B">
        <w:rPr>
          <w:bCs/>
        </w:rPr>
        <w:t xml:space="preserve"> trainers and </w:t>
      </w:r>
      <w:r w:rsidR="00DA506B" w:rsidRPr="00DA506B">
        <w:rPr>
          <w:lang w:val="en-US"/>
        </w:rPr>
        <w:t xml:space="preserve">60 health care providers trained, </w:t>
      </w:r>
      <w:r w:rsidR="00DA506B" w:rsidRPr="00DA506B">
        <w:rPr>
          <w:bCs/>
        </w:rPr>
        <w:t>3</w:t>
      </w:r>
      <w:r w:rsidR="00DA506B" w:rsidRPr="00DA506B">
        <w:rPr>
          <w:lang w:val="en-US"/>
        </w:rPr>
        <w:t xml:space="preserve">8 were </w:t>
      </w:r>
      <w:proofErr w:type="gramStart"/>
      <w:r w:rsidR="00DA506B" w:rsidRPr="00DA506B">
        <w:rPr>
          <w:lang w:val="en-US"/>
        </w:rPr>
        <w:t>female</w:t>
      </w:r>
      <w:r w:rsidR="00DA506B" w:rsidRPr="00DA506B">
        <w:rPr>
          <w:bCs/>
        </w:rPr>
        <w:t>.</w:t>
      </w:r>
      <w:proofErr w:type="gramEnd"/>
      <w:r w:rsidR="00DA506B" w:rsidRPr="00DA506B">
        <w:rPr>
          <w:bCs/>
        </w:rPr>
        <w:t xml:space="preserve"> Data is systematically being disaggregated by gender and a gender expert will be included </w:t>
      </w:r>
      <w:r w:rsidR="007F6C8D">
        <w:rPr>
          <w:bCs/>
        </w:rPr>
        <w:t>in</w:t>
      </w:r>
      <w:r w:rsidR="00DA506B" w:rsidRPr="00DA506B">
        <w:rPr>
          <w:bCs/>
        </w:rPr>
        <w:t xml:space="preserve"> the research team. </w:t>
      </w:r>
      <w:r w:rsidRPr="00DA506B">
        <w:rPr>
          <w:bCs/>
        </w:rPr>
        <w:t>S</w:t>
      </w:r>
      <w:r w:rsidR="00570DF9" w:rsidRPr="00DA506B">
        <w:rPr>
          <w:bCs/>
        </w:rPr>
        <w:t xml:space="preserve">pecific indicators </w:t>
      </w:r>
      <w:r w:rsidR="008516D0" w:rsidRPr="00DA506B">
        <w:rPr>
          <w:bCs/>
        </w:rPr>
        <w:t>have</w:t>
      </w:r>
      <w:r w:rsidR="00570DF9" w:rsidRPr="00DA506B">
        <w:rPr>
          <w:bCs/>
        </w:rPr>
        <w:t xml:space="preserve"> be</w:t>
      </w:r>
      <w:r w:rsidR="008516D0" w:rsidRPr="00DA506B">
        <w:rPr>
          <w:bCs/>
        </w:rPr>
        <w:t>en</w:t>
      </w:r>
      <w:r w:rsidR="00570DF9" w:rsidRPr="00DA506B">
        <w:rPr>
          <w:bCs/>
        </w:rPr>
        <w:t xml:space="preserve"> included in the M&amp;E framework. </w:t>
      </w:r>
    </w:p>
    <w:p w14:paraId="409C1DBE" w14:textId="0162C02D" w:rsidR="00D11F50" w:rsidRPr="00DA506B" w:rsidRDefault="008329B4" w:rsidP="00DA506B">
      <w:pPr>
        <w:ind w:left="-720"/>
        <w:jc w:val="both"/>
        <w:rPr>
          <w:bCs/>
        </w:rPr>
      </w:pPr>
      <w:r w:rsidRPr="00DA506B">
        <w:rPr>
          <w:b/>
        </w:rPr>
        <w:t>IOM</w:t>
      </w:r>
      <w:r w:rsidRPr="00DA506B">
        <w:rPr>
          <w:bCs/>
        </w:rPr>
        <w:t xml:space="preserve">: </w:t>
      </w:r>
      <w:r w:rsidR="009C338A" w:rsidRPr="00DA506B">
        <w:rPr>
          <w:bCs/>
        </w:rPr>
        <w:t xml:space="preserve">97 team members are involved in the delivery of MHPSS services, of which: </w:t>
      </w:r>
      <w:r w:rsidR="004C067C" w:rsidRPr="00DA506B">
        <w:rPr>
          <w:bCs/>
        </w:rPr>
        <w:t xml:space="preserve">22 health workers (all youth, 6 </w:t>
      </w:r>
      <w:proofErr w:type="gramStart"/>
      <w:r w:rsidR="004C067C" w:rsidRPr="00DA506B">
        <w:rPr>
          <w:bCs/>
        </w:rPr>
        <w:t>female</w:t>
      </w:r>
      <w:proofErr w:type="gramEnd"/>
      <w:r w:rsidR="00D11F50" w:rsidRPr="00DA506B">
        <w:rPr>
          <w:bCs/>
        </w:rPr>
        <w:t xml:space="preserve">, </w:t>
      </w:r>
      <w:r w:rsidR="004C067C" w:rsidRPr="00DA506B">
        <w:rPr>
          <w:bCs/>
        </w:rPr>
        <w:t>16 male)</w:t>
      </w:r>
      <w:r w:rsidR="00616364" w:rsidRPr="00DA506B">
        <w:rPr>
          <w:bCs/>
        </w:rPr>
        <w:t xml:space="preserve"> and 75 CHWs (60 </w:t>
      </w:r>
      <w:r w:rsidR="009B39B7" w:rsidRPr="00DA506B">
        <w:rPr>
          <w:bCs/>
        </w:rPr>
        <w:t>youth</w:t>
      </w:r>
      <w:r w:rsidR="00FD2CE6" w:rsidRPr="00DA506B">
        <w:rPr>
          <w:bCs/>
        </w:rPr>
        <w:t>, 21 female</w:t>
      </w:r>
      <w:r w:rsidR="00D11F50" w:rsidRPr="00DA506B">
        <w:rPr>
          <w:bCs/>
        </w:rPr>
        <w:t xml:space="preserve">, </w:t>
      </w:r>
      <w:r w:rsidR="007C5C52" w:rsidRPr="00DA506B">
        <w:rPr>
          <w:bCs/>
        </w:rPr>
        <w:t>44 male)</w:t>
      </w:r>
      <w:r w:rsidR="00ED2CF7">
        <w:rPr>
          <w:bCs/>
        </w:rPr>
        <w:t xml:space="preserve">, </w:t>
      </w:r>
      <w:r w:rsidR="003861B4" w:rsidRPr="00DA506B">
        <w:rPr>
          <w:bCs/>
        </w:rPr>
        <w:t>allow</w:t>
      </w:r>
      <w:r w:rsidR="00ED2CF7">
        <w:rPr>
          <w:bCs/>
        </w:rPr>
        <w:t>ing</w:t>
      </w:r>
      <w:r w:rsidR="003861B4" w:rsidRPr="00DA506B">
        <w:rPr>
          <w:bCs/>
        </w:rPr>
        <w:t xml:space="preserve"> beneficiaries to </w:t>
      </w:r>
      <w:r w:rsidR="00B36A26" w:rsidRPr="00DA506B">
        <w:rPr>
          <w:bCs/>
        </w:rPr>
        <w:t>choose</w:t>
      </w:r>
      <w:r w:rsidR="003861B4" w:rsidRPr="00DA506B">
        <w:rPr>
          <w:bCs/>
        </w:rPr>
        <w:t xml:space="preserve"> whom they feel mo</w:t>
      </w:r>
      <w:r w:rsidR="00B36A26" w:rsidRPr="00DA506B">
        <w:rPr>
          <w:bCs/>
        </w:rPr>
        <w:t>st</w:t>
      </w:r>
      <w:r w:rsidR="003861B4" w:rsidRPr="00DA506B">
        <w:rPr>
          <w:bCs/>
        </w:rPr>
        <w:t xml:space="preserve"> comfortable</w:t>
      </w:r>
      <w:r w:rsidR="00292637" w:rsidRPr="00DA506B">
        <w:rPr>
          <w:bCs/>
        </w:rPr>
        <w:t xml:space="preserve"> working with</w:t>
      </w:r>
      <w:r w:rsidR="003861B4" w:rsidRPr="00DA506B">
        <w:rPr>
          <w:bCs/>
        </w:rPr>
        <w:t xml:space="preserve">. </w:t>
      </w:r>
      <w:r w:rsidR="00D11F50" w:rsidRPr="00DA506B">
        <w:rPr>
          <w:bCs/>
        </w:rPr>
        <w:t xml:space="preserve">68% of assisted people and 100% participants in youth groups are </w:t>
      </w:r>
      <w:r w:rsidR="007C79C9" w:rsidRPr="00DA506B">
        <w:rPr>
          <w:bCs/>
        </w:rPr>
        <w:t>youth aged</w:t>
      </w:r>
      <w:r w:rsidR="00D11F50" w:rsidRPr="00DA506B">
        <w:rPr>
          <w:bCs/>
        </w:rPr>
        <w:t xml:space="preserve">. </w:t>
      </w:r>
      <w:r w:rsidR="007C79C9">
        <w:rPr>
          <w:bCs/>
        </w:rPr>
        <w:t>M</w:t>
      </w:r>
      <w:r w:rsidR="00D11F50" w:rsidRPr="00DA506B">
        <w:rPr>
          <w:bCs/>
        </w:rPr>
        <w:t>ale</w:t>
      </w:r>
      <w:r w:rsidR="007C79C9">
        <w:rPr>
          <w:bCs/>
        </w:rPr>
        <w:t>s</w:t>
      </w:r>
      <w:r w:rsidR="00D11F50" w:rsidRPr="00DA506B">
        <w:rPr>
          <w:bCs/>
        </w:rPr>
        <w:t xml:space="preserve"> and female</w:t>
      </w:r>
      <w:r w:rsidR="007C79C9">
        <w:rPr>
          <w:bCs/>
        </w:rPr>
        <w:t>s</w:t>
      </w:r>
      <w:r w:rsidR="00D11F50" w:rsidRPr="00DA506B">
        <w:rPr>
          <w:bCs/>
        </w:rPr>
        <w:t xml:space="preserve"> were equally included in group activities</w:t>
      </w:r>
    </w:p>
    <w:p w14:paraId="67E444E6" w14:textId="308DD90A" w:rsidR="00774ECE" w:rsidRPr="00DA506B" w:rsidRDefault="00ED2CF7" w:rsidP="00DA506B">
      <w:pPr>
        <w:ind w:left="-720"/>
        <w:jc w:val="both"/>
        <w:rPr>
          <w:bCs/>
        </w:rPr>
      </w:pPr>
      <w:r w:rsidRPr="00DA506B">
        <w:rPr>
          <w:b/>
        </w:rPr>
        <w:t>UNICEF</w:t>
      </w:r>
      <w:r w:rsidRPr="00DA506B">
        <w:rPr>
          <w:bCs/>
        </w:rPr>
        <w:t>:</w:t>
      </w:r>
      <w:r w:rsidR="00D11F50" w:rsidRPr="00DA506B">
        <w:rPr>
          <w:bCs/>
        </w:rPr>
        <w:t xml:space="preserve"> </w:t>
      </w:r>
      <w:r w:rsidR="00774ECE" w:rsidRPr="00DA506B">
        <w:rPr>
          <w:bCs/>
        </w:rPr>
        <w:t xml:space="preserve">Community mobilisation and information dissemination sessions were conducted with a gender lens. Out of 42 social workers mobilised to support peer to peer youth groups, 18 were </w:t>
      </w:r>
      <w:r w:rsidR="004428EA" w:rsidRPr="00DA506B">
        <w:rPr>
          <w:bCs/>
        </w:rPr>
        <w:t>female</w:t>
      </w:r>
      <w:r w:rsidR="00774ECE" w:rsidRPr="00DA506B">
        <w:rPr>
          <w:bCs/>
        </w:rPr>
        <w:t xml:space="preserve"> and 24 </w:t>
      </w:r>
      <w:proofErr w:type="gramStart"/>
      <w:r w:rsidR="004428EA" w:rsidRPr="00DA506B">
        <w:rPr>
          <w:bCs/>
        </w:rPr>
        <w:t>male</w:t>
      </w:r>
      <w:proofErr w:type="gramEnd"/>
      <w:r w:rsidR="00774ECE" w:rsidRPr="00DA506B">
        <w:rPr>
          <w:bCs/>
        </w:rPr>
        <w:t xml:space="preserve">. </w:t>
      </w:r>
      <w:r w:rsidR="007C79C9">
        <w:rPr>
          <w:bCs/>
        </w:rPr>
        <w:t>At</w:t>
      </w:r>
      <w:r w:rsidR="00774ECE" w:rsidRPr="00DA506B">
        <w:rPr>
          <w:bCs/>
        </w:rPr>
        <w:t xml:space="preserve"> least 52</w:t>
      </w:r>
      <w:r w:rsidR="007D30FD" w:rsidRPr="00DA506B">
        <w:rPr>
          <w:bCs/>
        </w:rPr>
        <w:t xml:space="preserve">% </w:t>
      </w:r>
      <w:r w:rsidR="00774ECE" w:rsidRPr="00DA506B">
        <w:rPr>
          <w:bCs/>
        </w:rPr>
        <w:t>of people receiving radio broadcasts are female.</w:t>
      </w:r>
    </w:p>
    <w:p w14:paraId="5D0019A2" w14:textId="77777777" w:rsidR="00774ECE" w:rsidRDefault="00774ECE" w:rsidP="00570DF9">
      <w:pPr>
        <w:ind w:left="-720"/>
        <w:rPr>
          <w:bCs/>
        </w:rPr>
      </w:pPr>
    </w:p>
    <w:p w14:paraId="6556A7A4" w14:textId="77777777" w:rsidR="00323ABC" w:rsidRPr="00627A1C" w:rsidRDefault="00323ABC" w:rsidP="007E4FA1">
      <w:pPr>
        <w:rPr>
          <w:b/>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5730A">
        <w:rPr>
          <w:b/>
        </w:rPr>
      </w:r>
      <w:r w:rsidR="0095730A">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5730A">
        <w:rPr>
          <w:b/>
        </w:rPr>
      </w:r>
      <w:r w:rsidR="0095730A">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95730A">
        <w:rPr>
          <w:b/>
        </w:rPr>
      </w:r>
      <w:r w:rsidR="0095730A">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0173A3AC" w14:textId="343DB9CA" w:rsidR="00B83670" w:rsidRDefault="00945668" w:rsidP="00234A5E">
            <w:r>
              <w:t>The M&amp;E framework</w:t>
            </w:r>
            <w:r w:rsidR="00C43702">
              <w:t xml:space="preserve"> </w:t>
            </w:r>
            <w:r>
              <w:t xml:space="preserve">was finalized </w:t>
            </w:r>
            <w:r w:rsidR="00703A05">
              <w:t xml:space="preserve">by WHO-contracted consultants and includes inputs from all project partners. </w:t>
            </w:r>
            <w:r w:rsidR="00803EB7">
              <w:t xml:space="preserve">The framework is based on </w:t>
            </w:r>
            <w:r w:rsidR="005156B1">
              <w:t>the project’s result framework</w:t>
            </w:r>
            <w:r w:rsidR="00B83670">
              <w:t>, albeit in a refined manner.</w:t>
            </w:r>
          </w:p>
          <w:p w14:paraId="68DC370D" w14:textId="68873641" w:rsidR="007118F5" w:rsidRPr="00627A1C" w:rsidRDefault="00AF40A1" w:rsidP="00AF40A1">
            <w:r>
              <w:t xml:space="preserve">Regular steering committee meetings were held between project partners to monitor progress and update each other on plans for future implementation. </w:t>
            </w:r>
          </w:p>
        </w:tc>
        <w:tc>
          <w:tcPr>
            <w:tcW w:w="5940" w:type="dxa"/>
            <w:shd w:val="clear" w:color="auto" w:fill="auto"/>
          </w:tcPr>
          <w:p w14:paraId="348C43C1" w14:textId="77777777" w:rsidR="00906A46" w:rsidRDefault="007118F5" w:rsidP="00AD73D3">
            <w:r w:rsidRPr="00627A1C">
              <w:t xml:space="preserve">Do outcome indicators have baselines? </w:t>
            </w:r>
          </w:p>
          <w:p w14:paraId="59E480BD" w14:textId="77777777" w:rsidR="008376C3" w:rsidRDefault="008376C3" w:rsidP="008376C3">
            <w:r>
              <w:t xml:space="preserve">Yes. Moreover, these baselines are meant to be reviewed more in-depth by the M&amp;E and research teams, which will help ensure they are relevant and sound enough for subsequent data analysis with respect to monitoring of results as well as the research study. </w:t>
            </w:r>
          </w:p>
          <w:p w14:paraId="2E2BADB3" w14:textId="77777777" w:rsidR="008376C3" w:rsidRDefault="008376C3" w:rsidP="008376C3"/>
          <w:p w14:paraId="5CB37A1A" w14:textId="77777777" w:rsidR="008376C3" w:rsidRDefault="008376C3" w:rsidP="008376C3">
            <w:r>
              <w:t>There were no baselines for outcome indicator 1.2 as this is a pilot project. The target indicators that will be achieved at the end of the project will also serve as a baseline for future related projects.</w:t>
            </w:r>
          </w:p>
          <w:p w14:paraId="6C601B9F" w14:textId="77777777" w:rsidR="008376C3" w:rsidRDefault="008376C3" w:rsidP="008376C3"/>
          <w:p w14:paraId="3E109D58" w14:textId="009BD87C" w:rsidR="008376C3" w:rsidRDefault="008376C3" w:rsidP="008376C3">
            <w:r w:rsidRPr="004A5588">
              <w:t xml:space="preserve">The baseline finding reports is still </w:t>
            </w:r>
            <w:r>
              <w:t xml:space="preserve">being consolidated and is </w:t>
            </w:r>
            <w:r w:rsidRPr="004A5588">
              <w:t>in its final drafting stages. IOM will also combine the results of the capacity building assessments which have started late</w:t>
            </w:r>
            <w:r w:rsidR="00E44163">
              <w:t>, due to administrative issues</w:t>
            </w:r>
            <w:r w:rsidRPr="004A5588">
              <w:t>. There were delays for the roll-out of the health facilities</w:t>
            </w:r>
            <w:r w:rsidR="00E44163">
              <w:t>’</w:t>
            </w:r>
            <w:r w:rsidRPr="004A5588">
              <w:t xml:space="preserve"> assessment, including due to the rotation schedule of the field staff.</w:t>
            </w:r>
          </w:p>
          <w:p w14:paraId="5AF98155" w14:textId="5F834F27" w:rsidR="005D3396" w:rsidRPr="008E5661" w:rsidRDefault="005D3396" w:rsidP="005D3396">
            <w:pPr>
              <w:jc w:val="both"/>
            </w:pPr>
            <w:r w:rsidRPr="008E5661">
              <w:t>Although the KAP survey activity was not budgeted for, UNICEF accepted to lead the activity</w:t>
            </w:r>
            <w:r w:rsidR="007A2221" w:rsidRPr="008E5661">
              <w:t>,</w:t>
            </w:r>
            <w:r w:rsidRPr="008E5661">
              <w:t xml:space="preserve"> using community workers. Delays in the KAP survey were mostly due to the long negotiations with universities and community workers on its modality and foreseeable limitations associated with the COVID-19 prevention and response measures. However, UNICEF hopes to complete this by the end of July 2021.</w:t>
            </w:r>
          </w:p>
          <w:p w14:paraId="15B120F3" w14:textId="77777777" w:rsidR="007118F5" w:rsidRPr="008E5661" w:rsidRDefault="007118F5" w:rsidP="00AD73D3"/>
          <w:p w14:paraId="60C7E13E" w14:textId="77777777" w:rsidR="007118F5" w:rsidRDefault="007118F5" w:rsidP="00AD73D3">
            <w:r w:rsidRPr="00627A1C">
              <w:t xml:space="preserve">Has the project launched perception surveys or other community-based data collection? </w:t>
            </w:r>
          </w:p>
          <w:p w14:paraId="28FD7949" w14:textId="77777777" w:rsidR="00701CA1" w:rsidRDefault="00701CA1" w:rsidP="00AD73D3"/>
          <w:p w14:paraId="005A9A2E" w14:textId="77777777" w:rsidR="00580FFE" w:rsidRDefault="00AE67CC" w:rsidP="00AD73D3">
            <w:r>
              <w:t xml:space="preserve">Yes. </w:t>
            </w:r>
            <w:r w:rsidRPr="00594534">
              <w:t>A series of focus group discussions and key informant interviews were</w:t>
            </w:r>
            <w:r>
              <w:t xml:space="preserve"> undertaken </w:t>
            </w:r>
            <w:r w:rsidRPr="00594534">
              <w:t>to collect qualitative information on: 1) assessing people’s psychosocial well-being in a family and community setting in a participatory way</w:t>
            </w:r>
            <w:r>
              <w:t>;</w:t>
            </w:r>
            <w:r w:rsidRPr="00594534">
              <w:t xml:space="preserve"> 2) mapping the provision of pre-existing and emergency tailored services and capacities to respond to the needs of the affected population; 3) identifying </w:t>
            </w:r>
            <w:r>
              <w:t xml:space="preserve">the </w:t>
            </w:r>
            <w:r w:rsidRPr="00594534">
              <w:t>most urgent areas of intervention</w:t>
            </w:r>
            <w:r>
              <w:t>;</w:t>
            </w:r>
            <w:r w:rsidRPr="00594534">
              <w:t xml:space="preserve"> and 4) planning interventions aimed at addressing needs that are not covered by existing services, in thematic areas where the intervention is most needed.</w:t>
            </w:r>
            <w:r>
              <w:t xml:space="preserve"> </w:t>
            </w:r>
          </w:p>
          <w:p w14:paraId="4749D761" w14:textId="042C5D8B" w:rsidR="000F637B" w:rsidRPr="00627A1C" w:rsidRDefault="00AE67CC" w:rsidP="00AD73D3">
            <w:r>
              <w:t xml:space="preserve">The collected information </w:t>
            </w:r>
            <w:r w:rsidR="00580FFE">
              <w:t xml:space="preserve">as part of the KAP survey </w:t>
            </w:r>
            <w:r>
              <w:t xml:space="preserve">was however incomplete and could not be used. UNICEF therefore opted for a </w:t>
            </w:r>
            <w:r w:rsidRPr="00287611">
              <w:t xml:space="preserve">Human Centric Research in collaboration with a New York-based research organization, </w:t>
            </w:r>
            <w:proofErr w:type="spellStart"/>
            <w:r w:rsidRPr="00287611">
              <w:t>Necleus</w:t>
            </w:r>
            <w:proofErr w:type="spellEnd"/>
            <w:r w:rsidRPr="00287611">
              <w:t xml:space="preserve">. Data collectors have been provided with a four-day training (end of May) with hands-on demonstration the qualitative data collection. Data collection is scheduled to take place in </w:t>
            </w:r>
            <w:proofErr w:type="spellStart"/>
            <w:r w:rsidRPr="00287611">
              <w:t>Dollow</w:t>
            </w:r>
            <w:proofErr w:type="spellEnd"/>
            <w:r w:rsidRPr="00287611">
              <w:t>, Baidoa and Kismayo by the end of June 2021. Currently, this research is awaiting clearance from the Federal Ministry of Health</w:t>
            </w:r>
          </w:p>
        </w:tc>
      </w:tr>
      <w:tr w:rsidR="006C1819" w:rsidRPr="00627A1C" w14:paraId="27203492" w14:textId="77777777" w:rsidTr="007F7257">
        <w:tc>
          <w:tcPr>
            <w:tcW w:w="4230" w:type="dxa"/>
            <w:shd w:val="clear" w:color="auto" w:fill="auto"/>
          </w:tcPr>
          <w:p w14:paraId="69E27D03" w14:textId="5D557431" w:rsidR="006C1819"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25774A9" w14:textId="77777777" w:rsidR="00D07362" w:rsidRPr="00627A1C" w:rsidRDefault="00D07362" w:rsidP="005F439F"/>
          <w:p w14:paraId="3988F1FF" w14:textId="072B469A" w:rsidR="00D319A9" w:rsidRPr="00287611" w:rsidRDefault="00D07362" w:rsidP="00D07362">
            <w:r>
              <w:t>No. An e</w:t>
            </w:r>
            <w:r w:rsidRPr="0070451B">
              <w:t xml:space="preserve">valuation has not yet been carried out but will be at the end of the </w:t>
            </w:r>
            <w:r w:rsidRPr="00287611">
              <w:t>project.</w:t>
            </w:r>
            <w:r w:rsidR="005951F0" w:rsidRPr="00287611">
              <w:t xml:space="preserve"> </w:t>
            </w:r>
          </w:p>
          <w:p w14:paraId="22C97CF4" w14:textId="66310174" w:rsidR="00C14B28" w:rsidRPr="00287611" w:rsidRDefault="00C14B28" w:rsidP="00C14B28">
            <w:r w:rsidRPr="00287611">
              <w:t>However, baseline information has been collected from the intervention site</w:t>
            </w:r>
            <w:r w:rsidR="00E169B8" w:rsidRPr="00287611">
              <w:t xml:space="preserve">. </w:t>
            </w:r>
            <w:r w:rsidRPr="00287611">
              <w:t xml:space="preserve"> </w:t>
            </w:r>
          </w:p>
          <w:p w14:paraId="26CB5BF5" w14:textId="60A616C7" w:rsidR="00C14B28" w:rsidRPr="00287611" w:rsidRDefault="00C14B28" w:rsidP="00C14B28">
            <w:r w:rsidRPr="00287611">
              <w:t>UNICEF and its implementing partners have conducted focus group discussions with youth groups</w:t>
            </w:r>
            <w:r w:rsidR="00E169B8" w:rsidRPr="00287611">
              <w:t xml:space="preserve">, the analysis of which could not be completed </w:t>
            </w:r>
            <w:r w:rsidRPr="00287611">
              <w:t xml:space="preserve">due to missing data sets. </w:t>
            </w:r>
            <w:r w:rsidR="00E169B8" w:rsidRPr="00287611">
              <w:t>Instead, n</w:t>
            </w:r>
            <w:r w:rsidRPr="00287611">
              <w:t xml:space="preserve">ew data </w:t>
            </w:r>
            <w:r w:rsidR="00D22824" w:rsidRPr="00287611">
              <w:t>is being collected</w:t>
            </w:r>
            <w:r w:rsidRPr="00287611">
              <w:t xml:space="preserve"> and a final report will be shared by the end of July 2021</w:t>
            </w:r>
            <w:r w:rsidR="00D22824" w:rsidRPr="00287611">
              <w:t>.</w:t>
            </w:r>
          </w:p>
          <w:p w14:paraId="30E2DDCB" w14:textId="0BAB6D16" w:rsidR="00D07362" w:rsidRPr="00627A1C" w:rsidRDefault="00D07362" w:rsidP="00D07362"/>
        </w:tc>
        <w:tc>
          <w:tcPr>
            <w:tcW w:w="5940" w:type="dxa"/>
            <w:shd w:val="clear" w:color="auto" w:fill="auto"/>
          </w:tcPr>
          <w:p w14:paraId="0A637856" w14:textId="139A12DD" w:rsidR="006C1819" w:rsidRPr="00627A1C" w:rsidRDefault="004D141E" w:rsidP="00E76CA1">
            <w:r w:rsidRPr="00627A1C">
              <w:t>Evaluation budget</w:t>
            </w:r>
            <w:r w:rsidR="007118F5" w:rsidRPr="00627A1C">
              <w:t xml:space="preserve"> (response required)</w:t>
            </w:r>
            <w:r w:rsidRPr="00627A1C">
              <w:t xml:space="preserve">:  </w:t>
            </w:r>
            <w:r w:rsidR="006448CE">
              <w:t>USD $30,000</w:t>
            </w:r>
          </w:p>
          <w:p w14:paraId="250C2893" w14:textId="77777777" w:rsidR="004D141E" w:rsidRPr="00627A1C" w:rsidRDefault="004D141E" w:rsidP="00E76CA1"/>
          <w:p w14:paraId="63F6D87F" w14:textId="77777777" w:rsidR="00461082"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16B917DC" w14:textId="77777777" w:rsidR="00461082" w:rsidRDefault="00461082" w:rsidP="00E76CA1"/>
          <w:p w14:paraId="7A2E31B3" w14:textId="709F78B4" w:rsidR="00B463C6" w:rsidRDefault="006448CE" w:rsidP="00E76CA1">
            <w:r>
              <w:t xml:space="preserve">WHO plans to </w:t>
            </w:r>
            <w:r w:rsidR="00C11A7F">
              <w:t>launch the tendering process for the recruitment of the evaluation team</w:t>
            </w:r>
            <w:r w:rsidR="00461082">
              <w:t xml:space="preserve"> in coming </w:t>
            </w:r>
            <w:proofErr w:type="gramStart"/>
            <w:r w:rsidR="00461082">
              <w:t>weeks</w:t>
            </w:r>
            <w:r w:rsidR="00C11A7F">
              <w:t>.</w:t>
            </w:r>
            <w:proofErr w:type="gramEnd"/>
            <w:r w:rsidR="00C11A7F">
              <w:t xml:space="preserve"> TORs are currently being drafted, which will </w:t>
            </w:r>
            <w:r w:rsidR="00FA633B">
              <w:t xml:space="preserve">be shared with project partners for their inputs and endorsed by the WHO regional office. The recruitment process is expected to take </w:t>
            </w:r>
            <w:r w:rsidR="00F9092C">
              <w:t>approximatively four weeks</w:t>
            </w:r>
            <w:r w:rsidR="00FA633B">
              <w:t xml:space="preserve"> and the </w:t>
            </w:r>
            <w:r w:rsidR="00FE2323">
              <w:t xml:space="preserve">selected </w:t>
            </w:r>
            <w:r w:rsidR="00EF6647">
              <w:t xml:space="preserve">firm should be operational by </w:t>
            </w:r>
            <w:r w:rsidR="00F9092C">
              <w:t>the end of the project</w:t>
            </w:r>
            <w:r w:rsidR="00EF6647">
              <w:t xml:space="preserve">. </w:t>
            </w:r>
          </w:p>
          <w:p w14:paraId="0B9D2850" w14:textId="53B2811E" w:rsidR="00C7023B" w:rsidRPr="00627A1C" w:rsidRDefault="00C7023B"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48"/>
                  <w:enabled/>
                  <w:calcOnExit w:val="0"/>
                  <w:textInput>
                    <w:type w:val="number"/>
                    <w:format w:val="0.00"/>
                  </w:textInput>
                </w:ffData>
              </w:fldChar>
            </w:r>
            <w:bookmarkStart w:id="1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50"/>
                  <w:enabled/>
                  <w:calcOnExit w:val="0"/>
                  <w:textInput>
                    <w:type w:val="number"/>
                    <w:format w:val="0.00"/>
                  </w:textInput>
                </w:ffData>
              </w:fldChar>
            </w:r>
            <w:bookmarkStart w:id="1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4FFADAB6" w14:textId="7A1E1747" w:rsidR="002822B1" w:rsidRDefault="002822B1" w:rsidP="002822B1">
            <w:r>
              <w:lastRenderedPageBreak/>
              <w:t>Despite the COVID-19 pandemic, project implementation has advanced</w:t>
            </w:r>
            <w:r w:rsidR="00194DC8">
              <w:t xml:space="preserve">, including thanks to the </w:t>
            </w:r>
            <w:r>
              <w:t>six-month no-cost extension</w:t>
            </w:r>
            <w:r w:rsidR="00252DB2">
              <w:t xml:space="preserve"> granted by PBF</w:t>
            </w:r>
            <w:r>
              <w:t xml:space="preserve">. In addition, </w:t>
            </w:r>
            <w:r w:rsidR="00C7398E">
              <w:t>two</w:t>
            </w:r>
            <w:r>
              <w:t xml:space="preserve"> </w:t>
            </w:r>
            <w:r>
              <w:rPr>
                <w:lang w:val="en-US"/>
              </w:rPr>
              <w:t xml:space="preserve">other issues </w:t>
            </w:r>
            <w:r>
              <w:t xml:space="preserve">slightly impeded implementation during this reporting period. </w:t>
            </w:r>
          </w:p>
          <w:p w14:paraId="65A5692F" w14:textId="3CD33815" w:rsidR="002822B1" w:rsidRDefault="002822B1" w:rsidP="002822B1">
            <w:r>
              <w:lastRenderedPageBreak/>
              <w:t xml:space="preserve">The first concerns </w:t>
            </w:r>
            <w:r w:rsidR="00931449">
              <w:t>the recruitment process for the</w:t>
            </w:r>
            <w:r>
              <w:t xml:space="preserve"> research proposal. WHO </w:t>
            </w:r>
            <w:r w:rsidR="00931449">
              <w:t xml:space="preserve">underwent this process however this has been slow due to administrative </w:t>
            </w:r>
            <w:proofErr w:type="gramStart"/>
            <w:r w:rsidR="00931449">
              <w:t>hurdles.</w:t>
            </w:r>
            <w:proofErr w:type="gramEnd"/>
            <w:r w:rsidR="00931449">
              <w:t xml:space="preserve"> These have been however overcome and WHO expects the research firm to be on board within the upcoming weeks. </w:t>
            </w:r>
          </w:p>
          <w:p w14:paraId="5EAC0C6C" w14:textId="5C5AE170" w:rsidR="002C187A" w:rsidRPr="00C7398E" w:rsidRDefault="002822B1" w:rsidP="001F2354">
            <w:pPr>
              <w:rPr>
                <w:sz w:val="28"/>
                <w:szCs w:val="28"/>
              </w:rPr>
            </w:pPr>
            <w:r>
              <w:t>Second</w:t>
            </w:r>
            <w:r w:rsidR="00364FBF">
              <w:t xml:space="preserve"> and as already </w:t>
            </w:r>
            <w:r w:rsidR="00364FBF" w:rsidRPr="00C7398E">
              <w:t xml:space="preserve">mentioned for UNICEF, </w:t>
            </w:r>
            <w:r w:rsidR="00364FBF" w:rsidRPr="00C7398E">
              <w:rPr>
                <w:sz w:val="28"/>
                <w:szCs w:val="28"/>
              </w:rPr>
              <w:t>t</w:t>
            </w:r>
            <w:r w:rsidR="00364FBF" w:rsidRPr="00C7398E">
              <w:t xml:space="preserve">he KAP survey was delayed partly due to COVID-19 restrictions and delays in reaching an agreement with partners (universities and community mobilizers) on the modality of conducting the survey. However, UNICEF has now agreed with </w:t>
            </w:r>
            <w:r w:rsidR="00470417">
              <w:t>Communication for Development (</w:t>
            </w:r>
            <w:r w:rsidR="00364FBF" w:rsidRPr="00C7398E">
              <w:t>C4D</w:t>
            </w:r>
            <w:r w:rsidR="00470417">
              <w:t>)</w:t>
            </w:r>
            <w:r w:rsidR="00364FBF" w:rsidRPr="00C7398E">
              <w:t xml:space="preserve"> community workers attached to three universities to conduct the survey</w:t>
            </w:r>
          </w:p>
          <w:p w14:paraId="13B23524" w14:textId="77777777" w:rsidR="00D73B54" w:rsidRDefault="00D73B54" w:rsidP="00E76CA1"/>
          <w:p w14:paraId="780475A2" w14:textId="20841D74" w:rsidR="00D73B54" w:rsidRPr="00627A1C" w:rsidRDefault="00D73B54" w:rsidP="00E76CA1">
            <w:r>
              <w:t>In comparison with the previous reporting period, it is however notable that the relationship with the MOH has considerably improved</w:t>
            </w:r>
            <w:r w:rsidR="00C7398E">
              <w:t xml:space="preserve"> and now includes re</w:t>
            </w:r>
            <w:r>
              <w:t xml:space="preserve">gular and open telephone calls, as well as written communications. The MOH is now effectively ensuring ownership and leadership for this project.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578C4C32" w14:textId="77777777" w:rsidR="004D3555" w:rsidRDefault="004D3555" w:rsidP="004D3555">
      <w:r>
        <w:t xml:space="preserve">As a consequence of the pandemic, a specific section was </w:t>
      </w:r>
      <w:r w:rsidRPr="00D008BF">
        <w:t>include</w:t>
      </w:r>
      <w:r>
        <w:t>d</w:t>
      </w:r>
      <w:r w:rsidRPr="00D008BF">
        <w:t xml:space="preserve"> in the </w:t>
      </w:r>
      <w:r>
        <w:t xml:space="preserve">MH training </w:t>
      </w:r>
      <w:r w:rsidRPr="00D008BF">
        <w:t xml:space="preserve">curriculum related to </w:t>
      </w:r>
      <w:r>
        <w:t xml:space="preserve">emergency situations such as floods and public health emergencies in the case of </w:t>
      </w:r>
      <w:r w:rsidRPr="00D008BF">
        <w:t>COVID</w:t>
      </w:r>
      <w:r>
        <w:t>-19,</w:t>
      </w:r>
      <w:r w:rsidRPr="00D008BF">
        <w:t xml:space="preserve"> with key messages on </w:t>
      </w:r>
      <w:r>
        <w:t>stress reduction and addressing psychosocial distress associated with extreme stressors.</w:t>
      </w:r>
    </w:p>
    <w:p w14:paraId="4914AF3B" w14:textId="77777777" w:rsidR="004D3555" w:rsidRDefault="004D3555" w:rsidP="004D3555"/>
    <w:p w14:paraId="3C540576" w14:textId="107CD4E9" w:rsidR="004D3555" w:rsidRDefault="004D3555" w:rsidP="004D3555">
      <w:r>
        <w:t xml:space="preserve">As partners’ resources and time were diverted in March 2020 to focus on fighting the pandemic in Somalia, project implementation faced significant delays during the first reporting period. </w:t>
      </w:r>
      <w:r w:rsidR="00855C36">
        <w:t>P</w:t>
      </w:r>
      <w:r>
        <w:t>roject implementation is now</w:t>
      </w:r>
      <w:r w:rsidR="00855C36">
        <w:t xml:space="preserve"> however</w:t>
      </w:r>
      <w:r>
        <w:t xml:space="preserve"> </w:t>
      </w:r>
      <w:r w:rsidR="00855C36">
        <w:t>back</w:t>
      </w:r>
      <w:r>
        <w:t xml:space="preserve"> on track, with activities unfolding as planned</w:t>
      </w:r>
      <w:r w:rsidR="00855C36">
        <w:t xml:space="preserve"> as per the adjusted </w:t>
      </w:r>
      <w:r>
        <w:t xml:space="preserve">workplan and calendar reflected in the six-month no-cost extension. </w:t>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95730A"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95730A"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95730A"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95730A"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95730A"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39E87DCA" w:rsidR="00257569" w:rsidRPr="00C7398E" w:rsidRDefault="0095730A" w:rsidP="001B54AC">
      <w:sdt>
        <w:sdtPr>
          <w:id w:val="810906333"/>
          <w14:checkbox>
            <w14:checked w14:val="1"/>
            <w14:checkedState w14:val="2612" w14:font="MS Gothic"/>
            <w14:uncheckedState w14:val="2610" w14:font="MS Gothic"/>
          </w14:checkbox>
        </w:sdtPr>
        <w:sdtEndPr/>
        <w:sdtContent>
          <w:r w:rsidR="00855C36">
            <w:rPr>
              <w:rFonts w:ascii="MS Gothic" w:eastAsia="MS Gothic" w:hAnsi="MS Gothic" w:hint="eastAsia"/>
            </w:rPr>
            <w:t>☒</w:t>
          </w:r>
        </w:sdtContent>
      </w:sdt>
      <w:r w:rsidR="00257569" w:rsidRPr="00AF7BE4">
        <w:t xml:space="preserve"> </w:t>
      </w:r>
      <w:r w:rsidR="00257569">
        <w:t xml:space="preserve">Other (please describe): </w:t>
      </w:r>
      <w:r w:rsidR="000E29E1" w:rsidRPr="003F4B30">
        <w:t xml:space="preserve">Adjustments were made </w:t>
      </w:r>
      <w:r w:rsidR="000E29E1">
        <w:t>based</w:t>
      </w:r>
      <w:r w:rsidR="000E29E1" w:rsidRPr="003F4B30">
        <w:t xml:space="preserve"> on the </w:t>
      </w:r>
      <w:r w:rsidR="000E29E1">
        <w:t xml:space="preserve">impact of </w:t>
      </w:r>
      <w:r w:rsidR="000E29E1" w:rsidRPr="003F4B30">
        <w:t>COVID</w:t>
      </w:r>
      <w:r w:rsidR="000E29E1">
        <w:t xml:space="preserve">-19 </w:t>
      </w:r>
      <w:r w:rsidR="000E29E1" w:rsidRPr="003F4B30">
        <w:t>on</w:t>
      </w:r>
      <w:r w:rsidR="000E29E1">
        <w:t xml:space="preserve"> project</w:t>
      </w:r>
      <w:r w:rsidR="000E29E1" w:rsidRPr="003F4B30">
        <w:t xml:space="preserve"> implementation</w:t>
      </w:r>
      <w:r w:rsidR="000E29E1">
        <w:t xml:space="preserve">. For instance, </w:t>
      </w:r>
      <w:r w:rsidR="000E29E1" w:rsidRPr="00C7398E">
        <w:t>instead of focus group discussions, distance discussions were held as a precautionary measure.</w:t>
      </w:r>
      <w:r w:rsidR="004013A9" w:rsidRPr="00C7398E">
        <w:t xml:space="preserve"> For all project activities,</w:t>
      </w:r>
      <w:r w:rsidR="00BC09D3" w:rsidRPr="00C7398E">
        <w:t xml:space="preserve"> </w:t>
      </w:r>
      <w:r w:rsidR="004013A9" w:rsidRPr="00C7398E">
        <w:t>p</w:t>
      </w:r>
      <w:r w:rsidR="00BC09D3" w:rsidRPr="00C7398E">
        <w:t>articipants observed social distancing, hand washing and wearing of masks.</w:t>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ABA21A7" w:rsidR="004E3B3E"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984"/>
        <w:gridCol w:w="1418"/>
        <w:gridCol w:w="1559"/>
        <w:gridCol w:w="1276"/>
        <w:gridCol w:w="1276"/>
        <w:gridCol w:w="5465"/>
      </w:tblGrid>
      <w:tr w:rsidR="002536A1" w:rsidRPr="00627A1C" w14:paraId="6B440628" w14:textId="77777777" w:rsidTr="007D5E0B">
        <w:trPr>
          <w:tblHeader/>
        </w:trPr>
        <w:tc>
          <w:tcPr>
            <w:tcW w:w="2142" w:type="dxa"/>
          </w:tcPr>
          <w:p w14:paraId="2D306714" w14:textId="77777777" w:rsidR="002536A1" w:rsidRPr="00627A1C" w:rsidRDefault="002536A1" w:rsidP="007D5E0B">
            <w:pPr>
              <w:jc w:val="center"/>
              <w:rPr>
                <w:b/>
                <w:lang w:val="en-US" w:eastAsia="en-US"/>
              </w:rPr>
            </w:pPr>
          </w:p>
        </w:tc>
        <w:tc>
          <w:tcPr>
            <w:tcW w:w="1984" w:type="dxa"/>
            <w:shd w:val="clear" w:color="auto" w:fill="EEECE1"/>
          </w:tcPr>
          <w:p w14:paraId="34EF40A9" w14:textId="77777777" w:rsidR="002536A1" w:rsidRPr="00627A1C" w:rsidRDefault="002536A1" w:rsidP="007D5E0B">
            <w:pPr>
              <w:jc w:val="center"/>
              <w:rPr>
                <w:b/>
                <w:lang w:val="en-US" w:eastAsia="en-US"/>
              </w:rPr>
            </w:pPr>
            <w:r w:rsidRPr="00627A1C">
              <w:rPr>
                <w:b/>
                <w:lang w:val="en-US" w:eastAsia="en-US"/>
              </w:rPr>
              <w:t>Performance Indicators</w:t>
            </w:r>
          </w:p>
        </w:tc>
        <w:tc>
          <w:tcPr>
            <w:tcW w:w="1418" w:type="dxa"/>
            <w:shd w:val="clear" w:color="auto" w:fill="EEECE1"/>
          </w:tcPr>
          <w:p w14:paraId="5990576E" w14:textId="77777777" w:rsidR="002536A1" w:rsidRPr="00627A1C" w:rsidRDefault="002536A1" w:rsidP="007D5E0B">
            <w:pPr>
              <w:jc w:val="center"/>
              <w:rPr>
                <w:b/>
                <w:lang w:val="en-US" w:eastAsia="en-US"/>
              </w:rPr>
            </w:pPr>
            <w:r w:rsidRPr="00627A1C">
              <w:rPr>
                <w:b/>
                <w:lang w:val="en-US" w:eastAsia="en-US"/>
              </w:rPr>
              <w:t>Indicator Baseline</w:t>
            </w:r>
          </w:p>
        </w:tc>
        <w:tc>
          <w:tcPr>
            <w:tcW w:w="1559" w:type="dxa"/>
            <w:shd w:val="clear" w:color="auto" w:fill="EEECE1"/>
          </w:tcPr>
          <w:p w14:paraId="1176EE1B" w14:textId="77777777" w:rsidR="002536A1" w:rsidRPr="00627A1C" w:rsidRDefault="002536A1" w:rsidP="007D5E0B">
            <w:pPr>
              <w:jc w:val="center"/>
              <w:rPr>
                <w:b/>
                <w:lang w:val="en-US" w:eastAsia="en-US"/>
              </w:rPr>
            </w:pPr>
            <w:r w:rsidRPr="00627A1C">
              <w:rPr>
                <w:b/>
                <w:lang w:val="en-US" w:eastAsia="en-US"/>
              </w:rPr>
              <w:t>End of project Indicator Target</w:t>
            </w:r>
          </w:p>
        </w:tc>
        <w:tc>
          <w:tcPr>
            <w:tcW w:w="1276" w:type="dxa"/>
          </w:tcPr>
          <w:p w14:paraId="1A993ECE" w14:textId="77777777" w:rsidR="002536A1" w:rsidRPr="00627A1C" w:rsidRDefault="002536A1" w:rsidP="007D5E0B">
            <w:pPr>
              <w:jc w:val="center"/>
              <w:rPr>
                <w:b/>
                <w:lang w:val="en-US" w:eastAsia="en-US"/>
              </w:rPr>
            </w:pPr>
            <w:r w:rsidRPr="00627A1C">
              <w:rPr>
                <w:b/>
                <w:lang w:val="en-US" w:eastAsia="en-US"/>
              </w:rPr>
              <w:t>Indicator Milestone</w:t>
            </w:r>
          </w:p>
        </w:tc>
        <w:tc>
          <w:tcPr>
            <w:tcW w:w="1276" w:type="dxa"/>
          </w:tcPr>
          <w:p w14:paraId="040B12C5" w14:textId="77777777" w:rsidR="002536A1" w:rsidRPr="00627A1C" w:rsidRDefault="002536A1" w:rsidP="007D5E0B">
            <w:pPr>
              <w:jc w:val="center"/>
              <w:rPr>
                <w:b/>
                <w:lang w:val="en-US" w:eastAsia="en-US"/>
              </w:rPr>
            </w:pPr>
            <w:r w:rsidRPr="00627A1C">
              <w:rPr>
                <w:b/>
                <w:lang w:val="en-US" w:eastAsia="en-US"/>
              </w:rPr>
              <w:t>Current indicator progress</w:t>
            </w:r>
          </w:p>
        </w:tc>
        <w:tc>
          <w:tcPr>
            <w:tcW w:w="5465" w:type="dxa"/>
          </w:tcPr>
          <w:p w14:paraId="37DBD04E" w14:textId="77777777" w:rsidR="002536A1" w:rsidRPr="00627A1C" w:rsidRDefault="002536A1" w:rsidP="007D5E0B">
            <w:pPr>
              <w:jc w:val="center"/>
              <w:rPr>
                <w:b/>
                <w:lang w:val="en-US" w:eastAsia="en-US"/>
              </w:rPr>
            </w:pPr>
            <w:r w:rsidRPr="00627A1C">
              <w:rPr>
                <w:b/>
                <w:lang w:val="en-US" w:eastAsia="en-US"/>
              </w:rPr>
              <w:t>Reasons for Variance/ Delay</w:t>
            </w:r>
          </w:p>
          <w:p w14:paraId="06D317C8" w14:textId="77777777" w:rsidR="002536A1" w:rsidRPr="00627A1C" w:rsidRDefault="002536A1" w:rsidP="007D5E0B">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2536A1" w:rsidRPr="00627A1C" w14:paraId="4491D430" w14:textId="77777777" w:rsidTr="007D5E0B">
        <w:trPr>
          <w:trHeight w:val="548"/>
        </w:trPr>
        <w:tc>
          <w:tcPr>
            <w:tcW w:w="2142" w:type="dxa"/>
            <w:vMerge w:val="restart"/>
          </w:tcPr>
          <w:p w14:paraId="2BAD16B5" w14:textId="77777777" w:rsidR="002536A1" w:rsidRPr="00627A1C" w:rsidRDefault="002536A1" w:rsidP="007D5E0B">
            <w:pPr>
              <w:rPr>
                <w:b/>
                <w:lang w:val="en-US" w:eastAsia="en-US"/>
              </w:rPr>
            </w:pPr>
            <w:r w:rsidRPr="00627A1C">
              <w:rPr>
                <w:b/>
                <w:lang w:val="en-US" w:eastAsia="en-US"/>
              </w:rPr>
              <w:t>Outcome 1</w:t>
            </w:r>
          </w:p>
          <w:p w14:paraId="2A4CE011" w14:textId="77777777" w:rsidR="002536A1" w:rsidRDefault="002536A1" w:rsidP="007D5E0B">
            <w:pPr>
              <w:rPr>
                <w:lang w:val="en-US" w:eastAsia="en-US"/>
              </w:rPr>
            </w:pPr>
            <w:r>
              <w:rPr>
                <w:lang w:val="en-US" w:eastAsia="en-US"/>
              </w:rPr>
              <w:t>S</w:t>
            </w:r>
            <w:r w:rsidRPr="00967361">
              <w:rPr>
                <w:lang w:val="en-US" w:eastAsia="en-US"/>
              </w:rPr>
              <w:t>omali youth in conflict-prone displacement settings are less likely to resort to negative practices that contribute to conflict, and instead are more likely to actively engage in activities that promote peacebuilding and social cohesion</w:t>
            </w:r>
            <w:proofErr w:type="gramStart"/>
            <w:r w:rsidRPr="00967361">
              <w:rPr>
                <w:lang w:val="en-US" w:eastAsia="en-US"/>
              </w:rPr>
              <w:t>—  achieved</w:t>
            </w:r>
            <w:proofErr w:type="gramEnd"/>
            <w:r w:rsidRPr="00967361">
              <w:rPr>
                <w:lang w:val="en-US" w:eastAsia="en-US"/>
              </w:rPr>
              <w:t xml:space="preserve"> through increased access to </w:t>
            </w:r>
            <w:r w:rsidRPr="00632354">
              <w:rPr>
                <w:lang w:val="en-US" w:eastAsia="en-US"/>
              </w:rPr>
              <w:t xml:space="preserve">youth-friendly </w:t>
            </w:r>
            <w:r w:rsidRPr="00632354">
              <w:rPr>
                <w:lang w:val="en-US" w:eastAsia="en-US"/>
              </w:rPr>
              <w:lastRenderedPageBreak/>
              <w:t xml:space="preserve">mental health care, </w:t>
            </w:r>
            <w:r>
              <w:t xml:space="preserve"> </w:t>
            </w:r>
            <w:r w:rsidRPr="003D4565">
              <w:rPr>
                <w:lang w:val="en-US" w:eastAsia="en-US"/>
              </w:rPr>
              <w:t>community-based psychosocial support activities and services, and tailored information dissemination</w:t>
            </w:r>
          </w:p>
          <w:p w14:paraId="623CBC7F" w14:textId="77777777" w:rsidR="002536A1" w:rsidRPr="00627A1C" w:rsidRDefault="002536A1" w:rsidP="007D5E0B">
            <w:pPr>
              <w:rPr>
                <w:b/>
                <w:lang w:val="en-US" w:eastAsia="en-US"/>
              </w:rPr>
            </w:pPr>
          </w:p>
        </w:tc>
        <w:tc>
          <w:tcPr>
            <w:tcW w:w="1984" w:type="dxa"/>
            <w:shd w:val="clear" w:color="auto" w:fill="EEECE1"/>
          </w:tcPr>
          <w:p w14:paraId="4F18498C" w14:textId="77777777" w:rsidR="002536A1" w:rsidRPr="00BE4C32" w:rsidRDefault="002536A1" w:rsidP="007D5E0B">
            <w:pPr>
              <w:jc w:val="both"/>
              <w:rPr>
                <w:sz w:val="20"/>
                <w:szCs w:val="20"/>
                <w:lang w:val="en-US" w:eastAsia="en-US"/>
              </w:rPr>
            </w:pPr>
            <w:r w:rsidRPr="00BE4C32">
              <w:rPr>
                <w:sz w:val="20"/>
                <w:szCs w:val="20"/>
                <w:lang w:val="en-US" w:eastAsia="en-US"/>
              </w:rPr>
              <w:lastRenderedPageBreak/>
              <w:t>Indicator 1.1</w:t>
            </w:r>
          </w:p>
          <w:p w14:paraId="285B8546" w14:textId="77777777" w:rsidR="002B77C8" w:rsidRPr="002B77C8" w:rsidRDefault="002B77C8" w:rsidP="00942E96">
            <w:pPr>
              <w:rPr>
                <w:sz w:val="20"/>
                <w:szCs w:val="20"/>
                <w:lang w:val="en-US" w:eastAsia="en-US"/>
              </w:rPr>
            </w:pPr>
            <w:r w:rsidRPr="002B77C8">
              <w:rPr>
                <w:sz w:val="20"/>
                <w:szCs w:val="20"/>
                <w:lang w:val="en-US" w:eastAsia="en-US"/>
              </w:rPr>
              <w:t>Youth awareness and</w:t>
            </w:r>
          </w:p>
          <w:p w14:paraId="5A148DE5" w14:textId="77777777" w:rsidR="002B77C8" w:rsidRPr="002B77C8" w:rsidRDefault="002B77C8" w:rsidP="00942E96">
            <w:pPr>
              <w:rPr>
                <w:sz w:val="20"/>
                <w:szCs w:val="20"/>
                <w:lang w:val="en-US" w:eastAsia="en-US"/>
              </w:rPr>
            </w:pPr>
            <w:r w:rsidRPr="002B77C8">
              <w:rPr>
                <w:sz w:val="20"/>
                <w:szCs w:val="20"/>
                <w:lang w:val="en-US" w:eastAsia="en-US"/>
              </w:rPr>
              <w:t>practice of negative coping mechanisms</w:t>
            </w:r>
          </w:p>
          <w:p w14:paraId="61945E42" w14:textId="77777777" w:rsidR="002B77C8" w:rsidRPr="002B77C8" w:rsidRDefault="002B77C8" w:rsidP="00942E96">
            <w:pPr>
              <w:rPr>
                <w:sz w:val="20"/>
                <w:szCs w:val="20"/>
                <w:lang w:val="en-US" w:eastAsia="en-US"/>
              </w:rPr>
            </w:pPr>
            <w:r w:rsidRPr="002B77C8">
              <w:rPr>
                <w:sz w:val="20"/>
                <w:szCs w:val="20"/>
                <w:lang w:val="en-US" w:eastAsia="en-US"/>
              </w:rPr>
              <w:t>contributing to conflict (</w:t>
            </w:r>
            <w:proofErr w:type="gramStart"/>
            <w:r w:rsidRPr="002B77C8">
              <w:rPr>
                <w:sz w:val="20"/>
                <w:szCs w:val="20"/>
                <w:lang w:val="en-US" w:eastAsia="en-US"/>
              </w:rPr>
              <w:t>e.g.</w:t>
            </w:r>
            <w:proofErr w:type="gramEnd"/>
            <w:r w:rsidRPr="002B77C8">
              <w:rPr>
                <w:sz w:val="20"/>
                <w:szCs w:val="20"/>
                <w:lang w:val="en-US" w:eastAsia="en-US"/>
              </w:rPr>
              <w:t xml:space="preserve"> substance abuse,</w:t>
            </w:r>
          </w:p>
          <w:p w14:paraId="13F1028A" w14:textId="77777777" w:rsidR="002B77C8" w:rsidRPr="002B77C8" w:rsidRDefault="002B77C8" w:rsidP="00942E96">
            <w:pPr>
              <w:rPr>
                <w:sz w:val="20"/>
                <w:szCs w:val="20"/>
                <w:lang w:val="en-US" w:eastAsia="en-US"/>
              </w:rPr>
            </w:pPr>
            <w:r w:rsidRPr="002B77C8">
              <w:rPr>
                <w:sz w:val="20"/>
                <w:szCs w:val="20"/>
                <w:lang w:val="en-US" w:eastAsia="en-US"/>
              </w:rPr>
              <w:t>self-harm GBV), and participation in positive</w:t>
            </w:r>
          </w:p>
          <w:p w14:paraId="1FFB2594" w14:textId="77777777" w:rsidR="002B77C8" w:rsidRPr="002B77C8" w:rsidRDefault="002B77C8" w:rsidP="00942E96">
            <w:pPr>
              <w:rPr>
                <w:sz w:val="20"/>
                <w:szCs w:val="20"/>
                <w:lang w:val="en-US" w:eastAsia="en-US"/>
              </w:rPr>
            </w:pPr>
            <w:r w:rsidRPr="002B77C8">
              <w:rPr>
                <w:sz w:val="20"/>
                <w:szCs w:val="20"/>
                <w:lang w:val="en-US" w:eastAsia="en-US"/>
              </w:rPr>
              <w:t>activities contributing to peacebuilding and social</w:t>
            </w:r>
          </w:p>
          <w:p w14:paraId="71CA71E6" w14:textId="649D1FC9" w:rsidR="002536A1" w:rsidRPr="00627A1C" w:rsidRDefault="002B77C8" w:rsidP="00942E96">
            <w:pPr>
              <w:rPr>
                <w:lang w:val="en-US" w:eastAsia="en-US"/>
              </w:rPr>
            </w:pPr>
            <w:r w:rsidRPr="002B77C8">
              <w:rPr>
                <w:sz w:val="20"/>
                <w:szCs w:val="20"/>
                <w:lang w:val="en-US" w:eastAsia="en-US"/>
              </w:rPr>
              <w:t>cohesion in their communities.</w:t>
            </w:r>
          </w:p>
        </w:tc>
        <w:tc>
          <w:tcPr>
            <w:tcW w:w="1418" w:type="dxa"/>
            <w:shd w:val="clear" w:color="auto" w:fill="EEECE1"/>
          </w:tcPr>
          <w:p w14:paraId="7E806FEC" w14:textId="77777777" w:rsidR="002536A1" w:rsidRPr="00627A1C" w:rsidRDefault="002536A1" w:rsidP="007D5E0B">
            <w:pPr>
              <w:rPr>
                <w:lang w:val="en-US" w:eastAsia="en-US"/>
              </w:rPr>
            </w:pPr>
            <w:r w:rsidRPr="00192AAE">
              <w:rPr>
                <w:sz w:val="20"/>
                <w:szCs w:val="20"/>
                <w:lang w:val="en-US" w:eastAsia="en-US"/>
              </w:rPr>
              <w:t xml:space="preserve">Significant improvement between baseline and </w:t>
            </w:r>
            <w:proofErr w:type="spellStart"/>
            <w:r w:rsidRPr="00192AAE">
              <w:rPr>
                <w:sz w:val="20"/>
                <w:szCs w:val="20"/>
                <w:lang w:val="en-US" w:eastAsia="en-US"/>
              </w:rPr>
              <w:t>endline</w:t>
            </w:r>
            <w:proofErr w:type="spellEnd"/>
            <w:r w:rsidRPr="00192AAE">
              <w:rPr>
                <w:sz w:val="20"/>
                <w:szCs w:val="20"/>
                <w:lang w:val="en-US" w:eastAsia="en-US"/>
              </w:rPr>
              <w:t xml:space="preserve"> KAP surveys</w:t>
            </w:r>
          </w:p>
        </w:tc>
        <w:tc>
          <w:tcPr>
            <w:tcW w:w="1559" w:type="dxa"/>
            <w:shd w:val="clear" w:color="auto" w:fill="EEECE1"/>
          </w:tcPr>
          <w:p w14:paraId="2052BC2E" w14:textId="77777777" w:rsidR="002536A1" w:rsidRPr="00627A1C" w:rsidRDefault="002536A1" w:rsidP="007D5E0B">
            <w:r w:rsidRPr="00192AAE">
              <w:rPr>
                <w:sz w:val="20"/>
                <w:szCs w:val="20"/>
                <w:lang w:val="en-US" w:eastAsia="en-US"/>
              </w:rPr>
              <w:t xml:space="preserve">Significant improvement between baseline and </w:t>
            </w:r>
            <w:proofErr w:type="spellStart"/>
            <w:r w:rsidRPr="00192AAE">
              <w:rPr>
                <w:sz w:val="20"/>
                <w:szCs w:val="20"/>
                <w:lang w:val="en-US" w:eastAsia="en-US"/>
              </w:rPr>
              <w:t>endline</w:t>
            </w:r>
            <w:proofErr w:type="spellEnd"/>
            <w:r w:rsidRPr="00192AAE">
              <w:rPr>
                <w:sz w:val="20"/>
                <w:szCs w:val="20"/>
                <w:lang w:val="en-US" w:eastAsia="en-US"/>
              </w:rPr>
              <w:t xml:space="preserve"> KAP surveys</w:t>
            </w:r>
          </w:p>
        </w:tc>
        <w:tc>
          <w:tcPr>
            <w:tcW w:w="1276" w:type="dxa"/>
          </w:tcPr>
          <w:p w14:paraId="2109E58A"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3B794C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0C5FCD5F" w14:textId="4D8D08F3" w:rsidR="002536A1" w:rsidRDefault="002536A1" w:rsidP="007D5E0B">
            <w:pPr>
              <w:rPr>
                <w:bCs/>
                <w:sz w:val="20"/>
                <w:szCs w:val="20"/>
                <w:lang w:val="en-US" w:eastAsia="en-US"/>
              </w:rPr>
            </w:pPr>
            <w:r w:rsidRPr="00D73EBC">
              <w:rPr>
                <w:bCs/>
                <w:sz w:val="20"/>
                <w:szCs w:val="20"/>
                <w:lang w:val="en-US" w:eastAsia="en-US"/>
              </w:rPr>
              <w:t>As mentioned in the last report, some delay</w:t>
            </w:r>
            <w:r w:rsidR="009B6658">
              <w:rPr>
                <w:bCs/>
                <w:sz w:val="20"/>
                <w:szCs w:val="20"/>
                <w:lang w:val="en-US" w:eastAsia="en-US"/>
              </w:rPr>
              <w:t>s</w:t>
            </w:r>
            <w:r w:rsidRPr="00D73EBC">
              <w:rPr>
                <w:bCs/>
                <w:sz w:val="20"/>
                <w:szCs w:val="20"/>
                <w:lang w:val="en-US" w:eastAsia="en-US"/>
              </w:rPr>
              <w:t xml:space="preserve"> were reported in project implementation</w:t>
            </w:r>
            <w:r w:rsidR="004013A9">
              <w:rPr>
                <w:bCs/>
                <w:sz w:val="20"/>
                <w:szCs w:val="20"/>
                <w:lang w:val="en-US" w:eastAsia="en-US"/>
              </w:rPr>
              <w:t xml:space="preserve"> (including for the KAP survey)</w:t>
            </w:r>
            <w:r w:rsidRPr="00D73EBC">
              <w:rPr>
                <w:bCs/>
                <w:sz w:val="20"/>
                <w:szCs w:val="20"/>
                <w:lang w:val="en-US" w:eastAsia="en-US"/>
              </w:rPr>
              <w:t xml:space="preserve">, due to a major part to the current COVID-19 pandemic. As a result of these setbacks, partners </w:t>
            </w:r>
            <w:r w:rsidR="00942E96">
              <w:rPr>
                <w:bCs/>
                <w:sz w:val="20"/>
                <w:szCs w:val="20"/>
                <w:lang w:val="en-US" w:eastAsia="en-US"/>
              </w:rPr>
              <w:t>applied</w:t>
            </w:r>
            <w:r w:rsidRPr="00D73EBC">
              <w:rPr>
                <w:bCs/>
                <w:sz w:val="20"/>
                <w:szCs w:val="20"/>
                <w:lang w:val="en-US" w:eastAsia="en-US"/>
              </w:rPr>
              <w:t xml:space="preserve"> for a no-cost extension for the project.</w:t>
            </w:r>
          </w:p>
          <w:p w14:paraId="00908349" w14:textId="77777777" w:rsidR="00942E96" w:rsidRDefault="00942E96" w:rsidP="007D5E0B">
            <w:pPr>
              <w:rPr>
                <w:bCs/>
                <w:sz w:val="20"/>
                <w:szCs w:val="20"/>
                <w:lang w:val="en-US" w:eastAsia="en-US"/>
              </w:rPr>
            </w:pPr>
          </w:p>
          <w:p w14:paraId="04D39899" w14:textId="5CD7600F" w:rsidR="00942E96" w:rsidRPr="00D73EBC" w:rsidRDefault="00942E96" w:rsidP="007D5E0B">
            <w:pPr>
              <w:rPr>
                <w:bCs/>
                <w:sz w:val="20"/>
                <w:szCs w:val="20"/>
                <w:lang w:val="en-US" w:eastAsia="en-US"/>
              </w:rPr>
            </w:pPr>
            <w:r>
              <w:rPr>
                <w:bCs/>
                <w:sz w:val="20"/>
                <w:szCs w:val="20"/>
                <w:lang w:val="en-US" w:eastAsia="en-US"/>
              </w:rPr>
              <w:t xml:space="preserve">Project implementation is now back on track. </w:t>
            </w:r>
            <w:r w:rsidR="009B6658" w:rsidRPr="009B6658">
              <w:rPr>
                <w:bCs/>
                <w:sz w:val="20"/>
                <w:szCs w:val="20"/>
                <w:lang w:val="en-US" w:eastAsia="en-US"/>
              </w:rPr>
              <w:t>With regards to the</w:t>
            </w:r>
            <w:r w:rsidR="00116ECC" w:rsidRPr="009B6658">
              <w:rPr>
                <w:bCs/>
                <w:sz w:val="20"/>
                <w:szCs w:val="20"/>
                <w:lang w:val="en-US" w:eastAsia="en-US"/>
              </w:rPr>
              <w:t xml:space="preserve"> KAP</w:t>
            </w:r>
            <w:r w:rsidR="009B6658">
              <w:rPr>
                <w:bCs/>
                <w:sz w:val="20"/>
                <w:szCs w:val="20"/>
                <w:lang w:val="en-US" w:eastAsia="en-US"/>
              </w:rPr>
              <w:t xml:space="preserve"> survey</w:t>
            </w:r>
            <w:r w:rsidR="00116ECC" w:rsidRPr="009B6658">
              <w:rPr>
                <w:bCs/>
                <w:sz w:val="20"/>
                <w:szCs w:val="20"/>
                <w:lang w:val="en-US" w:eastAsia="en-US"/>
              </w:rPr>
              <w:t xml:space="preserve">, data collection will start in June 2021, and the final report will be </w:t>
            </w:r>
            <w:r w:rsidR="009B6658">
              <w:rPr>
                <w:bCs/>
                <w:sz w:val="20"/>
                <w:szCs w:val="20"/>
                <w:lang w:val="en-US" w:eastAsia="en-US"/>
              </w:rPr>
              <w:t>published</w:t>
            </w:r>
            <w:r w:rsidR="00116ECC" w:rsidRPr="009B6658">
              <w:rPr>
                <w:bCs/>
                <w:sz w:val="20"/>
                <w:szCs w:val="20"/>
                <w:lang w:val="en-US" w:eastAsia="en-US"/>
              </w:rPr>
              <w:t xml:space="preserve"> by the end of July 2021.</w:t>
            </w:r>
          </w:p>
        </w:tc>
      </w:tr>
      <w:tr w:rsidR="002536A1" w:rsidRPr="00627A1C" w14:paraId="1D4C4E1A" w14:textId="77777777" w:rsidTr="007D5E0B">
        <w:trPr>
          <w:trHeight w:val="548"/>
        </w:trPr>
        <w:tc>
          <w:tcPr>
            <w:tcW w:w="2142" w:type="dxa"/>
            <w:vMerge/>
          </w:tcPr>
          <w:p w14:paraId="29860E87" w14:textId="77777777" w:rsidR="002536A1" w:rsidRPr="00627A1C" w:rsidRDefault="002536A1" w:rsidP="007D5E0B">
            <w:pPr>
              <w:rPr>
                <w:b/>
                <w:lang w:val="en-US" w:eastAsia="en-US"/>
              </w:rPr>
            </w:pPr>
          </w:p>
        </w:tc>
        <w:tc>
          <w:tcPr>
            <w:tcW w:w="1984" w:type="dxa"/>
            <w:shd w:val="clear" w:color="auto" w:fill="EEECE1"/>
          </w:tcPr>
          <w:p w14:paraId="16E829C3" w14:textId="77777777" w:rsidR="002536A1" w:rsidRPr="00890661" w:rsidRDefault="002536A1" w:rsidP="007D5E0B">
            <w:pPr>
              <w:jc w:val="both"/>
              <w:rPr>
                <w:sz w:val="20"/>
                <w:szCs w:val="20"/>
                <w:lang w:val="en-US" w:eastAsia="en-US"/>
              </w:rPr>
            </w:pPr>
            <w:r w:rsidRPr="00890661">
              <w:rPr>
                <w:sz w:val="20"/>
                <w:szCs w:val="20"/>
                <w:lang w:val="en-US" w:eastAsia="en-US"/>
              </w:rPr>
              <w:t>Indicator 1.2</w:t>
            </w:r>
          </w:p>
          <w:p w14:paraId="6396D3B6" w14:textId="77777777" w:rsidR="002536A1" w:rsidRPr="00627A1C" w:rsidRDefault="002536A1" w:rsidP="007D5E0B">
            <w:pPr>
              <w:jc w:val="both"/>
              <w:rPr>
                <w:lang w:val="en-US" w:eastAsia="en-US"/>
              </w:rPr>
            </w:pPr>
            <w:r w:rsidRPr="00890661">
              <w:rPr>
                <w:sz w:val="20"/>
                <w:szCs w:val="20"/>
                <w:lang w:val="en-US" w:eastAsia="en-US"/>
              </w:rPr>
              <w:t xml:space="preserve">Perceptions and views of IDP community leaders and health workers about whether they feel empowered with </w:t>
            </w:r>
            <w:r w:rsidRPr="00890661">
              <w:rPr>
                <w:sz w:val="20"/>
                <w:szCs w:val="20"/>
                <w:lang w:val="en-US" w:eastAsia="en-US"/>
              </w:rPr>
              <w:lastRenderedPageBreak/>
              <w:t>avenues to support their local youth who have mental illness or face context-driven psychosocial problems.</w:t>
            </w:r>
          </w:p>
        </w:tc>
        <w:tc>
          <w:tcPr>
            <w:tcW w:w="1418" w:type="dxa"/>
            <w:shd w:val="clear" w:color="auto" w:fill="EEECE1"/>
          </w:tcPr>
          <w:p w14:paraId="2C44DDF6" w14:textId="77777777" w:rsidR="002536A1" w:rsidRPr="00627A1C" w:rsidRDefault="002536A1" w:rsidP="007D5E0B">
            <w:r w:rsidRPr="00192AAE">
              <w:rPr>
                <w:sz w:val="20"/>
                <w:szCs w:val="20"/>
                <w:lang w:val="en-US" w:eastAsia="en-US"/>
              </w:rPr>
              <w:lastRenderedPageBreak/>
              <w:t xml:space="preserve">Significant change in perception between baseline and </w:t>
            </w:r>
            <w:proofErr w:type="spellStart"/>
            <w:r w:rsidRPr="00192AAE">
              <w:rPr>
                <w:sz w:val="20"/>
                <w:szCs w:val="20"/>
                <w:lang w:val="en-US" w:eastAsia="en-US"/>
              </w:rPr>
              <w:t>endline</w:t>
            </w:r>
            <w:proofErr w:type="spellEnd"/>
          </w:p>
        </w:tc>
        <w:tc>
          <w:tcPr>
            <w:tcW w:w="1559" w:type="dxa"/>
            <w:shd w:val="clear" w:color="auto" w:fill="EEECE1"/>
          </w:tcPr>
          <w:p w14:paraId="6903EEF8" w14:textId="77777777" w:rsidR="002536A1" w:rsidRPr="00627A1C" w:rsidRDefault="002536A1" w:rsidP="007D5E0B">
            <w:r w:rsidRPr="00192AAE">
              <w:rPr>
                <w:sz w:val="20"/>
                <w:szCs w:val="20"/>
                <w:lang w:val="en-US" w:eastAsia="en-US"/>
              </w:rPr>
              <w:t xml:space="preserve">Significant change in perception between baseline and </w:t>
            </w:r>
            <w:proofErr w:type="spellStart"/>
            <w:r w:rsidRPr="00192AAE">
              <w:rPr>
                <w:sz w:val="20"/>
                <w:szCs w:val="20"/>
                <w:lang w:val="en-US" w:eastAsia="en-US"/>
              </w:rPr>
              <w:t>endline</w:t>
            </w:r>
            <w:proofErr w:type="spellEnd"/>
          </w:p>
        </w:tc>
        <w:tc>
          <w:tcPr>
            <w:tcW w:w="1276" w:type="dxa"/>
          </w:tcPr>
          <w:p w14:paraId="56F3A0A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B67B4A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34899600" w14:textId="77777777" w:rsidR="002536A1" w:rsidRPr="00D73EBC" w:rsidRDefault="002536A1" w:rsidP="007D5E0B">
            <w:pPr>
              <w:rPr>
                <w:bCs/>
                <w:sz w:val="20"/>
                <w:szCs w:val="20"/>
                <w:lang w:val="en-US" w:eastAsia="en-US"/>
              </w:rPr>
            </w:pPr>
            <w:r w:rsidRPr="00D73EBC">
              <w:rPr>
                <w:bCs/>
                <w:sz w:val="20"/>
                <w:szCs w:val="20"/>
                <w:lang w:val="en-US" w:eastAsia="en-US"/>
              </w:rPr>
              <w:t>Same as above</w:t>
            </w:r>
          </w:p>
        </w:tc>
      </w:tr>
      <w:tr w:rsidR="002536A1" w:rsidRPr="00627A1C" w14:paraId="38D13112" w14:textId="77777777" w:rsidTr="007D5E0B">
        <w:trPr>
          <w:trHeight w:val="548"/>
        </w:trPr>
        <w:tc>
          <w:tcPr>
            <w:tcW w:w="2142" w:type="dxa"/>
            <w:vMerge/>
          </w:tcPr>
          <w:p w14:paraId="135CF598" w14:textId="77777777" w:rsidR="002536A1" w:rsidRPr="00627A1C" w:rsidRDefault="002536A1" w:rsidP="007D5E0B">
            <w:pPr>
              <w:rPr>
                <w:lang w:val="en-US" w:eastAsia="en-US"/>
              </w:rPr>
            </w:pPr>
          </w:p>
        </w:tc>
        <w:tc>
          <w:tcPr>
            <w:tcW w:w="1984" w:type="dxa"/>
            <w:shd w:val="clear" w:color="auto" w:fill="EEECE1"/>
          </w:tcPr>
          <w:p w14:paraId="704679E5" w14:textId="77777777" w:rsidR="002536A1" w:rsidRPr="00627A1C" w:rsidRDefault="002536A1" w:rsidP="007D5E0B">
            <w:pPr>
              <w:jc w:val="both"/>
              <w:rPr>
                <w:lang w:val="en-US" w:eastAsia="en-US"/>
              </w:rPr>
            </w:pPr>
            <w:r w:rsidRPr="00627A1C">
              <w:rPr>
                <w:lang w:val="en-US" w:eastAsia="en-US"/>
              </w:rPr>
              <w:t>Indicator 1.3</w:t>
            </w:r>
          </w:p>
          <w:p w14:paraId="5ABF3070"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73B2286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14C4F0F4"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25C8C17"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3774B3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628C3B7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7E9FFFCA" w14:textId="77777777" w:rsidTr="007D5E0B">
        <w:trPr>
          <w:trHeight w:val="548"/>
        </w:trPr>
        <w:tc>
          <w:tcPr>
            <w:tcW w:w="2142" w:type="dxa"/>
            <w:vMerge w:val="restart"/>
          </w:tcPr>
          <w:p w14:paraId="4C546345" w14:textId="77777777" w:rsidR="002536A1" w:rsidRPr="00627A1C" w:rsidRDefault="002536A1" w:rsidP="007D5E0B">
            <w:pPr>
              <w:rPr>
                <w:lang w:val="en-US" w:eastAsia="en-US"/>
              </w:rPr>
            </w:pPr>
            <w:r w:rsidRPr="00627A1C">
              <w:rPr>
                <w:lang w:val="en-US" w:eastAsia="en-US"/>
              </w:rPr>
              <w:t>Output 1.1</w:t>
            </w:r>
          </w:p>
          <w:p w14:paraId="5C711ED6" w14:textId="77777777" w:rsidR="002536A1" w:rsidRPr="00627A1C" w:rsidRDefault="002536A1" w:rsidP="007D5E0B">
            <w:pPr>
              <w:rPr>
                <w:b/>
                <w:lang w:val="en-US" w:eastAsia="en-US"/>
              </w:rPr>
            </w:pPr>
            <w:r>
              <w:rPr>
                <w:lang w:val="en-US" w:eastAsia="en-US"/>
              </w:rPr>
              <w:t>H</w:t>
            </w:r>
            <w:r w:rsidRPr="00B65BA4">
              <w:rPr>
                <w:lang w:val="en-US" w:eastAsia="en-US"/>
              </w:rPr>
              <w:t>ealth professionals and community health workers in select conflict-affected IDP communities gain professional-level capacity to deliver youth-centered and gender-sensitive MHPSS services, towards reducing stigma, and alleviating gender-</w:t>
            </w:r>
            <w:r w:rsidRPr="00B65BA4">
              <w:rPr>
                <w:lang w:val="en-US" w:eastAsia="en-US"/>
              </w:rPr>
              <w:lastRenderedPageBreak/>
              <w:t xml:space="preserve">driven psychosocial barriers faced by Somali youth, </w:t>
            </w:r>
            <w:r>
              <w:rPr>
                <w:lang w:val="en-US" w:eastAsia="en-US"/>
              </w:rPr>
              <w:t xml:space="preserve">while </w:t>
            </w:r>
            <w:r w:rsidRPr="00922D33">
              <w:rPr>
                <w:lang w:val="en-US" w:eastAsia="en-US"/>
              </w:rPr>
              <w:t>building Somalia’s long-term institutional capacity to systematically address a key enabler of youth-driven conflict.</w:t>
            </w:r>
          </w:p>
        </w:tc>
        <w:tc>
          <w:tcPr>
            <w:tcW w:w="1984" w:type="dxa"/>
            <w:shd w:val="clear" w:color="auto" w:fill="EEECE1"/>
          </w:tcPr>
          <w:p w14:paraId="7AB8F099" w14:textId="77777777" w:rsidR="002536A1" w:rsidRPr="00BE4C32" w:rsidRDefault="002536A1" w:rsidP="007D5E0B">
            <w:pPr>
              <w:jc w:val="both"/>
              <w:rPr>
                <w:sz w:val="20"/>
                <w:szCs w:val="20"/>
                <w:lang w:val="en-US" w:eastAsia="en-US"/>
              </w:rPr>
            </w:pPr>
            <w:proofErr w:type="gramStart"/>
            <w:r w:rsidRPr="00BE4C32">
              <w:rPr>
                <w:sz w:val="20"/>
                <w:szCs w:val="20"/>
                <w:lang w:val="en-US" w:eastAsia="en-US"/>
              </w:rPr>
              <w:lastRenderedPageBreak/>
              <w:t>Indicator  1.1.1</w:t>
            </w:r>
            <w:proofErr w:type="gramEnd"/>
          </w:p>
          <w:p w14:paraId="23F31D43" w14:textId="77777777" w:rsidR="002536A1" w:rsidRPr="00627A1C" w:rsidRDefault="002536A1" w:rsidP="007D5E0B">
            <w:pPr>
              <w:jc w:val="both"/>
              <w:rPr>
                <w:lang w:val="en-US" w:eastAsia="en-US"/>
              </w:rPr>
            </w:pPr>
            <w:r w:rsidRPr="00BE4C32">
              <w:rPr>
                <w:sz w:val="20"/>
                <w:szCs w:val="20"/>
                <w:lang w:val="en-US" w:eastAsia="en-US"/>
              </w:rPr>
              <w:t>Consultant has supported SNU to develop specialized youth MHPSS training</w:t>
            </w:r>
          </w:p>
        </w:tc>
        <w:tc>
          <w:tcPr>
            <w:tcW w:w="1418" w:type="dxa"/>
            <w:shd w:val="clear" w:color="auto" w:fill="EEECE1"/>
          </w:tcPr>
          <w:p w14:paraId="40B65A99" w14:textId="77777777" w:rsidR="002536A1" w:rsidRPr="00627A1C" w:rsidRDefault="002536A1" w:rsidP="007D5E0B">
            <w:r>
              <w:rPr>
                <w:b/>
                <w:lang w:val="en-US" w:eastAsia="en-US"/>
              </w:rPr>
              <w:t>0</w:t>
            </w:r>
          </w:p>
        </w:tc>
        <w:tc>
          <w:tcPr>
            <w:tcW w:w="1559" w:type="dxa"/>
            <w:shd w:val="clear" w:color="auto" w:fill="EEECE1"/>
          </w:tcPr>
          <w:p w14:paraId="2EBE6F75" w14:textId="77777777" w:rsidR="002536A1" w:rsidRPr="00627A1C" w:rsidRDefault="002536A1" w:rsidP="007D5E0B">
            <w:r>
              <w:rPr>
                <w:b/>
                <w:lang w:val="en-US" w:eastAsia="en-US"/>
              </w:rPr>
              <w:t>1</w:t>
            </w:r>
          </w:p>
        </w:tc>
        <w:tc>
          <w:tcPr>
            <w:tcW w:w="1276" w:type="dxa"/>
          </w:tcPr>
          <w:p w14:paraId="5AC6A71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2059B37" w14:textId="77777777" w:rsidR="002536A1" w:rsidRPr="00627A1C" w:rsidRDefault="002536A1" w:rsidP="007D5E0B">
            <w:r>
              <w:rPr>
                <w:b/>
                <w:lang w:val="en-US" w:eastAsia="en-US"/>
              </w:rPr>
              <w:t>1</w:t>
            </w:r>
          </w:p>
        </w:tc>
        <w:tc>
          <w:tcPr>
            <w:tcW w:w="5465" w:type="dxa"/>
          </w:tcPr>
          <w:p w14:paraId="7C204FBD" w14:textId="4277A13C" w:rsidR="002536A1" w:rsidRPr="00D73EBC" w:rsidRDefault="002536A1" w:rsidP="007D5E0B">
            <w:pPr>
              <w:rPr>
                <w:bCs/>
                <w:sz w:val="20"/>
                <w:szCs w:val="20"/>
                <w:lang w:val="en-US" w:eastAsia="en-US"/>
              </w:rPr>
            </w:pPr>
            <w:r w:rsidRPr="00D73EBC">
              <w:rPr>
                <w:bCs/>
                <w:sz w:val="20"/>
                <w:szCs w:val="20"/>
                <w:lang w:val="en-US" w:eastAsia="en-US"/>
              </w:rPr>
              <w:t xml:space="preserve">The MHPSS consultant was hired and successfully developed the MH curriculum, using the </w:t>
            </w:r>
            <w:proofErr w:type="spellStart"/>
            <w:r w:rsidR="00654EAB">
              <w:rPr>
                <w:bCs/>
                <w:sz w:val="20"/>
                <w:szCs w:val="20"/>
                <w:lang w:val="en-US" w:eastAsia="en-US"/>
              </w:rPr>
              <w:t>m</w:t>
            </w:r>
            <w:r w:rsidRPr="00D73EBC">
              <w:rPr>
                <w:bCs/>
                <w:sz w:val="20"/>
                <w:szCs w:val="20"/>
                <w:lang w:val="en-US" w:eastAsia="en-US"/>
              </w:rPr>
              <w:t>hGap</w:t>
            </w:r>
            <w:proofErr w:type="spellEnd"/>
            <w:r w:rsidRPr="00D73EBC">
              <w:rPr>
                <w:bCs/>
                <w:sz w:val="20"/>
                <w:szCs w:val="20"/>
                <w:lang w:val="en-US" w:eastAsia="en-US"/>
              </w:rPr>
              <w:t xml:space="preserve"> intervention guide. Training modules include parts on psychosocial stressors related to extreme stress in the context of natural and man-made disasters</w:t>
            </w:r>
          </w:p>
        </w:tc>
      </w:tr>
      <w:tr w:rsidR="002536A1" w:rsidRPr="00627A1C" w14:paraId="04392FAD" w14:textId="77777777" w:rsidTr="007D5E0B">
        <w:trPr>
          <w:trHeight w:val="548"/>
        </w:trPr>
        <w:tc>
          <w:tcPr>
            <w:tcW w:w="2142" w:type="dxa"/>
            <w:vMerge/>
          </w:tcPr>
          <w:p w14:paraId="5B24EB95" w14:textId="77777777" w:rsidR="002536A1" w:rsidRPr="00627A1C" w:rsidRDefault="002536A1" w:rsidP="007D5E0B">
            <w:pPr>
              <w:rPr>
                <w:lang w:val="en-US" w:eastAsia="en-US"/>
              </w:rPr>
            </w:pPr>
          </w:p>
        </w:tc>
        <w:tc>
          <w:tcPr>
            <w:tcW w:w="1984" w:type="dxa"/>
            <w:shd w:val="clear" w:color="auto" w:fill="EEECE1"/>
          </w:tcPr>
          <w:p w14:paraId="326E8F11" w14:textId="77777777" w:rsidR="002536A1" w:rsidRPr="00BE4C32" w:rsidRDefault="002536A1" w:rsidP="007D5E0B">
            <w:pPr>
              <w:jc w:val="both"/>
              <w:rPr>
                <w:sz w:val="20"/>
                <w:szCs w:val="20"/>
                <w:lang w:val="en-US" w:eastAsia="en-US"/>
              </w:rPr>
            </w:pPr>
            <w:r w:rsidRPr="00BE4C32">
              <w:rPr>
                <w:sz w:val="20"/>
                <w:szCs w:val="20"/>
                <w:lang w:val="en-US" w:eastAsia="en-US"/>
              </w:rPr>
              <w:t>Indicator 1.1.2</w:t>
            </w:r>
          </w:p>
          <w:p w14:paraId="56735425" w14:textId="77777777" w:rsidR="002536A1" w:rsidRPr="00BE4C32" w:rsidRDefault="002536A1" w:rsidP="007D5E0B">
            <w:pPr>
              <w:jc w:val="both"/>
              <w:rPr>
                <w:sz w:val="20"/>
                <w:szCs w:val="20"/>
                <w:lang w:val="en-US" w:eastAsia="en-US"/>
              </w:rPr>
            </w:pPr>
            <w:r w:rsidRPr="00BE4C32">
              <w:rPr>
                <w:sz w:val="20"/>
                <w:szCs w:val="20"/>
                <w:lang w:val="en-US" w:eastAsia="en-US"/>
              </w:rPr>
              <w:t xml:space="preserve"># consultation </w:t>
            </w:r>
            <w:proofErr w:type="gramStart"/>
            <w:r>
              <w:rPr>
                <w:sz w:val="20"/>
                <w:szCs w:val="20"/>
                <w:lang w:val="en-US" w:eastAsia="en-US"/>
              </w:rPr>
              <w:t xml:space="preserve">meetings </w:t>
            </w:r>
            <w:r w:rsidRPr="00BE4C32">
              <w:rPr>
                <w:sz w:val="20"/>
                <w:szCs w:val="20"/>
                <w:lang w:val="en-US" w:eastAsia="en-US"/>
              </w:rPr>
              <w:t xml:space="preserve"> among</w:t>
            </w:r>
            <w:proofErr w:type="gramEnd"/>
            <w:r w:rsidRPr="00BE4C32">
              <w:rPr>
                <w:sz w:val="20"/>
                <w:szCs w:val="20"/>
                <w:lang w:val="en-US" w:eastAsia="en-US"/>
              </w:rPr>
              <w:t xml:space="preserve"> key stakeholders conducted for development of MHPSS training module</w:t>
            </w:r>
          </w:p>
        </w:tc>
        <w:tc>
          <w:tcPr>
            <w:tcW w:w="1418" w:type="dxa"/>
            <w:shd w:val="clear" w:color="auto" w:fill="EEECE1"/>
          </w:tcPr>
          <w:p w14:paraId="216FE889" w14:textId="77777777" w:rsidR="002536A1" w:rsidRDefault="002536A1" w:rsidP="007D5E0B">
            <w:pPr>
              <w:rPr>
                <w:b/>
                <w:lang w:val="en-US" w:eastAsia="en-US"/>
              </w:rPr>
            </w:pPr>
            <w:r>
              <w:rPr>
                <w:b/>
                <w:lang w:val="en-US" w:eastAsia="en-US"/>
              </w:rPr>
              <w:t>0</w:t>
            </w:r>
          </w:p>
        </w:tc>
        <w:tc>
          <w:tcPr>
            <w:tcW w:w="1559" w:type="dxa"/>
            <w:shd w:val="clear" w:color="auto" w:fill="EEECE1"/>
          </w:tcPr>
          <w:p w14:paraId="5D38821F" w14:textId="77777777" w:rsidR="002536A1" w:rsidRDefault="002536A1" w:rsidP="007D5E0B">
            <w:pPr>
              <w:rPr>
                <w:b/>
                <w:lang w:val="en-US" w:eastAsia="en-US"/>
              </w:rPr>
            </w:pPr>
            <w:r>
              <w:rPr>
                <w:b/>
                <w:lang w:val="en-US" w:eastAsia="en-US"/>
              </w:rPr>
              <w:t>3</w:t>
            </w:r>
          </w:p>
        </w:tc>
        <w:tc>
          <w:tcPr>
            <w:tcW w:w="1276" w:type="dxa"/>
          </w:tcPr>
          <w:p w14:paraId="5BE4BB7F"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0F9E7FA" w14:textId="77777777" w:rsidR="002536A1" w:rsidRDefault="002536A1" w:rsidP="007D5E0B">
            <w:pPr>
              <w:rPr>
                <w:b/>
                <w:lang w:val="en-US" w:eastAsia="en-US"/>
              </w:rPr>
            </w:pPr>
            <w:r>
              <w:rPr>
                <w:b/>
                <w:lang w:val="en-US" w:eastAsia="en-US"/>
              </w:rPr>
              <w:t>3</w:t>
            </w:r>
          </w:p>
        </w:tc>
        <w:tc>
          <w:tcPr>
            <w:tcW w:w="5465" w:type="dxa"/>
          </w:tcPr>
          <w:p w14:paraId="3E4550CA" w14:textId="12887F8C" w:rsidR="002536A1" w:rsidRPr="00D73EBC" w:rsidRDefault="002536A1" w:rsidP="007D5E0B">
            <w:pPr>
              <w:rPr>
                <w:bCs/>
                <w:sz w:val="20"/>
                <w:szCs w:val="20"/>
                <w:lang w:val="en-US" w:eastAsia="en-US"/>
              </w:rPr>
            </w:pPr>
            <w:r w:rsidRPr="00D73EBC">
              <w:rPr>
                <w:bCs/>
                <w:sz w:val="20"/>
                <w:szCs w:val="20"/>
                <w:lang w:val="en-US" w:eastAsia="en-US"/>
              </w:rPr>
              <w:t xml:space="preserve">Despite delays due to COVID-19, 2 consultation meetings took </w:t>
            </w:r>
            <w:proofErr w:type="gramStart"/>
            <w:r w:rsidRPr="00D73EBC">
              <w:rPr>
                <w:bCs/>
                <w:sz w:val="20"/>
                <w:szCs w:val="20"/>
                <w:lang w:val="en-US" w:eastAsia="en-US"/>
              </w:rPr>
              <w:t>place</w:t>
            </w:r>
            <w:proofErr w:type="gramEnd"/>
            <w:r w:rsidRPr="00D73EBC">
              <w:rPr>
                <w:bCs/>
                <w:sz w:val="20"/>
                <w:szCs w:val="20"/>
                <w:lang w:val="en-US" w:eastAsia="en-US"/>
              </w:rPr>
              <w:t xml:space="preserve"> and the curriculum was successfully developed.</w:t>
            </w:r>
          </w:p>
        </w:tc>
      </w:tr>
      <w:tr w:rsidR="002536A1" w:rsidRPr="00627A1C" w14:paraId="13F6DA41" w14:textId="77777777" w:rsidTr="007D5E0B">
        <w:trPr>
          <w:trHeight w:val="548"/>
        </w:trPr>
        <w:tc>
          <w:tcPr>
            <w:tcW w:w="2142" w:type="dxa"/>
            <w:vMerge/>
          </w:tcPr>
          <w:p w14:paraId="20E6AE9B" w14:textId="77777777" w:rsidR="002536A1" w:rsidRPr="00627A1C" w:rsidRDefault="002536A1" w:rsidP="007D5E0B">
            <w:pPr>
              <w:rPr>
                <w:lang w:val="en-US" w:eastAsia="en-US"/>
              </w:rPr>
            </w:pPr>
          </w:p>
        </w:tc>
        <w:tc>
          <w:tcPr>
            <w:tcW w:w="1984" w:type="dxa"/>
            <w:shd w:val="clear" w:color="auto" w:fill="EEECE1"/>
          </w:tcPr>
          <w:p w14:paraId="4CC530F9" w14:textId="77777777" w:rsidR="002536A1" w:rsidRPr="00CF7363" w:rsidRDefault="002536A1" w:rsidP="007D5E0B">
            <w:pPr>
              <w:jc w:val="both"/>
              <w:rPr>
                <w:sz w:val="20"/>
                <w:szCs w:val="20"/>
                <w:lang w:val="en-US" w:eastAsia="en-US"/>
              </w:rPr>
            </w:pPr>
            <w:proofErr w:type="gramStart"/>
            <w:r w:rsidRPr="00CF7363">
              <w:rPr>
                <w:sz w:val="20"/>
                <w:szCs w:val="20"/>
                <w:lang w:val="en-US" w:eastAsia="en-US"/>
              </w:rPr>
              <w:t>Indicator  1.2.3</w:t>
            </w:r>
            <w:proofErr w:type="gramEnd"/>
          </w:p>
          <w:p w14:paraId="43F490EE" w14:textId="77777777" w:rsidR="002536A1" w:rsidRPr="008140FE" w:rsidRDefault="002536A1" w:rsidP="007D5E0B">
            <w:pPr>
              <w:jc w:val="both"/>
              <w:rPr>
                <w:sz w:val="20"/>
                <w:szCs w:val="20"/>
                <w:lang w:val="en-US" w:eastAsia="en-US"/>
              </w:rPr>
            </w:pPr>
            <w:r w:rsidRPr="008140FE">
              <w:rPr>
                <w:sz w:val="20"/>
                <w:szCs w:val="20"/>
                <w:lang w:val="en-US" w:eastAsia="en-US"/>
              </w:rPr>
              <w:t xml:space="preserve">Gender-sensitive and youth-oriented MHPSS training module developed, endorsed and </w:t>
            </w:r>
            <w:r w:rsidRPr="008140FE">
              <w:rPr>
                <w:sz w:val="20"/>
                <w:szCs w:val="20"/>
                <w:lang w:val="en-US" w:eastAsia="en-US"/>
              </w:rPr>
              <w:lastRenderedPageBreak/>
              <w:t>published in Somali and English.</w:t>
            </w:r>
          </w:p>
          <w:p w14:paraId="1868D773" w14:textId="4A98C646" w:rsidR="002536A1" w:rsidRPr="00BE4C32" w:rsidRDefault="002536A1" w:rsidP="007D5E0B">
            <w:pPr>
              <w:jc w:val="both"/>
              <w:rPr>
                <w:sz w:val="20"/>
                <w:szCs w:val="20"/>
                <w:lang w:val="en-US" w:eastAsia="en-US"/>
              </w:rPr>
            </w:pPr>
          </w:p>
        </w:tc>
        <w:tc>
          <w:tcPr>
            <w:tcW w:w="1418" w:type="dxa"/>
            <w:shd w:val="clear" w:color="auto" w:fill="EEECE1"/>
          </w:tcPr>
          <w:p w14:paraId="091E1A37" w14:textId="77777777" w:rsidR="002536A1" w:rsidRDefault="002536A1" w:rsidP="007D5E0B">
            <w:pPr>
              <w:rPr>
                <w:b/>
                <w:lang w:val="en-US" w:eastAsia="en-US"/>
              </w:rPr>
            </w:pPr>
            <w:r>
              <w:rPr>
                <w:b/>
                <w:lang w:val="en-US" w:eastAsia="en-US"/>
              </w:rPr>
              <w:lastRenderedPageBreak/>
              <w:t>0</w:t>
            </w:r>
          </w:p>
        </w:tc>
        <w:tc>
          <w:tcPr>
            <w:tcW w:w="1559" w:type="dxa"/>
            <w:shd w:val="clear" w:color="auto" w:fill="EEECE1"/>
          </w:tcPr>
          <w:p w14:paraId="62E075BD" w14:textId="77777777" w:rsidR="002536A1" w:rsidRDefault="002536A1" w:rsidP="007D5E0B">
            <w:pPr>
              <w:rPr>
                <w:b/>
                <w:lang w:val="en-US" w:eastAsia="en-US"/>
              </w:rPr>
            </w:pPr>
            <w:r>
              <w:rPr>
                <w:b/>
                <w:lang w:val="en-US" w:eastAsia="en-US"/>
              </w:rPr>
              <w:t>1</w:t>
            </w:r>
          </w:p>
        </w:tc>
        <w:tc>
          <w:tcPr>
            <w:tcW w:w="1276" w:type="dxa"/>
          </w:tcPr>
          <w:p w14:paraId="5811B19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9D7F20F" w14:textId="77777777" w:rsidR="002536A1" w:rsidRDefault="002536A1" w:rsidP="007D5E0B">
            <w:pPr>
              <w:rPr>
                <w:b/>
                <w:lang w:val="en-US" w:eastAsia="en-US"/>
              </w:rPr>
            </w:pPr>
            <w:r>
              <w:rPr>
                <w:b/>
                <w:lang w:val="en-US" w:eastAsia="en-US"/>
              </w:rPr>
              <w:t>1</w:t>
            </w:r>
          </w:p>
        </w:tc>
        <w:tc>
          <w:tcPr>
            <w:tcW w:w="5465" w:type="dxa"/>
          </w:tcPr>
          <w:p w14:paraId="2C6E065D" w14:textId="77777777" w:rsidR="002536A1" w:rsidRPr="00D73EBC" w:rsidRDefault="002536A1" w:rsidP="007D5E0B">
            <w:pPr>
              <w:rPr>
                <w:bCs/>
                <w:sz w:val="20"/>
                <w:szCs w:val="20"/>
                <w:lang w:val="en-US" w:eastAsia="en-US"/>
              </w:rPr>
            </w:pPr>
            <w:r w:rsidRPr="00D73EBC">
              <w:rPr>
                <w:bCs/>
                <w:sz w:val="20"/>
                <w:szCs w:val="20"/>
                <w:lang w:val="en-US" w:eastAsia="en-US"/>
              </w:rPr>
              <w:t xml:space="preserve">The curriculum has successfully been developed and includes a gender sensitive and youth orientated module. Sections of the curriculum will be translated into Somali dialects for the purpose of health awareness campaign. </w:t>
            </w:r>
          </w:p>
        </w:tc>
      </w:tr>
      <w:tr w:rsidR="002536A1" w:rsidRPr="00627A1C" w14:paraId="4CD46A28" w14:textId="77777777" w:rsidTr="007D5E0B">
        <w:trPr>
          <w:trHeight w:val="548"/>
        </w:trPr>
        <w:tc>
          <w:tcPr>
            <w:tcW w:w="2142" w:type="dxa"/>
            <w:vMerge/>
          </w:tcPr>
          <w:p w14:paraId="001FB97F" w14:textId="77777777" w:rsidR="002536A1" w:rsidRPr="00627A1C" w:rsidRDefault="002536A1" w:rsidP="007D5E0B">
            <w:pPr>
              <w:rPr>
                <w:lang w:val="en-US" w:eastAsia="en-US"/>
              </w:rPr>
            </w:pPr>
          </w:p>
        </w:tc>
        <w:tc>
          <w:tcPr>
            <w:tcW w:w="1984" w:type="dxa"/>
            <w:shd w:val="clear" w:color="auto" w:fill="EEECE1"/>
          </w:tcPr>
          <w:p w14:paraId="5C1BF45C" w14:textId="77777777" w:rsidR="002536A1" w:rsidRDefault="002536A1" w:rsidP="007D5E0B">
            <w:pPr>
              <w:rPr>
                <w:rFonts w:ascii="Arial" w:eastAsia="Arial" w:hAnsi="Arial" w:cs="Arial"/>
                <w:sz w:val="16"/>
                <w:szCs w:val="16"/>
              </w:rPr>
            </w:pPr>
            <w:r>
              <w:rPr>
                <w:rFonts w:ascii="Arial" w:eastAsia="Arial" w:hAnsi="Arial" w:cs="Arial"/>
                <w:sz w:val="16"/>
                <w:szCs w:val="16"/>
              </w:rPr>
              <w:t xml:space="preserve">Indicator 1.1.4: </w:t>
            </w:r>
          </w:p>
          <w:p w14:paraId="377A423E" w14:textId="77777777" w:rsidR="002536A1" w:rsidRDefault="002536A1" w:rsidP="007D5E0B">
            <w:pPr>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health</w:t>
            </w:r>
            <w:proofErr w:type="gramEnd"/>
            <w:r>
              <w:rPr>
                <w:rFonts w:ascii="Arial" w:eastAsia="Arial" w:hAnsi="Arial" w:cs="Arial"/>
                <w:sz w:val="16"/>
                <w:szCs w:val="16"/>
              </w:rPr>
              <w:t xml:space="preserve"> care providers trained in the MHPSS Training of Trainers to enable decentralization of MHPSS in the health system </w:t>
            </w:r>
          </w:p>
          <w:p w14:paraId="684C1E10" w14:textId="77777777" w:rsidR="002536A1" w:rsidRDefault="002536A1" w:rsidP="007D5E0B">
            <w:pPr>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sz w:val="16"/>
                <w:szCs w:val="16"/>
              </w:rPr>
              <w:t>sex</w:t>
            </w:r>
            <w:proofErr w:type="gramEnd"/>
            <w:r>
              <w:rPr>
                <w:rFonts w:ascii="Arial" w:eastAsia="Arial" w:hAnsi="Arial" w:cs="Arial"/>
                <w:sz w:val="16"/>
                <w:szCs w:val="16"/>
              </w:rPr>
              <w:t xml:space="preserve"> and age disaggregated)</w:t>
            </w:r>
          </w:p>
          <w:p w14:paraId="4B2A27F9" w14:textId="77777777" w:rsidR="002536A1" w:rsidRPr="00BE4C32" w:rsidRDefault="002536A1" w:rsidP="007D5E0B">
            <w:pPr>
              <w:jc w:val="both"/>
              <w:rPr>
                <w:sz w:val="20"/>
                <w:szCs w:val="20"/>
                <w:lang w:val="en-US" w:eastAsia="en-US"/>
              </w:rPr>
            </w:pPr>
          </w:p>
        </w:tc>
        <w:tc>
          <w:tcPr>
            <w:tcW w:w="1418" w:type="dxa"/>
            <w:shd w:val="clear" w:color="auto" w:fill="EEECE1"/>
          </w:tcPr>
          <w:p w14:paraId="2B4C6555" w14:textId="77777777" w:rsidR="002536A1" w:rsidRDefault="002536A1" w:rsidP="007D5E0B">
            <w:pPr>
              <w:rPr>
                <w:b/>
                <w:lang w:val="en-US" w:eastAsia="en-US"/>
              </w:rPr>
            </w:pPr>
            <w:r w:rsidRPr="00506E00">
              <w:rPr>
                <w:b/>
                <w:bCs/>
              </w:rPr>
              <w:t>0</w:t>
            </w:r>
          </w:p>
        </w:tc>
        <w:tc>
          <w:tcPr>
            <w:tcW w:w="1559" w:type="dxa"/>
            <w:shd w:val="clear" w:color="auto" w:fill="EEECE1"/>
          </w:tcPr>
          <w:p w14:paraId="2CD83A9B" w14:textId="77777777" w:rsidR="002536A1" w:rsidRDefault="002536A1" w:rsidP="007D5E0B">
            <w:pPr>
              <w:rPr>
                <w:b/>
                <w:lang w:val="en-US" w:eastAsia="en-US"/>
              </w:rPr>
            </w:pPr>
            <w:r w:rsidRPr="00506E00">
              <w:rPr>
                <w:b/>
                <w:bCs/>
              </w:rPr>
              <w:t>20</w:t>
            </w:r>
          </w:p>
        </w:tc>
        <w:tc>
          <w:tcPr>
            <w:tcW w:w="1276" w:type="dxa"/>
          </w:tcPr>
          <w:p w14:paraId="7E4D2625" w14:textId="77777777" w:rsidR="002536A1" w:rsidRPr="00627A1C" w:rsidRDefault="002536A1" w:rsidP="007D5E0B">
            <w:pPr>
              <w:rPr>
                <w:b/>
                <w:lang w:val="en-US" w:eastAsia="en-US"/>
              </w:rPr>
            </w:pPr>
          </w:p>
        </w:tc>
        <w:tc>
          <w:tcPr>
            <w:tcW w:w="1276" w:type="dxa"/>
          </w:tcPr>
          <w:p w14:paraId="70BD5179" w14:textId="5930CB3F" w:rsidR="002536A1" w:rsidRDefault="00D7504F" w:rsidP="007D5E0B">
            <w:pPr>
              <w:rPr>
                <w:b/>
                <w:lang w:val="en-US" w:eastAsia="en-US"/>
              </w:rPr>
            </w:pPr>
            <w:r>
              <w:t>2</w:t>
            </w:r>
            <w:r w:rsidR="00F06F4F">
              <w:t>4</w:t>
            </w:r>
          </w:p>
        </w:tc>
        <w:tc>
          <w:tcPr>
            <w:tcW w:w="5465" w:type="dxa"/>
          </w:tcPr>
          <w:p w14:paraId="29EB8EDC" w14:textId="423D9E97" w:rsidR="002536A1" w:rsidRPr="00D73EBC" w:rsidRDefault="005E6633" w:rsidP="007D5E0B">
            <w:pPr>
              <w:rPr>
                <w:bCs/>
                <w:sz w:val="20"/>
                <w:szCs w:val="20"/>
                <w:lang w:val="en-US" w:eastAsia="en-US"/>
              </w:rPr>
            </w:pPr>
            <w:r>
              <w:rPr>
                <w:bCs/>
                <w:sz w:val="20"/>
                <w:szCs w:val="20"/>
                <w:lang w:val="en-US" w:eastAsia="en-US"/>
              </w:rPr>
              <w:t xml:space="preserve">25 </w:t>
            </w:r>
            <w:r w:rsidR="00D7504F">
              <w:rPr>
                <w:bCs/>
                <w:sz w:val="20"/>
                <w:szCs w:val="20"/>
                <w:lang w:val="en-US" w:eastAsia="en-US"/>
              </w:rPr>
              <w:t>health care providers</w:t>
            </w:r>
            <w:r>
              <w:rPr>
                <w:bCs/>
                <w:sz w:val="20"/>
                <w:szCs w:val="20"/>
                <w:lang w:val="en-US" w:eastAsia="en-US"/>
              </w:rPr>
              <w:t xml:space="preserve"> (10 female, 15 male) </w:t>
            </w:r>
            <w:r w:rsidR="00D7504F" w:rsidRPr="00D7504F">
              <w:rPr>
                <w:bCs/>
                <w:sz w:val="20"/>
                <w:szCs w:val="20"/>
                <w:lang w:val="en-US" w:eastAsia="en-US"/>
              </w:rPr>
              <w:t xml:space="preserve">from Kismayo and </w:t>
            </w:r>
            <w:proofErr w:type="spellStart"/>
            <w:r w:rsidR="00D7504F" w:rsidRPr="00D7504F">
              <w:rPr>
                <w:bCs/>
                <w:sz w:val="20"/>
                <w:szCs w:val="20"/>
                <w:lang w:val="en-US" w:eastAsia="en-US"/>
              </w:rPr>
              <w:t>Dollow</w:t>
            </w:r>
            <w:proofErr w:type="spellEnd"/>
            <w:r w:rsidR="00D7504F" w:rsidRPr="00D7504F">
              <w:rPr>
                <w:bCs/>
                <w:sz w:val="20"/>
                <w:szCs w:val="20"/>
                <w:lang w:val="en-US" w:eastAsia="en-US"/>
              </w:rPr>
              <w:t xml:space="preserve"> (</w:t>
            </w:r>
            <w:proofErr w:type="spellStart"/>
            <w:r w:rsidR="00D7504F" w:rsidRPr="00D7504F">
              <w:rPr>
                <w:bCs/>
                <w:sz w:val="20"/>
                <w:szCs w:val="20"/>
                <w:lang w:val="en-US" w:eastAsia="en-US"/>
              </w:rPr>
              <w:t>Jubbaland</w:t>
            </w:r>
            <w:proofErr w:type="spellEnd"/>
            <w:r w:rsidR="00D7504F" w:rsidRPr="00D7504F">
              <w:rPr>
                <w:bCs/>
                <w:sz w:val="20"/>
                <w:szCs w:val="20"/>
                <w:lang w:val="en-US" w:eastAsia="en-US"/>
              </w:rPr>
              <w:t xml:space="preserve"> State), Baidoa (</w:t>
            </w:r>
            <w:proofErr w:type="gramStart"/>
            <w:r w:rsidR="00D7504F" w:rsidRPr="00D7504F">
              <w:rPr>
                <w:bCs/>
                <w:sz w:val="20"/>
                <w:szCs w:val="20"/>
                <w:lang w:val="en-US" w:eastAsia="en-US"/>
              </w:rPr>
              <w:t>South West</w:t>
            </w:r>
            <w:proofErr w:type="gramEnd"/>
            <w:r w:rsidR="00D7504F" w:rsidRPr="00D7504F">
              <w:rPr>
                <w:bCs/>
                <w:sz w:val="20"/>
                <w:szCs w:val="20"/>
                <w:lang w:val="en-US" w:eastAsia="en-US"/>
              </w:rPr>
              <w:t xml:space="preserve">), </w:t>
            </w:r>
            <w:proofErr w:type="spellStart"/>
            <w:r w:rsidR="00D7504F" w:rsidRPr="00D7504F">
              <w:rPr>
                <w:bCs/>
                <w:sz w:val="20"/>
                <w:szCs w:val="20"/>
                <w:lang w:val="en-US" w:eastAsia="en-US"/>
              </w:rPr>
              <w:t>Galckayo</w:t>
            </w:r>
            <w:proofErr w:type="spellEnd"/>
            <w:r w:rsidR="00D7504F" w:rsidRPr="00D7504F">
              <w:rPr>
                <w:bCs/>
                <w:sz w:val="20"/>
                <w:szCs w:val="20"/>
                <w:lang w:val="en-US" w:eastAsia="en-US"/>
              </w:rPr>
              <w:t xml:space="preserve"> (Galmudug) and Mogadishu (</w:t>
            </w:r>
            <w:proofErr w:type="spellStart"/>
            <w:r w:rsidR="00D7504F" w:rsidRPr="00D7504F">
              <w:rPr>
                <w:bCs/>
                <w:sz w:val="20"/>
                <w:szCs w:val="20"/>
                <w:lang w:val="en-US" w:eastAsia="en-US"/>
              </w:rPr>
              <w:t>Banaadir</w:t>
            </w:r>
            <w:proofErr w:type="spellEnd"/>
            <w:r w:rsidR="00D7504F" w:rsidRPr="00D7504F">
              <w:rPr>
                <w:bCs/>
                <w:sz w:val="20"/>
                <w:szCs w:val="20"/>
                <w:lang w:val="en-US" w:eastAsia="en-US"/>
              </w:rPr>
              <w:t xml:space="preserve"> Region) </w:t>
            </w:r>
            <w:r>
              <w:rPr>
                <w:bCs/>
                <w:sz w:val="20"/>
                <w:szCs w:val="20"/>
                <w:lang w:val="en-US" w:eastAsia="en-US"/>
              </w:rPr>
              <w:t xml:space="preserve">were trained in December 2020 </w:t>
            </w:r>
            <w:r w:rsidR="00D7504F">
              <w:rPr>
                <w:bCs/>
                <w:sz w:val="20"/>
                <w:szCs w:val="20"/>
                <w:lang w:val="en-US" w:eastAsia="en-US"/>
              </w:rPr>
              <w:t xml:space="preserve">as part of the TOTs </w:t>
            </w:r>
            <w:r w:rsidR="002536A1" w:rsidRPr="00D73EBC">
              <w:rPr>
                <w:bCs/>
                <w:sz w:val="20"/>
                <w:szCs w:val="20"/>
                <w:lang w:val="en-US" w:eastAsia="en-US"/>
              </w:rPr>
              <w:t>Training of trainers</w:t>
            </w:r>
            <w:r w:rsidR="00D7504F">
              <w:rPr>
                <w:bCs/>
                <w:sz w:val="20"/>
                <w:szCs w:val="20"/>
                <w:lang w:val="en-US" w:eastAsia="en-US"/>
              </w:rPr>
              <w:t xml:space="preserve">, in collaboration with SNU. </w:t>
            </w:r>
          </w:p>
        </w:tc>
      </w:tr>
      <w:tr w:rsidR="00AD6D46" w:rsidRPr="00627A1C" w14:paraId="25D43DC1" w14:textId="77777777" w:rsidTr="007D5E0B">
        <w:trPr>
          <w:trHeight w:val="548"/>
        </w:trPr>
        <w:tc>
          <w:tcPr>
            <w:tcW w:w="2142" w:type="dxa"/>
            <w:vMerge/>
          </w:tcPr>
          <w:p w14:paraId="2EDC5587" w14:textId="77777777" w:rsidR="00AD6D46" w:rsidRPr="00627A1C" w:rsidRDefault="00AD6D46" w:rsidP="00AD6D46">
            <w:pPr>
              <w:rPr>
                <w:lang w:val="en-US" w:eastAsia="en-US"/>
              </w:rPr>
            </w:pPr>
          </w:p>
        </w:tc>
        <w:tc>
          <w:tcPr>
            <w:tcW w:w="1984" w:type="dxa"/>
            <w:shd w:val="clear" w:color="auto" w:fill="EEECE1"/>
          </w:tcPr>
          <w:p w14:paraId="19F5064E" w14:textId="77777777" w:rsidR="00AD6D46" w:rsidRPr="00B67FBB" w:rsidRDefault="00AD6D46" w:rsidP="00AD6D46">
            <w:pPr>
              <w:rPr>
                <w:rFonts w:ascii="Arial" w:eastAsia="Arial" w:hAnsi="Arial" w:cs="Arial"/>
                <w:sz w:val="16"/>
                <w:szCs w:val="16"/>
                <w:lang w:val="en-US"/>
              </w:rPr>
            </w:pPr>
            <w:r w:rsidRPr="00B67FBB">
              <w:rPr>
                <w:rFonts w:ascii="Arial" w:eastAsia="Arial" w:hAnsi="Arial" w:cs="Arial"/>
                <w:sz w:val="16"/>
                <w:szCs w:val="16"/>
                <w:lang w:val="en-US"/>
              </w:rPr>
              <w:t>Output Indicator 1.1.5: % of health workers</w:t>
            </w:r>
          </w:p>
          <w:p w14:paraId="67FF98DA" w14:textId="77777777" w:rsidR="00AD6D46" w:rsidRPr="00B67FBB" w:rsidRDefault="00AD6D46" w:rsidP="00AD6D46">
            <w:pPr>
              <w:rPr>
                <w:rFonts w:ascii="Arial" w:eastAsia="Arial" w:hAnsi="Arial" w:cs="Arial"/>
                <w:sz w:val="16"/>
                <w:szCs w:val="16"/>
                <w:lang w:val="en-US"/>
              </w:rPr>
            </w:pPr>
            <w:r w:rsidRPr="00B67FBB">
              <w:rPr>
                <w:rFonts w:ascii="Arial" w:eastAsia="Arial" w:hAnsi="Arial" w:cs="Arial"/>
                <w:sz w:val="16"/>
                <w:szCs w:val="16"/>
                <w:lang w:val="en-US"/>
              </w:rPr>
              <w:t>trainers providing MHPSS services in target</w:t>
            </w:r>
          </w:p>
          <w:p w14:paraId="5397DE14" w14:textId="77777777" w:rsidR="00AD6D46" w:rsidRPr="00B67FBB" w:rsidRDefault="00AD6D46" w:rsidP="00AD6D46">
            <w:pPr>
              <w:rPr>
                <w:rFonts w:ascii="Arial" w:eastAsia="Arial" w:hAnsi="Arial" w:cs="Arial"/>
                <w:sz w:val="16"/>
                <w:szCs w:val="16"/>
                <w:lang w:val="en-US"/>
              </w:rPr>
            </w:pPr>
            <w:r w:rsidRPr="00B67FBB">
              <w:rPr>
                <w:rFonts w:ascii="Arial" w:eastAsia="Arial" w:hAnsi="Arial" w:cs="Arial"/>
                <w:sz w:val="16"/>
                <w:szCs w:val="16"/>
                <w:lang w:val="en-US"/>
              </w:rPr>
              <w:t>health facilities (after the cascade trainings),</w:t>
            </w:r>
          </w:p>
          <w:p w14:paraId="042F7AEA" w14:textId="77777777" w:rsidR="00AD6D46" w:rsidRPr="00B67FBB" w:rsidRDefault="00AD6D46" w:rsidP="00AD6D46">
            <w:pPr>
              <w:rPr>
                <w:rFonts w:ascii="Arial" w:eastAsia="Arial" w:hAnsi="Arial" w:cs="Arial"/>
                <w:sz w:val="16"/>
                <w:szCs w:val="16"/>
                <w:lang w:val="en-US"/>
              </w:rPr>
            </w:pPr>
            <w:r w:rsidRPr="00B67FBB">
              <w:rPr>
                <w:rFonts w:ascii="Arial" w:eastAsia="Arial" w:hAnsi="Arial" w:cs="Arial"/>
                <w:sz w:val="16"/>
                <w:szCs w:val="16"/>
                <w:lang w:val="en-US"/>
              </w:rPr>
              <w:t>which may contribute to positive peacebuilding</w:t>
            </w:r>
          </w:p>
          <w:p w14:paraId="2C8B07B9" w14:textId="77777777" w:rsidR="00AD6D46" w:rsidRPr="00B67FBB" w:rsidRDefault="00AD6D46" w:rsidP="00AD6D46">
            <w:pPr>
              <w:rPr>
                <w:rFonts w:ascii="Arial" w:eastAsia="Arial" w:hAnsi="Arial" w:cs="Arial"/>
                <w:sz w:val="16"/>
                <w:szCs w:val="16"/>
                <w:lang w:val="en-US"/>
              </w:rPr>
            </w:pPr>
            <w:r w:rsidRPr="00B67FBB">
              <w:rPr>
                <w:rFonts w:ascii="Arial" w:eastAsia="Arial" w:hAnsi="Arial" w:cs="Arial"/>
                <w:sz w:val="16"/>
                <w:szCs w:val="16"/>
                <w:lang w:val="en-US"/>
              </w:rPr>
              <w:t>outcomes.</w:t>
            </w:r>
          </w:p>
          <w:p w14:paraId="55C9DFC7" w14:textId="6CB41E32" w:rsidR="00AD6D46" w:rsidRDefault="00AD6D46" w:rsidP="00AD6D46">
            <w:pPr>
              <w:rPr>
                <w:rFonts w:ascii="Arial" w:eastAsia="Arial" w:hAnsi="Arial" w:cs="Arial"/>
                <w:sz w:val="16"/>
                <w:szCs w:val="16"/>
              </w:rPr>
            </w:pPr>
            <w:r w:rsidRPr="00B67FBB">
              <w:rPr>
                <w:rFonts w:ascii="Arial" w:eastAsia="Arial" w:hAnsi="Arial" w:cs="Arial"/>
                <w:sz w:val="16"/>
                <w:szCs w:val="16"/>
                <w:lang w:val="en-US"/>
              </w:rPr>
              <w:t>(</w:t>
            </w:r>
            <w:proofErr w:type="gramStart"/>
            <w:r w:rsidRPr="00B67FBB">
              <w:rPr>
                <w:rFonts w:ascii="Arial" w:eastAsia="Arial" w:hAnsi="Arial" w:cs="Arial"/>
                <w:sz w:val="16"/>
                <w:szCs w:val="16"/>
                <w:lang w:val="en-US"/>
              </w:rPr>
              <w:t>sex</w:t>
            </w:r>
            <w:proofErr w:type="gramEnd"/>
            <w:r w:rsidRPr="00B67FBB">
              <w:rPr>
                <w:rFonts w:ascii="Arial" w:eastAsia="Arial" w:hAnsi="Arial" w:cs="Arial"/>
                <w:sz w:val="16"/>
                <w:szCs w:val="16"/>
                <w:lang w:val="en-US"/>
              </w:rPr>
              <w:t xml:space="preserve"> and age disaggregated)</w:t>
            </w:r>
          </w:p>
        </w:tc>
        <w:tc>
          <w:tcPr>
            <w:tcW w:w="1418" w:type="dxa"/>
            <w:shd w:val="clear" w:color="auto" w:fill="EEECE1"/>
          </w:tcPr>
          <w:p w14:paraId="3C9AB6ED" w14:textId="7B23B97C" w:rsidR="00AD6D46" w:rsidRPr="00506E00" w:rsidRDefault="00AD6D46" w:rsidP="00AD6D46">
            <w:pPr>
              <w:rPr>
                <w:b/>
                <w:bCs/>
              </w:rPr>
            </w:pPr>
            <w:r>
              <w:rPr>
                <w:b/>
                <w:bCs/>
              </w:rPr>
              <w:t>0</w:t>
            </w:r>
          </w:p>
        </w:tc>
        <w:tc>
          <w:tcPr>
            <w:tcW w:w="1559" w:type="dxa"/>
            <w:shd w:val="clear" w:color="auto" w:fill="EEECE1"/>
          </w:tcPr>
          <w:p w14:paraId="16686F94" w14:textId="1E4A61CC" w:rsidR="00AD6D46" w:rsidRPr="00506E00" w:rsidRDefault="00AD6D46" w:rsidP="00AD6D46">
            <w:pPr>
              <w:rPr>
                <w:b/>
                <w:bCs/>
              </w:rPr>
            </w:pPr>
            <w:r>
              <w:rPr>
                <w:b/>
                <w:bCs/>
              </w:rPr>
              <w:t>90%</w:t>
            </w:r>
          </w:p>
        </w:tc>
        <w:tc>
          <w:tcPr>
            <w:tcW w:w="1276" w:type="dxa"/>
          </w:tcPr>
          <w:p w14:paraId="3F8D2D33" w14:textId="3067AA19" w:rsidR="00AD6D46" w:rsidRPr="00627A1C" w:rsidRDefault="00AD6D46" w:rsidP="00AD6D46">
            <w:pPr>
              <w:rPr>
                <w:b/>
                <w:lang w:val="en-US" w:eastAsia="en-US"/>
              </w:rPr>
            </w:pPr>
            <w:r>
              <w:rPr>
                <w:b/>
                <w:lang w:val="en-US" w:eastAsia="en-US"/>
              </w:rPr>
              <w:t>80</w:t>
            </w:r>
          </w:p>
        </w:tc>
        <w:tc>
          <w:tcPr>
            <w:tcW w:w="1276" w:type="dxa"/>
          </w:tcPr>
          <w:p w14:paraId="260BCC5B" w14:textId="380BAF2B" w:rsidR="00AD6D46" w:rsidRDefault="00AD6D46" w:rsidP="00AD6D46"/>
        </w:tc>
        <w:tc>
          <w:tcPr>
            <w:tcW w:w="5465" w:type="dxa"/>
          </w:tcPr>
          <w:p w14:paraId="103454EC" w14:textId="77777777" w:rsidR="00AD6D46" w:rsidRDefault="00AD6D46" w:rsidP="00AD6D46">
            <w:pPr>
              <w:rPr>
                <w:bCs/>
                <w:sz w:val="20"/>
                <w:szCs w:val="20"/>
                <w:lang w:val="en-US" w:eastAsia="en-US"/>
              </w:rPr>
            </w:pPr>
            <w:r>
              <w:rPr>
                <w:bCs/>
                <w:sz w:val="20"/>
                <w:szCs w:val="20"/>
                <w:lang w:val="en-US" w:eastAsia="en-US"/>
              </w:rPr>
              <w:t xml:space="preserve">20 health care providers were trained for each site (Baidoa, </w:t>
            </w:r>
            <w:proofErr w:type="spellStart"/>
            <w:r>
              <w:rPr>
                <w:bCs/>
                <w:sz w:val="20"/>
                <w:szCs w:val="20"/>
                <w:lang w:val="en-US" w:eastAsia="en-US"/>
              </w:rPr>
              <w:t>Dollow</w:t>
            </w:r>
            <w:proofErr w:type="spellEnd"/>
            <w:r>
              <w:rPr>
                <w:bCs/>
                <w:sz w:val="20"/>
                <w:szCs w:val="20"/>
                <w:lang w:val="en-US" w:eastAsia="en-US"/>
              </w:rPr>
              <w:t xml:space="preserve"> and Kismayo) totaling 60.</w:t>
            </w:r>
          </w:p>
          <w:p w14:paraId="42AAA761" w14:textId="5DBB5047" w:rsidR="00AD6D46" w:rsidRDefault="00AD6D46" w:rsidP="00AD6D46">
            <w:pPr>
              <w:rPr>
                <w:bCs/>
                <w:sz w:val="20"/>
                <w:szCs w:val="20"/>
                <w:lang w:val="en-US" w:eastAsia="en-US"/>
              </w:rPr>
            </w:pPr>
            <w:r>
              <w:rPr>
                <w:bCs/>
                <w:sz w:val="20"/>
                <w:szCs w:val="20"/>
                <w:lang w:val="en-US" w:eastAsia="en-US"/>
              </w:rPr>
              <w:t>While an addition 2</w:t>
            </w:r>
            <w:r w:rsidR="00F97972">
              <w:rPr>
                <w:bCs/>
                <w:sz w:val="20"/>
                <w:szCs w:val="20"/>
                <w:lang w:val="en-US" w:eastAsia="en-US"/>
              </w:rPr>
              <w:t>4</w:t>
            </w:r>
            <w:r>
              <w:rPr>
                <w:bCs/>
                <w:sz w:val="20"/>
                <w:szCs w:val="20"/>
                <w:lang w:val="en-US" w:eastAsia="en-US"/>
              </w:rPr>
              <w:t xml:space="preserve"> additional </w:t>
            </w:r>
            <w:proofErr w:type="spellStart"/>
            <w:r>
              <w:rPr>
                <w:bCs/>
                <w:sz w:val="20"/>
                <w:szCs w:val="20"/>
                <w:lang w:val="en-US" w:eastAsia="en-US"/>
              </w:rPr>
              <w:t>ToTs</w:t>
            </w:r>
            <w:proofErr w:type="spellEnd"/>
            <w:r>
              <w:rPr>
                <w:bCs/>
                <w:sz w:val="20"/>
                <w:szCs w:val="20"/>
                <w:lang w:val="en-US" w:eastAsia="en-US"/>
              </w:rPr>
              <w:t xml:space="preserve"> were trained earlier (8 for Baidoa and 6 each for Kismayo and </w:t>
            </w:r>
            <w:proofErr w:type="spellStart"/>
            <w:r>
              <w:rPr>
                <w:bCs/>
                <w:sz w:val="20"/>
                <w:szCs w:val="20"/>
                <w:lang w:val="en-US" w:eastAsia="en-US"/>
              </w:rPr>
              <w:t>Dollow</w:t>
            </w:r>
            <w:proofErr w:type="spellEnd"/>
            <w:r>
              <w:rPr>
                <w:bCs/>
                <w:sz w:val="20"/>
                <w:szCs w:val="20"/>
                <w:lang w:val="en-US" w:eastAsia="en-US"/>
              </w:rPr>
              <w:t>)</w:t>
            </w:r>
          </w:p>
          <w:p w14:paraId="2DAB75D5" w14:textId="27E41AEE" w:rsidR="00AD6D46" w:rsidRDefault="00AD6D46" w:rsidP="00AD6D46">
            <w:pPr>
              <w:rPr>
                <w:bCs/>
                <w:sz w:val="20"/>
                <w:szCs w:val="20"/>
                <w:lang w:val="en-US" w:eastAsia="en-US"/>
              </w:rPr>
            </w:pPr>
            <w:r>
              <w:rPr>
                <w:bCs/>
                <w:sz w:val="20"/>
                <w:szCs w:val="20"/>
                <w:lang w:val="en-US" w:eastAsia="en-US"/>
              </w:rPr>
              <w:t xml:space="preserve">The total healthcare trained on </w:t>
            </w:r>
            <w:proofErr w:type="spellStart"/>
            <w:r>
              <w:rPr>
                <w:bCs/>
                <w:sz w:val="20"/>
                <w:szCs w:val="20"/>
                <w:lang w:val="en-US" w:eastAsia="en-US"/>
              </w:rPr>
              <w:t>mhGAP</w:t>
            </w:r>
            <w:proofErr w:type="spellEnd"/>
            <w:r>
              <w:rPr>
                <w:bCs/>
                <w:sz w:val="20"/>
                <w:szCs w:val="20"/>
                <w:lang w:val="en-US" w:eastAsia="en-US"/>
              </w:rPr>
              <w:t xml:space="preserve"> are 80 for the 3 sites </w:t>
            </w:r>
          </w:p>
        </w:tc>
      </w:tr>
      <w:tr w:rsidR="002536A1" w:rsidRPr="00627A1C" w14:paraId="65731303" w14:textId="77777777" w:rsidTr="007D5E0B">
        <w:trPr>
          <w:trHeight w:val="512"/>
        </w:trPr>
        <w:tc>
          <w:tcPr>
            <w:tcW w:w="2142" w:type="dxa"/>
            <w:vMerge/>
          </w:tcPr>
          <w:p w14:paraId="0BF97160" w14:textId="77777777" w:rsidR="002536A1" w:rsidRPr="00627A1C" w:rsidRDefault="002536A1" w:rsidP="007D5E0B">
            <w:pPr>
              <w:rPr>
                <w:b/>
                <w:lang w:val="en-US" w:eastAsia="en-US"/>
              </w:rPr>
            </w:pPr>
          </w:p>
        </w:tc>
        <w:tc>
          <w:tcPr>
            <w:tcW w:w="1984" w:type="dxa"/>
            <w:shd w:val="clear" w:color="auto" w:fill="EEECE1"/>
          </w:tcPr>
          <w:p w14:paraId="7B7F387A" w14:textId="77777777" w:rsidR="002536A1" w:rsidRDefault="002536A1" w:rsidP="007D5E0B">
            <w:pPr>
              <w:rPr>
                <w:rFonts w:ascii="Arial" w:eastAsia="Arial" w:hAnsi="Arial" w:cs="Arial"/>
                <w:sz w:val="16"/>
                <w:szCs w:val="16"/>
              </w:rPr>
            </w:pPr>
            <w:r>
              <w:rPr>
                <w:rFonts w:ascii="Arial" w:eastAsia="Arial" w:hAnsi="Arial" w:cs="Arial"/>
                <w:sz w:val="16"/>
                <w:szCs w:val="16"/>
              </w:rPr>
              <w:t xml:space="preserve">Indicator 1.1.6: </w:t>
            </w:r>
          </w:p>
          <w:p w14:paraId="5AA6A0E5" w14:textId="6AB27088" w:rsidR="002536A1" w:rsidRDefault="002536A1" w:rsidP="007D5E0B">
            <w:pPr>
              <w:rPr>
                <w:rFonts w:ascii="Arial" w:eastAsia="Arial" w:hAnsi="Arial" w:cs="Arial"/>
                <w:sz w:val="16"/>
                <w:szCs w:val="16"/>
              </w:rPr>
            </w:pPr>
            <w:r>
              <w:rPr>
                <w:rFonts w:ascii="Arial" w:eastAsia="Arial" w:hAnsi="Arial" w:cs="Arial"/>
                <w:sz w:val="16"/>
                <w:szCs w:val="16"/>
              </w:rPr>
              <w:t xml:space="preserve">Study findings on inter-linkages between youth, MHPSS and peace building in Somalia published and disseminated in a forum with key policymakers, relevant donor and government representatives, and </w:t>
            </w:r>
            <w:r>
              <w:rPr>
                <w:rFonts w:ascii="Arial" w:eastAsia="Arial" w:hAnsi="Arial" w:cs="Arial"/>
                <w:sz w:val="16"/>
                <w:szCs w:val="16"/>
              </w:rPr>
              <w:lastRenderedPageBreak/>
              <w:t>influencers within the MHPSS sectors.</w:t>
            </w:r>
          </w:p>
          <w:p w14:paraId="457765B4" w14:textId="77777777" w:rsidR="002536A1" w:rsidRPr="00627A1C" w:rsidRDefault="002536A1" w:rsidP="007D5E0B">
            <w:pPr>
              <w:jc w:val="both"/>
              <w:rPr>
                <w:lang w:val="en-US" w:eastAsia="en-US"/>
              </w:rPr>
            </w:pPr>
          </w:p>
        </w:tc>
        <w:tc>
          <w:tcPr>
            <w:tcW w:w="1418" w:type="dxa"/>
            <w:shd w:val="clear" w:color="auto" w:fill="EEECE1"/>
          </w:tcPr>
          <w:p w14:paraId="1085958B" w14:textId="652DCEC4" w:rsidR="002536A1" w:rsidRPr="00506E00" w:rsidRDefault="004B36BD" w:rsidP="007D5E0B">
            <w:pPr>
              <w:rPr>
                <w:b/>
                <w:bCs/>
              </w:rPr>
            </w:pPr>
            <w:r>
              <w:rPr>
                <w:b/>
                <w:bCs/>
              </w:rPr>
              <w:lastRenderedPageBreak/>
              <w:t>N/A</w:t>
            </w:r>
          </w:p>
        </w:tc>
        <w:tc>
          <w:tcPr>
            <w:tcW w:w="1559" w:type="dxa"/>
            <w:shd w:val="clear" w:color="auto" w:fill="EEECE1"/>
          </w:tcPr>
          <w:p w14:paraId="6FC69F3B" w14:textId="56A5712F" w:rsidR="002536A1" w:rsidRPr="00506E00" w:rsidRDefault="004B36BD" w:rsidP="007D5E0B">
            <w:pPr>
              <w:rPr>
                <w:b/>
                <w:bCs/>
              </w:rPr>
            </w:pPr>
            <w:r>
              <w:rPr>
                <w:b/>
                <w:bCs/>
              </w:rPr>
              <w:t>Yes</w:t>
            </w:r>
          </w:p>
        </w:tc>
        <w:tc>
          <w:tcPr>
            <w:tcW w:w="1276" w:type="dxa"/>
          </w:tcPr>
          <w:p w14:paraId="31D77AF1" w14:textId="77777777" w:rsidR="002536A1" w:rsidRPr="00627A1C" w:rsidRDefault="002536A1" w:rsidP="007D5E0B">
            <w:pPr>
              <w:rPr>
                <w:b/>
                <w:lang w:val="en-US" w:eastAsia="en-US"/>
              </w:rPr>
            </w:pPr>
          </w:p>
        </w:tc>
        <w:tc>
          <w:tcPr>
            <w:tcW w:w="1276" w:type="dxa"/>
          </w:tcPr>
          <w:p w14:paraId="32944798" w14:textId="77777777" w:rsidR="002536A1" w:rsidRPr="00627A1C" w:rsidRDefault="002536A1" w:rsidP="007D5E0B"/>
        </w:tc>
        <w:tc>
          <w:tcPr>
            <w:tcW w:w="5465" w:type="dxa"/>
          </w:tcPr>
          <w:p w14:paraId="7D8B561A" w14:textId="37D95774" w:rsidR="002536A1" w:rsidRPr="00D73EBC" w:rsidRDefault="002536A1" w:rsidP="007D5E0B">
            <w:pPr>
              <w:rPr>
                <w:bCs/>
                <w:sz w:val="20"/>
                <w:szCs w:val="20"/>
                <w:lang w:val="en-US" w:eastAsia="en-US"/>
              </w:rPr>
            </w:pPr>
            <w:r w:rsidRPr="00D73EBC">
              <w:rPr>
                <w:bCs/>
                <w:sz w:val="20"/>
                <w:szCs w:val="20"/>
                <w:lang w:val="en-US" w:eastAsia="en-US"/>
              </w:rPr>
              <w:t xml:space="preserve">Difficulties with engagement with the initial team of researcher, due mainly to problems of communication and disagreement over budget, lead to </w:t>
            </w:r>
            <w:r w:rsidR="000D34C6">
              <w:rPr>
                <w:bCs/>
                <w:sz w:val="20"/>
                <w:szCs w:val="20"/>
                <w:lang w:val="en-US" w:eastAsia="en-US"/>
              </w:rPr>
              <w:t xml:space="preserve">initial </w:t>
            </w:r>
            <w:r w:rsidRPr="00D73EBC">
              <w:rPr>
                <w:bCs/>
                <w:sz w:val="20"/>
                <w:szCs w:val="20"/>
                <w:lang w:val="en-US" w:eastAsia="en-US"/>
              </w:rPr>
              <w:t xml:space="preserve">delays in the recruitment and the development of a research proposal. To overcome this, WHO </w:t>
            </w:r>
            <w:r w:rsidR="000D34C6">
              <w:rPr>
                <w:bCs/>
                <w:sz w:val="20"/>
                <w:szCs w:val="20"/>
                <w:lang w:val="en-US" w:eastAsia="en-US"/>
              </w:rPr>
              <w:t>launched</w:t>
            </w:r>
            <w:r w:rsidRPr="00D73EBC">
              <w:rPr>
                <w:bCs/>
                <w:sz w:val="20"/>
                <w:szCs w:val="20"/>
                <w:lang w:val="en-US" w:eastAsia="en-US"/>
              </w:rPr>
              <w:t xml:space="preserve"> an open call to recruit a team of researchers</w:t>
            </w:r>
            <w:r w:rsidR="000D34C6">
              <w:rPr>
                <w:bCs/>
                <w:sz w:val="20"/>
                <w:szCs w:val="20"/>
                <w:lang w:val="en-US" w:eastAsia="en-US"/>
              </w:rPr>
              <w:t>. S</w:t>
            </w:r>
            <w:r w:rsidRPr="00D73EBC">
              <w:rPr>
                <w:bCs/>
                <w:sz w:val="20"/>
                <w:szCs w:val="20"/>
                <w:lang w:val="en-US" w:eastAsia="en-US"/>
              </w:rPr>
              <w:t xml:space="preserve">ome of the researchers initially considered </w:t>
            </w:r>
            <w:r w:rsidR="000D34C6">
              <w:rPr>
                <w:bCs/>
                <w:sz w:val="20"/>
                <w:szCs w:val="20"/>
                <w:lang w:val="en-US" w:eastAsia="en-US"/>
              </w:rPr>
              <w:t xml:space="preserve">applied and WHO received many </w:t>
            </w:r>
            <w:r w:rsidR="00FF3E30">
              <w:rPr>
                <w:bCs/>
                <w:sz w:val="20"/>
                <w:szCs w:val="20"/>
                <w:lang w:val="en-US" w:eastAsia="en-US"/>
              </w:rPr>
              <w:t xml:space="preserve">good-quality proposals. One firm has been selected and WHO is currently in the process of negotiating with them. The firm is expected to be ready </w:t>
            </w:r>
            <w:r w:rsidR="00E44799">
              <w:rPr>
                <w:bCs/>
                <w:sz w:val="20"/>
                <w:szCs w:val="20"/>
                <w:lang w:val="en-US" w:eastAsia="en-US"/>
              </w:rPr>
              <w:t>in upcoming weeks</w:t>
            </w:r>
            <w:r w:rsidR="00FF3E30">
              <w:rPr>
                <w:bCs/>
                <w:sz w:val="20"/>
                <w:szCs w:val="20"/>
                <w:lang w:val="en-US" w:eastAsia="en-US"/>
              </w:rPr>
              <w:t xml:space="preserve"> and the research study should be done by</w:t>
            </w:r>
            <w:r w:rsidR="00E44799">
              <w:rPr>
                <w:bCs/>
                <w:sz w:val="20"/>
                <w:szCs w:val="20"/>
                <w:lang w:val="en-US" w:eastAsia="en-US"/>
              </w:rPr>
              <w:t xml:space="preserve"> the end of the project</w:t>
            </w:r>
            <w:r w:rsidRPr="00D73EBC">
              <w:rPr>
                <w:bCs/>
                <w:sz w:val="20"/>
                <w:szCs w:val="20"/>
                <w:lang w:val="en-US" w:eastAsia="en-US"/>
              </w:rPr>
              <w:t xml:space="preserve">. </w:t>
            </w:r>
          </w:p>
        </w:tc>
      </w:tr>
      <w:tr w:rsidR="00686AEA" w:rsidRPr="00627A1C" w14:paraId="254BA1AA" w14:textId="77777777" w:rsidTr="007D5E0B">
        <w:trPr>
          <w:trHeight w:val="440"/>
        </w:trPr>
        <w:tc>
          <w:tcPr>
            <w:tcW w:w="2142" w:type="dxa"/>
            <w:vMerge w:val="restart"/>
          </w:tcPr>
          <w:p w14:paraId="0AAD45C4" w14:textId="77777777" w:rsidR="00686AEA" w:rsidRPr="00627A1C" w:rsidRDefault="00686AEA" w:rsidP="00686AEA">
            <w:pPr>
              <w:rPr>
                <w:lang w:val="en-US" w:eastAsia="en-US"/>
              </w:rPr>
            </w:pPr>
            <w:r w:rsidRPr="00627A1C">
              <w:rPr>
                <w:lang w:val="en-US" w:eastAsia="en-US"/>
              </w:rPr>
              <w:t>Output 1.2</w:t>
            </w:r>
          </w:p>
          <w:p w14:paraId="79073E1C" w14:textId="77777777" w:rsidR="00686AEA" w:rsidRPr="001B7146" w:rsidRDefault="00686AEA" w:rsidP="00686AEA">
            <w:pPr>
              <w:rPr>
                <w:lang w:val="en-US" w:eastAsia="en-US"/>
              </w:rPr>
            </w:pPr>
            <w:r w:rsidRPr="001B7146">
              <w:rPr>
                <w:lang w:val="en-US" w:eastAsia="en-US"/>
              </w:rPr>
              <w:t>Youth with mental health and</w:t>
            </w:r>
          </w:p>
          <w:p w14:paraId="25E6A798" w14:textId="77777777" w:rsidR="00686AEA" w:rsidRPr="001B7146" w:rsidRDefault="00686AEA" w:rsidP="00686AEA">
            <w:pPr>
              <w:rPr>
                <w:lang w:val="en-US" w:eastAsia="en-US"/>
              </w:rPr>
            </w:pPr>
            <w:r w:rsidRPr="001B7146">
              <w:rPr>
                <w:lang w:val="en-US" w:eastAsia="en-US"/>
              </w:rPr>
              <w:t>psychosocial issues in conflict-vulnerable</w:t>
            </w:r>
          </w:p>
          <w:p w14:paraId="1CB82998" w14:textId="77777777" w:rsidR="00686AEA" w:rsidRPr="001B7146" w:rsidRDefault="00686AEA" w:rsidP="00686AEA">
            <w:pPr>
              <w:rPr>
                <w:lang w:val="en-US" w:eastAsia="en-US"/>
              </w:rPr>
            </w:pPr>
            <w:r w:rsidRPr="001B7146">
              <w:rPr>
                <w:lang w:val="en-US" w:eastAsia="en-US"/>
              </w:rPr>
              <w:t>IDP communities are provided with socially</w:t>
            </w:r>
          </w:p>
          <w:p w14:paraId="6020689C" w14:textId="77777777" w:rsidR="00686AEA" w:rsidRPr="001B7146" w:rsidRDefault="00686AEA" w:rsidP="00686AEA">
            <w:pPr>
              <w:rPr>
                <w:lang w:val="en-US" w:eastAsia="en-US"/>
              </w:rPr>
            </w:pPr>
            <w:r w:rsidRPr="001B7146">
              <w:rPr>
                <w:lang w:val="en-US" w:eastAsia="en-US"/>
              </w:rPr>
              <w:t>inclusive MHPSS services through</w:t>
            </w:r>
          </w:p>
          <w:p w14:paraId="565A11F2" w14:textId="77777777" w:rsidR="00686AEA" w:rsidRPr="001B7146" w:rsidRDefault="00686AEA" w:rsidP="00686AEA">
            <w:pPr>
              <w:rPr>
                <w:lang w:val="en-US" w:eastAsia="en-US"/>
              </w:rPr>
            </w:pPr>
            <w:r w:rsidRPr="001B7146">
              <w:rPr>
                <w:lang w:val="en-US" w:eastAsia="en-US"/>
              </w:rPr>
              <w:t>community-based PSS activities integrated</w:t>
            </w:r>
          </w:p>
          <w:p w14:paraId="586F529F" w14:textId="77777777" w:rsidR="00686AEA" w:rsidRPr="001B7146" w:rsidRDefault="00686AEA" w:rsidP="00686AEA">
            <w:pPr>
              <w:rPr>
                <w:lang w:val="en-US" w:eastAsia="en-US"/>
              </w:rPr>
            </w:pPr>
            <w:r w:rsidRPr="001B7146">
              <w:rPr>
                <w:lang w:val="en-US" w:eastAsia="en-US"/>
              </w:rPr>
              <w:t>in health service delivery, consequently</w:t>
            </w:r>
          </w:p>
          <w:p w14:paraId="41C17235" w14:textId="77777777" w:rsidR="00686AEA" w:rsidRPr="001B7146" w:rsidRDefault="00686AEA" w:rsidP="00686AEA">
            <w:pPr>
              <w:rPr>
                <w:lang w:val="en-US" w:eastAsia="en-US"/>
              </w:rPr>
            </w:pPr>
            <w:r w:rsidRPr="001B7146">
              <w:rPr>
                <w:lang w:val="en-US" w:eastAsia="en-US"/>
              </w:rPr>
              <w:t>improving individual well-being, building</w:t>
            </w:r>
          </w:p>
          <w:p w14:paraId="354729EE" w14:textId="77777777" w:rsidR="00686AEA" w:rsidRPr="001B7146" w:rsidRDefault="00686AEA" w:rsidP="00686AEA">
            <w:pPr>
              <w:rPr>
                <w:lang w:val="en-US" w:eastAsia="en-US"/>
              </w:rPr>
            </w:pPr>
            <w:r w:rsidRPr="001B7146">
              <w:rPr>
                <w:lang w:val="en-US" w:eastAsia="en-US"/>
              </w:rPr>
              <w:t>emotional resilience, raising aspiration, and</w:t>
            </w:r>
          </w:p>
          <w:p w14:paraId="06205EAA" w14:textId="77777777" w:rsidR="00686AEA" w:rsidRPr="001B7146" w:rsidRDefault="00686AEA" w:rsidP="00686AEA">
            <w:pPr>
              <w:rPr>
                <w:lang w:val="en-US" w:eastAsia="en-US"/>
              </w:rPr>
            </w:pPr>
            <w:r w:rsidRPr="001B7146">
              <w:rPr>
                <w:lang w:val="en-US" w:eastAsia="en-US"/>
              </w:rPr>
              <w:lastRenderedPageBreak/>
              <w:t>strengthening community social cohesion</w:t>
            </w:r>
          </w:p>
          <w:p w14:paraId="32D3B69E" w14:textId="77777777" w:rsidR="00686AEA" w:rsidRPr="00F40ABE" w:rsidRDefault="00686AEA" w:rsidP="00686AEA">
            <w:pPr>
              <w:rPr>
                <w:lang w:val="en-US" w:eastAsia="en-US"/>
              </w:rPr>
            </w:pPr>
            <w:r w:rsidRPr="001B7146">
              <w:rPr>
                <w:lang w:val="en-US" w:eastAsia="en-US"/>
              </w:rPr>
              <w:t xml:space="preserve">towards mitigation of conflict drivers and </w:t>
            </w:r>
            <w:r w:rsidRPr="00F40ABE">
              <w:rPr>
                <w:lang w:val="en-US" w:eastAsia="en-US"/>
              </w:rPr>
              <w:t>empowerment of youth as peace builders</w:t>
            </w:r>
          </w:p>
          <w:p w14:paraId="345A245B" w14:textId="5B00B1C6" w:rsidR="00686AEA" w:rsidRPr="00627A1C" w:rsidRDefault="00686AEA" w:rsidP="00686AEA">
            <w:pPr>
              <w:rPr>
                <w:lang w:val="en-US" w:eastAsia="en-US"/>
              </w:rPr>
            </w:pPr>
            <w:r w:rsidRPr="00F40ABE">
              <w:rPr>
                <w:lang w:val="en-US" w:eastAsia="en-US"/>
              </w:rPr>
              <w:t>(</w:t>
            </w:r>
            <w:proofErr w:type="gramStart"/>
            <w:r w:rsidRPr="00F40ABE">
              <w:rPr>
                <w:lang w:val="en-US" w:eastAsia="en-US"/>
              </w:rPr>
              <w:t>change</w:t>
            </w:r>
            <w:proofErr w:type="gramEnd"/>
            <w:r w:rsidRPr="00F40ABE">
              <w:rPr>
                <w:lang w:val="en-US" w:eastAsia="en-US"/>
              </w:rPr>
              <w:t xml:space="preserve"> agents).</w:t>
            </w:r>
          </w:p>
        </w:tc>
        <w:tc>
          <w:tcPr>
            <w:tcW w:w="1984" w:type="dxa"/>
            <w:shd w:val="clear" w:color="auto" w:fill="EEECE1"/>
          </w:tcPr>
          <w:p w14:paraId="01317AB9" w14:textId="77777777" w:rsidR="00686AEA" w:rsidRPr="00D73EBC" w:rsidRDefault="00686AEA" w:rsidP="00686AEA">
            <w:pPr>
              <w:rPr>
                <w:rFonts w:ascii="Arial" w:eastAsia="Arial" w:hAnsi="Arial" w:cs="Arial"/>
                <w:sz w:val="16"/>
                <w:szCs w:val="16"/>
              </w:rPr>
            </w:pPr>
            <w:r w:rsidRPr="00D73EBC">
              <w:rPr>
                <w:rFonts w:ascii="Arial" w:eastAsia="Arial" w:hAnsi="Arial" w:cs="Arial"/>
                <w:sz w:val="16"/>
                <w:szCs w:val="16"/>
              </w:rPr>
              <w:lastRenderedPageBreak/>
              <w:t>Indicator 1.2.1</w:t>
            </w:r>
          </w:p>
          <w:p w14:paraId="5BC3B350" w14:textId="77777777" w:rsidR="00686AEA" w:rsidRPr="003D510B" w:rsidRDefault="00686AEA" w:rsidP="00686AEA">
            <w:pPr>
              <w:rPr>
                <w:rFonts w:ascii="Arial" w:eastAsia="Arial" w:hAnsi="Arial" w:cs="Arial"/>
                <w:sz w:val="16"/>
                <w:szCs w:val="16"/>
                <w:lang w:val="en-US"/>
              </w:rPr>
            </w:pPr>
            <w:r w:rsidRPr="00D73EBC">
              <w:rPr>
                <w:rFonts w:ascii="Arial" w:eastAsia="Arial" w:hAnsi="Arial" w:cs="Arial"/>
                <w:sz w:val="16"/>
                <w:szCs w:val="16"/>
              </w:rPr>
              <w:t xml:space="preserve"># </w:t>
            </w:r>
            <w:proofErr w:type="gramStart"/>
            <w:r w:rsidRPr="00D73EBC">
              <w:rPr>
                <w:rFonts w:ascii="Arial" w:eastAsia="Arial" w:hAnsi="Arial" w:cs="Arial"/>
                <w:sz w:val="16"/>
                <w:szCs w:val="16"/>
              </w:rPr>
              <w:t>of</w:t>
            </w:r>
            <w:proofErr w:type="gramEnd"/>
            <w:r w:rsidRPr="00D73EBC">
              <w:rPr>
                <w:rFonts w:ascii="Arial" w:eastAsia="Arial" w:hAnsi="Arial" w:cs="Arial"/>
                <w:sz w:val="16"/>
                <w:szCs w:val="16"/>
              </w:rPr>
              <w:t xml:space="preserve"> health workers and community stakeholders trained in PFA, CMR, GBV management, stigma reduction</w:t>
            </w:r>
            <w:r>
              <w:rPr>
                <w:rFonts w:ascii="Arial" w:eastAsia="Arial" w:hAnsi="Arial" w:cs="Arial"/>
                <w:sz w:val="16"/>
                <w:szCs w:val="16"/>
              </w:rPr>
              <w:t xml:space="preserve">, </w:t>
            </w:r>
            <w:r w:rsidRPr="003D510B">
              <w:rPr>
                <w:rFonts w:ascii="Arial" w:eastAsia="Arial" w:hAnsi="Arial" w:cs="Arial"/>
                <w:sz w:val="16"/>
                <w:szCs w:val="16"/>
                <w:lang w:val="en-US"/>
              </w:rPr>
              <w:t>Psychosocial Support (PSS)</w:t>
            </w:r>
          </w:p>
          <w:p w14:paraId="623DBF81" w14:textId="390C89FA" w:rsidR="00686AEA" w:rsidRPr="00627A1C" w:rsidRDefault="00686AEA" w:rsidP="00686AEA">
            <w:pPr>
              <w:rPr>
                <w:lang w:val="en-US" w:eastAsia="en-US"/>
              </w:rPr>
            </w:pPr>
            <w:r w:rsidRPr="003D510B">
              <w:rPr>
                <w:rFonts w:ascii="Arial" w:eastAsia="Arial" w:hAnsi="Arial" w:cs="Arial"/>
                <w:sz w:val="16"/>
                <w:szCs w:val="16"/>
                <w:lang w:val="en-US"/>
              </w:rPr>
              <w:t>skills</w:t>
            </w:r>
            <w:r w:rsidRPr="003D510B">
              <w:rPr>
                <w:rFonts w:ascii="Arial" w:eastAsia="Arial" w:hAnsi="Arial" w:cs="Arial"/>
                <w:sz w:val="16"/>
                <w:szCs w:val="16"/>
              </w:rPr>
              <w:t xml:space="preserve"> </w:t>
            </w:r>
            <w:r w:rsidRPr="00D73EBC">
              <w:rPr>
                <w:rFonts w:ascii="Arial" w:eastAsia="Arial" w:hAnsi="Arial" w:cs="Arial"/>
                <w:sz w:val="16"/>
                <w:szCs w:val="16"/>
              </w:rPr>
              <w:t>(disaggregated</w:t>
            </w:r>
            <w:r w:rsidRPr="00D73EBC">
              <w:rPr>
                <w:sz w:val="20"/>
                <w:szCs w:val="20"/>
                <w:lang w:val="en-US" w:eastAsia="en-US"/>
              </w:rPr>
              <w:t xml:space="preserve"> </w:t>
            </w:r>
            <w:r w:rsidRPr="00D73EBC">
              <w:rPr>
                <w:rFonts w:ascii="Arial" w:eastAsia="Arial" w:hAnsi="Arial" w:cs="Arial"/>
                <w:sz w:val="16"/>
                <w:szCs w:val="16"/>
              </w:rPr>
              <w:t>by age, gender, type/cadre of participant)</w:t>
            </w:r>
          </w:p>
        </w:tc>
        <w:tc>
          <w:tcPr>
            <w:tcW w:w="1418" w:type="dxa"/>
            <w:shd w:val="clear" w:color="auto" w:fill="EEECE1"/>
          </w:tcPr>
          <w:p w14:paraId="75E8AFD2" w14:textId="7BA935F5" w:rsidR="00686AEA" w:rsidRPr="00627A1C" w:rsidRDefault="00686AEA" w:rsidP="00686AEA">
            <w:r w:rsidRPr="00D73EBC">
              <w:rPr>
                <w:b/>
                <w:sz w:val="20"/>
                <w:szCs w:val="20"/>
                <w:lang w:val="en-US" w:eastAsia="en-US"/>
              </w:rPr>
              <w:fldChar w:fldCharType="begin">
                <w:ffData>
                  <w:name w:val=""/>
                  <w:enabled/>
                  <w:calcOnExit w:val="0"/>
                  <w:textInput>
                    <w:maxLength w:val="300"/>
                  </w:textInput>
                </w:ffData>
              </w:fldChar>
            </w:r>
            <w:r w:rsidRPr="00D73EBC">
              <w:rPr>
                <w:b/>
                <w:sz w:val="20"/>
                <w:szCs w:val="20"/>
                <w:lang w:val="en-US" w:eastAsia="en-US"/>
              </w:rPr>
              <w:instrText xml:space="preserve"> FORMTEXT </w:instrText>
            </w:r>
            <w:r w:rsidRPr="00D73EBC">
              <w:rPr>
                <w:b/>
                <w:sz w:val="20"/>
                <w:szCs w:val="20"/>
                <w:lang w:val="en-US" w:eastAsia="en-US"/>
              </w:rPr>
            </w:r>
            <w:r w:rsidRPr="00D73EBC">
              <w:rPr>
                <w:b/>
                <w:sz w:val="20"/>
                <w:szCs w:val="20"/>
                <w:lang w:val="en-US" w:eastAsia="en-US"/>
              </w:rPr>
              <w:fldChar w:fldCharType="separate"/>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sz w:val="20"/>
                <w:szCs w:val="20"/>
                <w:lang w:val="en-US" w:eastAsia="en-US"/>
              </w:rPr>
              <w:fldChar w:fldCharType="end"/>
            </w:r>
          </w:p>
        </w:tc>
        <w:tc>
          <w:tcPr>
            <w:tcW w:w="1559" w:type="dxa"/>
            <w:shd w:val="clear" w:color="auto" w:fill="EEECE1"/>
          </w:tcPr>
          <w:p w14:paraId="7AAE0F89" w14:textId="6D638E53" w:rsidR="00686AEA" w:rsidRPr="00627A1C" w:rsidRDefault="00686AEA" w:rsidP="00686AEA">
            <w:r w:rsidRPr="00D73EBC">
              <w:rPr>
                <w:bCs/>
                <w:sz w:val="20"/>
                <w:szCs w:val="20"/>
                <w:lang w:val="en-US" w:eastAsia="en-US"/>
              </w:rPr>
              <w:t>60</w:t>
            </w:r>
          </w:p>
        </w:tc>
        <w:tc>
          <w:tcPr>
            <w:tcW w:w="1276" w:type="dxa"/>
          </w:tcPr>
          <w:p w14:paraId="0296EB8A" w14:textId="0CEA9A67" w:rsidR="00686AEA" w:rsidRPr="00627A1C" w:rsidRDefault="00686AEA" w:rsidP="00686AEA">
            <w:pPr>
              <w:rPr>
                <w:b/>
                <w:lang w:val="en-US" w:eastAsia="en-US"/>
              </w:rPr>
            </w:pPr>
            <w:r w:rsidRPr="00265272">
              <w:rPr>
                <w:b/>
                <w:sz w:val="20"/>
                <w:szCs w:val="20"/>
                <w:lang w:val="en-US" w:eastAsia="en-US"/>
              </w:rPr>
              <w:t xml:space="preserve">54 health workers in </w:t>
            </w:r>
            <w:proofErr w:type="spellStart"/>
            <w:r w:rsidRPr="00265272">
              <w:rPr>
                <w:b/>
                <w:sz w:val="20"/>
                <w:szCs w:val="20"/>
                <w:lang w:val="en-US" w:eastAsia="en-US"/>
              </w:rPr>
              <w:t>Dollow</w:t>
            </w:r>
            <w:proofErr w:type="spellEnd"/>
            <w:r w:rsidRPr="00265272">
              <w:rPr>
                <w:b/>
                <w:sz w:val="20"/>
                <w:szCs w:val="20"/>
                <w:lang w:val="en-US" w:eastAsia="en-US"/>
              </w:rPr>
              <w:t xml:space="preserve"> (2 females; 5 males), Kismayo (6 females; 15 males) and Baidoa (14 females; 12 males)</w:t>
            </w:r>
          </w:p>
        </w:tc>
        <w:tc>
          <w:tcPr>
            <w:tcW w:w="1276" w:type="dxa"/>
          </w:tcPr>
          <w:p w14:paraId="72D6CED8" w14:textId="5D501E45" w:rsidR="00686AEA" w:rsidRPr="00627A1C" w:rsidRDefault="00686AEA" w:rsidP="00686AEA">
            <w:r>
              <w:rPr>
                <w:b/>
                <w:sz w:val="20"/>
                <w:szCs w:val="20"/>
                <w:lang w:val="en-US" w:eastAsia="en-US"/>
              </w:rPr>
              <w:t>90%</w:t>
            </w:r>
          </w:p>
        </w:tc>
        <w:tc>
          <w:tcPr>
            <w:tcW w:w="5465" w:type="dxa"/>
          </w:tcPr>
          <w:p w14:paraId="308DA541" w14:textId="77777777" w:rsidR="000F2632" w:rsidRDefault="00FB614E" w:rsidP="00686AEA">
            <w:pPr>
              <w:rPr>
                <w:bCs/>
                <w:sz w:val="20"/>
                <w:szCs w:val="20"/>
                <w:lang w:val="en-US" w:eastAsia="en-US"/>
              </w:rPr>
            </w:pPr>
            <w:r>
              <w:rPr>
                <w:bCs/>
                <w:sz w:val="20"/>
                <w:szCs w:val="20"/>
                <w:lang w:val="en-US" w:eastAsia="en-US"/>
              </w:rPr>
              <w:t xml:space="preserve">Trainings took place on 10 May and </w:t>
            </w:r>
            <w:r w:rsidR="000F2632">
              <w:rPr>
                <w:bCs/>
                <w:sz w:val="20"/>
                <w:szCs w:val="20"/>
                <w:lang w:val="en-US" w:eastAsia="en-US"/>
              </w:rPr>
              <w:t>18 June.</w:t>
            </w:r>
            <w:r>
              <w:rPr>
                <w:bCs/>
                <w:sz w:val="20"/>
                <w:szCs w:val="20"/>
                <w:lang w:val="en-US" w:eastAsia="en-US"/>
              </w:rPr>
              <w:t xml:space="preserve"> </w:t>
            </w:r>
          </w:p>
          <w:p w14:paraId="35CA19C6" w14:textId="18970F03" w:rsidR="00686AEA" w:rsidRPr="005D314E" w:rsidRDefault="00686AEA" w:rsidP="00686AEA">
            <w:pPr>
              <w:rPr>
                <w:bCs/>
              </w:rPr>
            </w:pPr>
            <w:r>
              <w:rPr>
                <w:bCs/>
                <w:sz w:val="20"/>
                <w:szCs w:val="20"/>
                <w:lang w:val="en-US" w:eastAsia="en-US"/>
              </w:rPr>
              <w:t xml:space="preserve">A refresher course is scheduled in the month of June 2021 for health workers.  </w:t>
            </w:r>
            <w:r w:rsidRPr="00D73EBC">
              <w:rPr>
                <w:bCs/>
                <w:sz w:val="20"/>
                <w:szCs w:val="20"/>
                <w:lang w:val="en-US" w:eastAsia="en-US"/>
              </w:rPr>
              <w:t xml:space="preserve">The next batch of trainings will also cover community </w:t>
            </w:r>
            <w:r>
              <w:rPr>
                <w:bCs/>
                <w:sz w:val="20"/>
                <w:szCs w:val="20"/>
                <w:lang w:val="en-US" w:eastAsia="en-US"/>
              </w:rPr>
              <w:t xml:space="preserve">leaders </w:t>
            </w:r>
            <w:r w:rsidRPr="00D73EBC">
              <w:rPr>
                <w:bCs/>
                <w:sz w:val="20"/>
                <w:szCs w:val="20"/>
                <w:lang w:val="en-US" w:eastAsia="en-US"/>
              </w:rPr>
              <w:t xml:space="preserve">and other key </w:t>
            </w:r>
            <w:r>
              <w:rPr>
                <w:bCs/>
                <w:sz w:val="20"/>
                <w:szCs w:val="20"/>
                <w:lang w:val="en-US" w:eastAsia="en-US"/>
              </w:rPr>
              <w:t xml:space="preserve">GBV/PSS </w:t>
            </w:r>
            <w:r w:rsidRPr="00D73EBC">
              <w:rPr>
                <w:bCs/>
                <w:sz w:val="20"/>
                <w:szCs w:val="20"/>
                <w:lang w:val="en-US" w:eastAsia="en-US"/>
              </w:rPr>
              <w:t>actors.</w:t>
            </w:r>
          </w:p>
        </w:tc>
      </w:tr>
      <w:tr w:rsidR="00686AEA" w:rsidRPr="00627A1C" w14:paraId="42225A9B" w14:textId="77777777" w:rsidTr="007D5E0B">
        <w:trPr>
          <w:trHeight w:val="467"/>
        </w:trPr>
        <w:tc>
          <w:tcPr>
            <w:tcW w:w="2142" w:type="dxa"/>
            <w:vMerge/>
          </w:tcPr>
          <w:p w14:paraId="6185BD57" w14:textId="77777777" w:rsidR="00686AEA" w:rsidRPr="00627A1C" w:rsidRDefault="00686AEA" w:rsidP="00686AEA">
            <w:pPr>
              <w:rPr>
                <w:b/>
                <w:lang w:val="en-US" w:eastAsia="en-US"/>
              </w:rPr>
            </w:pPr>
          </w:p>
        </w:tc>
        <w:tc>
          <w:tcPr>
            <w:tcW w:w="1984" w:type="dxa"/>
            <w:shd w:val="clear" w:color="auto" w:fill="EEECE1"/>
          </w:tcPr>
          <w:p w14:paraId="62BD907D" w14:textId="77777777" w:rsidR="00686AEA" w:rsidRPr="00D73EBC" w:rsidRDefault="00686AEA" w:rsidP="00686AEA">
            <w:pPr>
              <w:rPr>
                <w:rFonts w:ascii="Arial" w:eastAsia="Arial" w:hAnsi="Arial" w:cs="Arial"/>
                <w:sz w:val="16"/>
                <w:szCs w:val="16"/>
              </w:rPr>
            </w:pPr>
            <w:r w:rsidRPr="00D73EBC">
              <w:rPr>
                <w:rFonts w:ascii="Arial" w:eastAsia="Arial" w:hAnsi="Arial" w:cs="Arial"/>
                <w:sz w:val="16"/>
                <w:szCs w:val="16"/>
              </w:rPr>
              <w:t>Indicator 1.2.2</w:t>
            </w:r>
          </w:p>
          <w:p w14:paraId="1D5CFC1B" w14:textId="74A1E0F1" w:rsidR="00686AEA" w:rsidRPr="00D73EBC" w:rsidRDefault="00686AEA" w:rsidP="00686AEA">
            <w:pPr>
              <w:jc w:val="both"/>
              <w:rPr>
                <w:rFonts w:ascii="Arial" w:eastAsia="Arial" w:hAnsi="Arial" w:cs="Arial"/>
                <w:sz w:val="16"/>
                <w:szCs w:val="16"/>
              </w:rPr>
            </w:pPr>
            <w:r w:rsidRPr="00D73EBC">
              <w:rPr>
                <w:rFonts w:ascii="Arial" w:eastAsia="Arial" w:hAnsi="Arial" w:cs="Arial"/>
                <w:sz w:val="16"/>
                <w:szCs w:val="16"/>
              </w:rPr>
              <w:t xml:space="preserve"># </w:t>
            </w:r>
            <w:proofErr w:type="gramStart"/>
            <w:r w:rsidRPr="00D73EBC">
              <w:rPr>
                <w:rFonts w:ascii="Arial" w:eastAsia="Arial" w:hAnsi="Arial" w:cs="Arial"/>
                <w:sz w:val="16"/>
                <w:szCs w:val="16"/>
              </w:rPr>
              <w:t>of</w:t>
            </w:r>
            <w:proofErr w:type="gramEnd"/>
            <w:r w:rsidRPr="00D73EBC">
              <w:rPr>
                <w:rFonts w:ascii="Arial" w:eastAsia="Arial" w:hAnsi="Arial" w:cs="Arial"/>
                <w:sz w:val="16"/>
                <w:szCs w:val="16"/>
              </w:rPr>
              <w:t xml:space="preserve"> GBV survivors from 3 IDP settlements/</w:t>
            </w:r>
            <w:r>
              <w:rPr>
                <w:rFonts w:ascii="Arial" w:eastAsia="Arial" w:hAnsi="Arial" w:cs="Arial"/>
                <w:sz w:val="16"/>
                <w:szCs w:val="16"/>
              </w:rPr>
              <w:t xml:space="preserve"> </w:t>
            </w:r>
            <w:r w:rsidRPr="00D73EBC">
              <w:rPr>
                <w:rFonts w:ascii="Arial" w:eastAsia="Arial" w:hAnsi="Arial" w:cs="Arial"/>
                <w:sz w:val="16"/>
                <w:szCs w:val="16"/>
              </w:rPr>
              <w:t>facilities identified and referred for PSS and/or medical and</w:t>
            </w:r>
            <w:r>
              <w:rPr>
                <w:rFonts w:ascii="Arial" w:eastAsia="Arial" w:hAnsi="Arial" w:cs="Arial"/>
                <w:sz w:val="16"/>
                <w:szCs w:val="16"/>
              </w:rPr>
              <w:t xml:space="preserve"> </w:t>
            </w:r>
            <w:r w:rsidRPr="00D73EBC">
              <w:rPr>
                <w:rFonts w:ascii="Arial" w:eastAsia="Arial" w:hAnsi="Arial" w:cs="Arial"/>
                <w:sz w:val="16"/>
                <w:szCs w:val="16"/>
              </w:rPr>
              <w:t>/</w:t>
            </w:r>
            <w:r>
              <w:rPr>
                <w:rFonts w:ascii="Arial" w:eastAsia="Arial" w:hAnsi="Arial" w:cs="Arial"/>
                <w:sz w:val="16"/>
                <w:szCs w:val="16"/>
              </w:rPr>
              <w:t xml:space="preserve"> </w:t>
            </w:r>
            <w:r w:rsidRPr="00D73EBC">
              <w:rPr>
                <w:rFonts w:ascii="Arial" w:eastAsia="Arial" w:hAnsi="Arial" w:cs="Arial"/>
                <w:sz w:val="16"/>
                <w:szCs w:val="16"/>
              </w:rPr>
              <w:t>or protection services disaggregated by youth versus non-youth; gender; types of services referred for; point of identification</w:t>
            </w:r>
          </w:p>
        </w:tc>
        <w:tc>
          <w:tcPr>
            <w:tcW w:w="1418" w:type="dxa"/>
            <w:shd w:val="clear" w:color="auto" w:fill="EEECE1"/>
          </w:tcPr>
          <w:p w14:paraId="1340527B" w14:textId="2E6A2AF2" w:rsidR="00686AEA" w:rsidRPr="006D3E2D" w:rsidRDefault="00686AEA" w:rsidP="00686AEA">
            <w:r w:rsidRPr="00D73EBC">
              <w:rPr>
                <w:b/>
                <w:sz w:val="20"/>
                <w:szCs w:val="20"/>
                <w:lang w:val="en-US" w:eastAsia="en-US"/>
              </w:rPr>
              <w:fldChar w:fldCharType="begin">
                <w:ffData>
                  <w:name w:val=""/>
                  <w:enabled/>
                  <w:calcOnExit w:val="0"/>
                  <w:textInput>
                    <w:maxLength w:val="300"/>
                  </w:textInput>
                </w:ffData>
              </w:fldChar>
            </w:r>
            <w:r w:rsidRPr="00D73EBC">
              <w:rPr>
                <w:b/>
                <w:sz w:val="20"/>
                <w:szCs w:val="20"/>
                <w:lang w:val="en-US" w:eastAsia="en-US"/>
              </w:rPr>
              <w:instrText xml:space="preserve"> FORMTEXT </w:instrText>
            </w:r>
            <w:r w:rsidRPr="00D73EBC">
              <w:rPr>
                <w:b/>
                <w:sz w:val="20"/>
                <w:szCs w:val="20"/>
                <w:lang w:val="en-US" w:eastAsia="en-US"/>
              </w:rPr>
            </w:r>
            <w:r w:rsidRPr="00D73EBC">
              <w:rPr>
                <w:b/>
                <w:sz w:val="20"/>
                <w:szCs w:val="20"/>
                <w:lang w:val="en-US" w:eastAsia="en-US"/>
              </w:rPr>
              <w:fldChar w:fldCharType="separate"/>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sz w:val="20"/>
                <w:szCs w:val="20"/>
                <w:lang w:val="en-US" w:eastAsia="en-US"/>
              </w:rPr>
              <w:fldChar w:fldCharType="end"/>
            </w:r>
          </w:p>
        </w:tc>
        <w:tc>
          <w:tcPr>
            <w:tcW w:w="1559" w:type="dxa"/>
            <w:shd w:val="clear" w:color="auto" w:fill="EEECE1"/>
          </w:tcPr>
          <w:p w14:paraId="25A8F4C7" w14:textId="6AE94C1B" w:rsidR="00686AEA" w:rsidRPr="006D3E2D" w:rsidRDefault="00686AEA" w:rsidP="00686AEA">
            <w:r w:rsidRPr="00D73EBC">
              <w:rPr>
                <w:bCs/>
                <w:sz w:val="20"/>
                <w:szCs w:val="20"/>
                <w:lang w:val="en-US" w:eastAsia="en-US"/>
              </w:rPr>
              <w:t>288</w:t>
            </w:r>
          </w:p>
        </w:tc>
        <w:tc>
          <w:tcPr>
            <w:tcW w:w="1276" w:type="dxa"/>
          </w:tcPr>
          <w:p w14:paraId="5DC343B1" w14:textId="5A29EE97" w:rsidR="00686AEA" w:rsidRPr="006D3E2D" w:rsidRDefault="00686AEA" w:rsidP="00686AEA">
            <w:pPr>
              <w:rPr>
                <w:b/>
                <w:lang w:val="en-US" w:eastAsia="en-US"/>
              </w:rPr>
            </w:pPr>
            <w:r>
              <w:rPr>
                <w:b/>
                <w:sz w:val="20"/>
                <w:szCs w:val="20"/>
                <w:lang w:val="en-US" w:eastAsia="en-US"/>
              </w:rPr>
              <w:t>5</w:t>
            </w:r>
          </w:p>
        </w:tc>
        <w:tc>
          <w:tcPr>
            <w:tcW w:w="1276" w:type="dxa"/>
          </w:tcPr>
          <w:p w14:paraId="2708CF7E" w14:textId="11159CCF" w:rsidR="00686AEA" w:rsidRPr="006D3E2D" w:rsidRDefault="00686AEA" w:rsidP="00686AEA">
            <w:r>
              <w:rPr>
                <w:b/>
                <w:sz w:val="20"/>
                <w:szCs w:val="20"/>
                <w:lang w:val="en-US" w:eastAsia="en-US"/>
              </w:rPr>
              <w:t>2</w:t>
            </w:r>
            <w:r w:rsidRPr="00D73EBC">
              <w:rPr>
                <w:b/>
                <w:sz w:val="20"/>
                <w:szCs w:val="20"/>
                <w:lang w:val="en-US" w:eastAsia="en-US"/>
              </w:rPr>
              <w:t>%</w:t>
            </w:r>
            <w:r w:rsidRPr="00D73EBC">
              <w:rPr>
                <w:b/>
                <w:sz w:val="20"/>
                <w:szCs w:val="20"/>
                <w:lang w:val="en-US" w:eastAsia="en-US"/>
              </w:rPr>
              <w:fldChar w:fldCharType="begin">
                <w:ffData>
                  <w:name w:val=""/>
                  <w:enabled/>
                  <w:calcOnExit w:val="0"/>
                  <w:textInput>
                    <w:maxLength w:val="300"/>
                  </w:textInput>
                </w:ffData>
              </w:fldChar>
            </w:r>
            <w:r w:rsidRPr="00D73EBC">
              <w:rPr>
                <w:b/>
                <w:sz w:val="20"/>
                <w:szCs w:val="20"/>
                <w:lang w:val="en-US" w:eastAsia="en-US"/>
              </w:rPr>
              <w:instrText xml:space="preserve"> FORMTEXT </w:instrText>
            </w:r>
            <w:r w:rsidRPr="00D73EBC">
              <w:rPr>
                <w:b/>
                <w:sz w:val="20"/>
                <w:szCs w:val="20"/>
                <w:lang w:val="en-US" w:eastAsia="en-US"/>
              </w:rPr>
            </w:r>
            <w:r w:rsidRPr="00D73EBC">
              <w:rPr>
                <w:b/>
                <w:sz w:val="20"/>
                <w:szCs w:val="20"/>
                <w:lang w:val="en-US" w:eastAsia="en-US"/>
              </w:rPr>
              <w:fldChar w:fldCharType="separate"/>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noProof/>
                <w:sz w:val="20"/>
                <w:szCs w:val="20"/>
                <w:lang w:val="en-US" w:eastAsia="en-US"/>
              </w:rPr>
              <w:t> </w:t>
            </w:r>
            <w:r w:rsidRPr="00D73EBC">
              <w:rPr>
                <w:b/>
                <w:sz w:val="20"/>
                <w:szCs w:val="20"/>
                <w:lang w:val="en-US" w:eastAsia="en-US"/>
              </w:rPr>
              <w:fldChar w:fldCharType="end"/>
            </w:r>
          </w:p>
        </w:tc>
        <w:tc>
          <w:tcPr>
            <w:tcW w:w="5465" w:type="dxa"/>
          </w:tcPr>
          <w:p w14:paraId="180CE7B9" w14:textId="6C02061C" w:rsidR="00686AEA" w:rsidRPr="006D3E2D" w:rsidRDefault="00686AEA" w:rsidP="00686AEA">
            <w:r>
              <w:rPr>
                <w:bCs/>
                <w:sz w:val="20"/>
                <w:szCs w:val="20"/>
                <w:lang w:val="en-US" w:eastAsia="en-US"/>
              </w:rPr>
              <w:t xml:space="preserve">During the meetings with GBV actors (April and May 2021), there </w:t>
            </w:r>
            <w:r w:rsidR="00014FEF">
              <w:rPr>
                <w:bCs/>
                <w:sz w:val="20"/>
                <w:szCs w:val="20"/>
                <w:lang w:val="en-US" w:eastAsia="en-US"/>
              </w:rPr>
              <w:t>was</w:t>
            </w:r>
            <w:r>
              <w:rPr>
                <w:bCs/>
                <w:sz w:val="20"/>
                <w:szCs w:val="20"/>
                <w:lang w:val="en-US" w:eastAsia="en-US"/>
              </w:rPr>
              <w:t xml:space="preserve"> high underreporting of GBV cases in health facilities and slower referrals to GBV specialized services. Upcoming workshop </w:t>
            </w:r>
            <w:r w:rsidR="00822426">
              <w:rPr>
                <w:bCs/>
                <w:sz w:val="20"/>
                <w:szCs w:val="20"/>
                <w:lang w:val="en-US" w:eastAsia="en-US"/>
              </w:rPr>
              <w:t xml:space="preserve">will be organized </w:t>
            </w:r>
            <w:r>
              <w:rPr>
                <w:bCs/>
                <w:sz w:val="20"/>
                <w:szCs w:val="20"/>
                <w:lang w:val="en-US" w:eastAsia="en-US"/>
              </w:rPr>
              <w:t xml:space="preserve">with GBV/PSS actors </w:t>
            </w:r>
            <w:r w:rsidR="00822426">
              <w:rPr>
                <w:bCs/>
                <w:sz w:val="20"/>
                <w:szCs w:val="20"/>
                <w:lang w:val="en-US" w:eastAsia="en-US"/>
              </w:rPr>
              <w:t>i</w:t>
            </w:r>
            <w:r>
              <w:rPr>
                <w:bCs/>
                <w:sz w:val="20"/>
                <w:szCs w:val="20"/>
                <w:lang w:val="en-US" w:eastAsia="en-US"/>
              </w:rPr>
              <w:t>n June 2021 to</w:t>
            </w:r>
            <w:r w:rsidRPr="00D73EBC">
              <w:rPr>
                <w:bCs/>
                <w:sz w:val="20"/>
                <w:szCs w:val="20"/>
                <w:lang w:val="en-US" w:eastAsia="en-US"/>
              </w:rPr>
              <w:t xml:space="preserve"> ensure that MHPSS resources are carefully mapped and included in the referral pathways of each service sector.</w:t>
            </w:r>
            <w:r>
              <w:rPr>
                <w:bCs/>
                <w:sz w:val="20"/>
                <w:szCs w:val="20"/>
                <w:lang w:val="en-US" w:eastAsia="en-US"/>
              </w:rPr>
              <w:t xml:space="preserve"> The MHPSS teams will start working with GBV actors on June 2021 to increase the inter-referral of GBV survivors to MHPSS services in Baidoa, </w:t>
            </w:r>
            <w:proofErr w:type="spellStart"/>
            <w:r>
              <w:rPr>
                <w:bCs/>
                <w:sz w:val="20"/>
                <w:szCs w:val="20"/>
                <w:lang w:val="en-US" w:eastAsia="en-US"/>
              </w:rPr>
              <w:t>Dollow</w:t>
            </w:r>
            <w:proofErr w:type="spellEnd"/>
            <w:r>
              <w:rPr>
                <w:bCs/>
                <w:sz w:val="20"/>
                <w:szCs w:val="20"/>
                <w:lang w:val="en-US" w:eastAsia="en-US"/>
              </w:rPr>
              <w:t>, Kismayo.</w:t>
            </w:r>
          </w:p>
        </w:tc>
      </w:tr>
      <w:tr w:rsidR="00686AEA" w:rsidRPr="00627A1C" w14:paraId="487B73AB" w14:textId="77777777" w:rsidTr="007D5E0B">
        <w:trPr>
          <w:trHeight w:val="467"/>
        </w:trPr>
        <w:tc>
          <w:tcPr>
            <w:tcW w:w="2142" w:type="dxa"/>
            <w:vMerge/>
          </w:tcPr>
          <w:p w14:paraId="3AFAC134" w14:textId="77777777" w:rsidR="00686AEA" w:rsidRPr="00627A1C" w:rsidRDefault="00686AEA" w:rsidP="00686AEA">
            <w:pPr>
              <w:rPr>
                <w:b/>
                <w:lang w:val="en-US" w:eastAsia="en-US"/>
              </w:rPr>
            </w:pPr>
          </w:p>
        </w:tc>
        <w:tc>
          <w:tcPr>
            <w:tcW w:w="1984" w:type="dxa"/>
            <w:shd w:val="clear" w:color="auto" w:fill="EEECE1"/>
          </w:tcPr>
          <w:p w14:paraId="40D2BA03" w14:textId="77777777" w:rsidR="00686AEA" w:rsidRDefault="00686AEA" w:rsidP="00686AEA">
            <w:pPr>
              <w:jc w:val="both"/>
              <w:rPr>
                <w:rFonts w:ascii="Arial" w:eastAsia="Arial" w:hAnsi="Arial" w:cs="Arial"/>
                <w:sz w:val="16"/>
                <w:szCs w:val="16"/>
              </w:rPr>
            </w:pPr>
            <w:r w:rsidRPr="00837D2A">
              <w:rPr>
                <w:rFonts w:ascii="Arial" w:eastAsia="Arial" w:hAnsi="Arial" w:cs="Arial"/>
                <w:sz w:val="16"/>
                <w:szCs w:val="16"/>
              </w:rPr>
              <w:t xml:space="preserve">Indicator </w:t>
            </w:r>
            <w:r w:rsidRPr="00D73EBC">
              <w:rPr>
                <w:rFonts w:ascii="Arial" w:eastAsia="Arial" w:hAnsi="Arial" w:cs="Arial"/>
                <w:sz w:val="16"/>
                <w:szCs w:val="16"/>
              </w:rPr>
              <w:t xml:space="preserve">1.2.3: </w:t>
            </w:r>
          </w:p>
          <w:p w14:paraId="7AF38EFC" w14:textId="77777777" w:rsidR="00686AEA" w:rsidRDefault="00686AEA" w:rsidP="00686AEA">
            <w:pPr>
              <w:jc w:val="both"/>
              <w:rPr>
                <w:rFonts w:ascii="Arial" w:eastAsia="Arial" w:hAnsi="Arial" w:cs="Arial"/>
                <w:sz w:val="16"/>
                <w:szCs w:val="16"/>
              </w:rPr>
            </w:pPr>
            <w:r w:rsidRPr="00D73EBC">
              <w:rPr>
                <w:rFonts w:ascii="Arial" w:eastAsia="Arial" w:hAnsi="Arial" w:cs="Arial"/>
                <w:sz w:val="16"/>
                <w:szCs w:val="16"/>
              </w:rPr>
              <w:t xml:space="preserve"># </w:t>
            </w:r>
            <w:proofErr w:type="gramStart"/>
            <w:r w:rsidRPr="00D73EBC">
              <w:rPr>
                <w:rFonts w:ascii="Arial" w:eastAsia="Arial" w:hAnsi="Arial" w:cs="Arial"/>
                <w:sz w:val="16"/>
                <w:szCs w:val="16"/>
              </w:rPr>
              <w:t>of</w:t>
            </w:r>
            <w:proofErr w:type="gramEnd"/>
            <w:r w:rsidRPr="00D73EBC">
              <w:rPr>
                <w:rFonts w:ascii="Arial" w:eastAsia="Arial" w:hAnsi="Arial" w:cs="Arial"/>
                <w:sz w:val="16"/>
                <w:szCs w:val="16"/>
              </w:rPr>
              <w:t xml:space="preserve"> </w:t>
            </w:r>
            <w:r>
              <w:rPr>
                <w:rFonts w:ascii="Arial" w:eastAsia="Arial" w:hAnsi="Arial" w:cs="Arial"/>
                <w:sz w:val="16"/>
                <w:szCs w:val="16"/>
              </w:rPr>
              <w:t xml:space="preserve">community-based </w:t>
            </w:r>
            <w:r w:rsidRPr="00D73EBC">
              <w:rPr>
                <w:rFonts w:ascii="Arial" w:eastAsia="Arial" w:hAnsi="Arial" w:cs="Arial"/>
                <w:sz w:val="16"/>
                <w:szCs w:val="16"/>
              </w:rPr>
              <w:t>counsellors trained, and # of counselling sessions conducted</w:t>
            </w:r>
          </w:p>
          <w:p w14:paraId="56CA8957" w14:textId="77777777" w:rsidR="00686AEA" w:rsidRPr="00E34A53" w:rsidRDefault="00686AEA" w:rsidP="00686AEA">
            <w:pPr>
              <w:jc w:val="both"/>
              <w:rPr>
                <w:rFonts w:ascii="Arial" w:eastAsia="Arial" w:hAnsi="Arial" w:cs="Arial"/>
                <w:sz w:val="16"/>
                <w:szCs w:val="16"/>
                <w:lang w:val="en-US"/>
              </w:rPr>
            </w:pPr>
            <w:r w:rsidRPr="00E34A53">
              <w:rPr>
                <w:rFonts w:ascii="Arial" w:eastAsia="Arial" w:hAnsi="Arial" w:cs="Arial"/>
                <w:sz w:val="16"/>
                <w:szCs w:val="16"/>
                <w:lang w:val="en-US"/>
              </w:rPr>
              <w:t>disaggregated by Youth versus</w:t>
            </w:r>
          </w:p>
          <w:p w14:paraId="3303B436" w14:textId="77777777" w:rsidR="00686AEA" w:rsidRPr="00E34A53" w:rsidRDefault="00686AEA" w:rsidP="00686AEA">
            <w:pPr>
              <w:jc w:val="both"/>
              <w:rPr>
                <w:rFonts w:ascii="Arial" w:eastAsia="Arial" w:hAnsi="Arial" w:cs="Arial"/>
                <w:sz w:val="16"/>
                <w:szCs w:val="16"/>
                <w:lang w:val="en-US"/>
              </w:rPr>
            </w:pPr>
            <w:r w:rsidRPr="00E34A53">
              <w:rPr>
                <w:rFonts w:ascii="Arial" w:eastAsia="Arial" w:hAnsi="Arial" w:cs="Arial"/>
                <w:sz w:val="16"/>
                <w:szCs w:val="16"/>
                <w:lang w:val="en-US"/>
              </w:rPr>
              <w:lastRenderedPageBreak/>
              <w:t>Non-Youth; Age; Gender; and facility-based</w:t>
            </w:r>
          </w:p>
          <w:p w14:paraId="6F36E1EC" w14:textId="30253AC8" w:rsidR="00686AEA" w:rsidRPr="00D73EBC" w:rsidRDefault="00686AEA" w:rsidP="00686AEA">
            <w:pPr>
              <w:jc w:val="both"/>
              <w:rPr>
                <w:rFonts w:ascii="Arial" w:eastAsia="Arial" w:hAnsi="Arial" w:cs="Arial"/>
                <w:sz w:val="16"/>
                <w:szCs w:val="16"/>
              </w:rPr>
            </w:pPr>
            <w:r w:rsidRPr="00E34A53">
              <w:rPr>
                <w:rFonts w:ascii="Arial" w:eastAsia="Arial" w:hAnsi="Arial" w:cs="Arial"/>
                <w:sz w:val="16"/>
                <w:szCs w:val="16"/>
                <w:lang w:val="en-US"/>
              </w:rPr>
              <w:t>versus community based</w:t>
            </w:r>
          </w:p>
        </w:tc>
        <w:tc>
          <w:tcPr>
            <w:tcW w:w="1418" w:type="dxa"/>
            <w:shd w:val="clear" w:color="auto" w:fill="EEECE1"/>
          </w:tcPr>
          <w:p w14:paraId="78C19AF5" w14:textId="77777777" w:rsidR="00686AEA" w:rsidRPr="00D73EBC" w:rsidRDefault="00686AEA" w:rsidP="00686AEA">
            <w:pPr>
              <w:rPr>
                <w:sz w:val="20"/>
                <w:szCs w:val="20"/>
                <w:lang w:val="en-US" w:eastAsia="en-US"/>
              </w:rPr>
            </w:pPr>
            <w:r w:rsidRPr="00D73EBC">
              <w:rPr>
                <w:sz w:val="20"/>
                <w:szCs w:val="20"/>
                <w:lang w:val="en-US" w:eastAsia="en-US"/>
              </w:rPr>
              <w:lastRenderedPageBreak/>
              <w:t xml:space="preserve"># </w:t>
            </w:r>
            <w:proofErr w:type="gramStart"/>
            <w:r w:rsidRPr="00D73EBC">
              <w:rPr>
                <w:sz w:val="20"/>
                <w:szCs w:val="20"/>
                <w:lang w:val="en-US" w:eastAsia="en-US"/>
              </w:rPr>
              <w:t>of</w:t>
            </w:r>
            <w:proofErr w:type="gramEnd"/>
            <w:r w:rsidRPr="00D73EBC">
              <w:rPr>
                <w:sz w:val="20"/>
                <w:szCs w:val="20"/>
                <w:lang w:val="en-US" w:eastAsia="en-US"/>
              </w:rPr>
              <w:t xml:space="preserve"> counsellors trained: </w:t>
            </w:r>
            <w:r>
              <w:rPr>
                <w:sz w:val="20"/>
                <w:szCs w:val="20"/>
                <w:lang w:val="en-US" w:eastAsia="en-US"/>
              </w:rPr>
              <w:t>0</w:t>
            </w:r>
          </w:p>
          <w:p w14:paraId="27861CF6" w14:textId="3662A4C9" w:rsidR="00686AEA" w:rsidRPr="006D3E2D" w:rsidRDefault="00686AEA" w:rsidP="00686AEA">
            <w:pPr>
              <w:rPr>
                <w:b/>
                <w:lang w:val="en-US" w:eastAsia="en-US"/>
              </w:rPr>
            </w:pPr>
            <w:r w:rsidRPr="00D73EBC">
              <w:rPr>
                <w:sz w:val="20"/>
                <w:szCs w:val="20"/>
                <w:lang w:val="en-US" w:eastAsia="en-US"/>
              </w:rPr>
              <w:t xml:space="preserve"># </w:t>
            </w:r>
            <w:proofErr w:type="gramStart"/>
            <w:r w:rsidRPr="00D73EBC">
              <w:rPr>
                <w:sz w:val="20"/>
                <w:szCs w:val="20"/>
                <w:lang w:val="en-US" w:eastAsia="en-US"/>
              </w:rPr>
              <w:t>of</w:t>
            </w:r>
            <w:proofErr w:type="gramEnd"/>
            <w:r w:rsidRPr="00D73EBC">
              <w:rPr>
                <w:sz w:val="20"/>
                <w:szCs w:val="20"/>
                <w:lang w:val="en-US" w:eastAsia="en-US"/>
              </w:rPr>
              <w:t xml:space="preserve"> counselling sessions: </w:t>
            </w:r>
            <w:r>
              <w:rPr>
                <w:sz w:val="20"/>
                <w:szCs w:val="20"/>
                <w:lang w:val="en-US" w:eastAsia="en-US"/>
              </w:rPr>
              <w:t>0</w:t>
            </w:r>
          </w:p>
        </w:tc>
        <w:tc>
          <w:tcPr>
            <w:tcW w:w="1559" w:type="dxa"/>
            <w:shd w:val="clear" w:color="auto" w:fill="EEECE1"/>
          </w:tcPr>
          <w:p w14:paraId="3D8820F0" w14:textId="77777777" w:rsidR="00686AEA" w:rsidRPr="00D73EBC" w:rsidRDefault="00686AEA" w:rsidP="00686AEA">
            <w:pPr>
              <w:rPr>
                <w:sz w:val="20"/>
                <w:szCs w:val="20"/>
                <w:lang w:val="en-US" w:eastAsia="en-US"/>
              </w:rPr>
            </w:pPr>
            <w:r w:rsidRPr="00D73EBC">
              <w:rPr>
                <w:sz w:val="20"/>
                <w:szCs w:val="20"/>
                <w:lang w:val="en-US" w:eastAsia="en-US"/>
              </w:rPr>
              <w:t xml:space="preserve"># </w:t>
            </w:r>
            <w:proofErr w:type="gramStart"/>
            <w:r w:rsidRPr="00D73EBC">
              <w:rPr>
                <w:sz w:val="20"/>
                <w:szCs w:val="20"/>
                <w:lang w:val="en-US" w:eastAsia="en-US"/>
              </w:rPr>
              <w:t>of</w:t>
            </w:r>
            <w:proofErr w:type="gramEnd"/>
            <w:r w:rsidRPr="00D73EBC">
              <w:rPr>
                <w:sz w:val="20"/>
                <w:szCs w:val="20"/>
                <w:lang w:val="en-US" w:eastAsia="en-US"/>
              </w:rPr>
              <w:t xml:space="preserve"> counsellors trained: 30</w:t>
            </w:r>
          </w:p>
          <w:p w14:paraId="4A85CE1A" w14:textId="2A6475AD" w:rsidR="00686AEA" w:rsidRPr="006D3E2D" w:rsidRDefault="00686AEA" w:rsidP="00686AEA">
            <w:pPr>
              <w:rPr>
                <w:b/>
                <w:lang w:val="en-US" w:eastAsia="en-US"/>
              </w:rPr>
            </w:pPr>
            <w:r w:rsidRPr="00D73EBC">
              <w:rPr>
                <w:sz w:val="20"/>
                <w:szCs w:val="20"/>
                <w:lang w:val="en-US" w:eastAsia="en-US"/>
              </w:rPr>
              <w:t xml:space="preserve"># </w:t>
            </w:r>
            <w:proofErr w:type="gramStart"/>
            <w:r w:rsidRPr="00D73EBC">
              <w:rPr>
                <w:sz w:val="20"/>
                <w:szCs w:val="20"/>
                <w:lang w:val="en-US" w:eastAsia="en-US"/>
              </w:rPr>
              <w:t>of</w:t>
            </w:r>
            <w:proofErr w:type="gramEnd"/>
            <w:r w:rsidRPr="00D73EBC">
              <w:rPr>
                <w:sz w:val="20"/>
                <w:szCs w:val="20"/>
                <w:lang w:val="en-US" w:eastAsia="en-US"/>
              </w:rPr>
              <w:t xml:space="preserve"> counselling sessions: 3,600</w:t>
            </w:r>
          </w:p>
        </w:tc>
        <w:tc>
          <w:tcPr>
            <w:tcW w:w="1276" w:type="dxa"/>
          </w:tcPr>
          <w:p w14:paraId="6B032EA9" w14:textId="77777777" w:rsidR="00686AEA" w:rsidRPr="001F5C6A" w:rsidRDefault="00686AEA" w:rsidP="00686AEA">
            <w:pPr>
              <w:rPr>
                <w:b/>
                <w:sz w:val="20"/>
                <w:szCs w:val="20"/>
                <w:lang w:val="en-US" w:eastAsia="en-US"/>
              </w:rPr>
            </w:pPr>
            <w:r w:rsidRPr="001F5C6A">
              <w:rPr>
                <w:b/>
                <w:sz w:val="20"/>
                <w:szCs w:val="20"/>
                <w:lang w:val="en-US" w:eastAsia="en-US"/>
              </w:rPr>
              <w:t>45 trained counsellors (30 youth aged and 15 non-youth aged</w:t>
            </w:r>
          </w:p>
          <w:p w14:paraId="0A408B8C" w14:textId="7421E7CD" w:rsidR="00686AEA" w:rsidRPr="006D3E2D" w:rsidRDefault="00686AEA" w:rsidP="00686AEA">
            <w:pPr>
              <w:rPr>
                <w:b/>
                <w:lang w:val="en-US" w:eastAsia="en-US"/>
              </w:rPr>
            </w:pPr>
            <w:r w:rsidRPr="001F5C6A">
              <w:rPr>
                <w:b/>
                <w:sz w:val="20"/>
                <w:szCs w:val="20"/>
                <w:lang w:val="en-US" w:eastAsia="en-US"/>
              </w:rPr>
              <w:lastRenderedPageBreak/>
              <w:t xml:space="preserve">426 counselling sessions </w:t>
            </w:r>
          </w:p>
        </w:tc>
        <w:tc>
          <w:tcPr>
            <w:tcW w:w="1276" w:type="dxa"/>
          </w:tcPr>
          <w:p w14:paraId="53C69E94" w14:textId="77777777" w:rsidR="00686AEA" w:rsidRDefault="00686AEA" w:rsidP="00686AEA">
            <w:pPr>
              <w:rPr>
                <w:b/>
                <w:sz w:val="20"/>
                <w:szCs w:val="20"/>
                <w:lang w:val="en-US" w:eastAsia="en-US"/>
              </w:rPr>
            </w:pPr>
            <w:r>
              <w:rPr>
                <w:b/>
                <w:sz w:val="20"/>
                <w:szCs w:val="20"/>
                <w:lang w:val="en-US" w:eastAsia="en-US"/>
              </w:rPr>
              <w:lastRenderedPageBreak/>
              <w:t>150%</w:t>
            </w:r>
          </w:p>
          <w:p w14:paraId="05BE7E64" w14:textId="77777777" w:rsidR="00686AEA" w:rsidRDefault="00686AEA" w:rsidP="00686AEA">
            <w:pPr>
              <w:rPr>
                <w:b/>
                <w:sz w:val="20"/>
                <w:szCs w:val="20"/>
                <w:lang w:val="en-US" w:eastAsia="en-US"/>
              </w:rPr>
            </w:pPr>
          </w:p>
          <w:p w14:paraId="78038802" w14:textId="77777777" w:rsidR="00686AEA" w:rsidRDefault="00686AEA" w:rsidP="00686AEA">
            <w:pPr>
              <w:rPr>
                <w:b/>
                <w:sz w:val="20"/>
                <w:szCs w:val="20"/>
                <w:lang w:val="en-US" w:eastAsia="en-US"/>
              </w:rPr>
            </w:pPr>
          </w:p>
          <w:p w14:paraId="3A85B215" w14:textId="77777777" w:rsidR="00686AEA" w:rsidRDefault="00686AEA" w:rsidP="00686AEA">
            <w:pPr>
              <w:rPr>
                <w:b/>
                <w:sz w:val="20"/>
                <w:szCs w:val="20"/>
                <w:lang w:val="en-US" w:eastAsia="en-US"/>
              </w:rPr>
            </w:pPr>
          </w:p>
          <w:p w14:paraId="360DA51F" w14:textId="77777777" w:rsidR="00686AEA" w:rsidRDefault="00686AEA" w:rsidP="00686AEA">
            <w:pPr>
              <w:rPr>
                <w:b/>
                <w:sz w:val="20"/>
                <w:szCs w:val="20"/>
                <w:lang w:val="en-US" w:eastAsia="en-US"/>
              </w:rPr>
            </w:pPr>
          </w:p>
          <w:p w14:paraId="448479C4" w14:textId="77777777" w:rsidR="00686AEA" w:rsidRDefault="00686AEA" w:rsidP="00686AEA">
            <w:pPr>
              <w:rPr>
                <w:b/>
                <w:sz w:val="20"/>
                <w:szCs w:val="20"/>
                <w:lang w:val="en-US" w:eastAsia="en-US"/>
              </w:rPr>
            </w:pPr>
          </w:p>
          <w:p w14:paraId="29403670" w14:textId="77777777" w:rsidR="00686AEA" w:rsidRDefault="00686AEA" w:rsidP="00686AEA">
            <w:pPr>
              <w:rPr>
                <w:b/>
                <w:sz w:val="20"/>
                <w:szCs w:val="20"/>
                <w:lang w:val="en-US" w:eastAsia="en-US"/>
              </w:rPr>
            </w:pPr>
          </w:p>
          <w:p w14:paraId="69363400" w14:textId="1F751F30" w:rsidR="00686AEA" w:rsidRPr="006D3E2D" w:rsidRDefault="00686AEA" w:rsidP="00686AEA">
            <w:pPr>
              <w:rPr>
                <w:b/>
                <w:lang w:val="en-US" w:eastAsia="en-US"/>
              </w:rPr>
            </w:pPr>
            <w:r>
              <w:rPr>
                <w:b/>
                <w:sz w:val="20"/>
                <w:szCs w:val="20"/>
                <w:lang w:val="en-US" w:eastAsia="en-US"/>
              </w:rPr>
              <w:lastRenderedPageBreak/>
              <w:t>12%</w:t>
            </w:r>
          </w:p>
        </w:tc>
        <w:tc>
          <w:tcPr>
            <w:tcW w:w="5465" w:type="dxa"/>
          </w:tcPr>
          <w:p w14:paraId="30DAD087" w14:textId="77777777" w:rsidR="00686AEA" w:rsidRPr="001F5C6A" w:rsidRDefault="00686AEA" w:rsidP="00686AEA">
            <w:pPr>
              <w:rPr>
                <w:bCs/>
                <w:sz w:val="20"/>
                <w:szCs w:val="20"/>
                <w:lang w:val="en-US" w:eastAsia="en-US"/>
              </w:rPr>
            </w:pPr>
            <w:r w:rsidRPr="001F5C6A">
              <w:rPr>
                <w:bCs/>
                <w:sz w:val="20"/>
                <w:szCs w:val="20"/>
                <w:lang w:val="en-US" w:eastAsia="en-US"/>
              </w:rPr>
              <w:lastRenderedPageBreak/>
              <w:t>12 female counsellors and 33 male counsellors</w:t>
            </w:r>
          </w:p>
          <w:p w14:paraId="5F75E267" w14:textId="557E8C01" w:rsidR="00686AEA" w:rsidRPr="006D3E2D" w:rsidRDefault="00686AEA" w:rsidP="00686AEA">
            <w:pPr>
              <w:rPr>
                <w:b/>
                <w:lang w:val="en-US" w:eastAsia="en-US"/>
              </w:rPr>
            </w:pPr>
            <w:r w:rsidRPr="001F5C6A">
              <w:rPr>
                <w:bCs/>
                <w:sz w:val="20"/>
                <w:szCs w:val="20"/>
                <w:lang w:val="en-US" w:eastAsia="en-US"/>
              </w:rPr>
              <w:t>142 persons received x 3 counselling sessions</w:t>
            </w:r>
            <w:r>
              <w:rPr>
                <w:bCs/>
                <w:sz w:val="20"/>
                <w:szCs w:val="20"/>
                <w:lang w:val="en-US" w:eastAsia="en-US"/>
              </w:rPr>
              <w:t xml:space="preserve"> </w:t>
            </w:r>
          </w:p>
        </w:tc>
      </w:tr>
      <w:tr w:rsidR="00C75EFB" w:rsidRPr="00627A1C" w14:paraId="6ED1BF9F" w14:textId="77777777" w:rsidTr="007D5E0B">
        <w:trPr>
          <w:trHeight w:val="467"/>
        </w:trPr>
        <w:tc>
          <w:tcPr>
            <w:tcW w:w="2142" w:type="dxa"/>
            <w:vMerge/>
          </w:tcPr>
          <w:p w14:paraId="43113054" w14:textId="77777777" w:rsidR="00C75EFB" w:rsidRPr="00627A1C" w:rsidRDefault="00C75EFB" w:rsidP="00C75EFB">
            <w:pPr>
              <w:rPr>
                <w:b/>
                <w:lang w:val="en-US" w:eastAsia="en-US"/>
              </w:rPr>
            </w:pPr>
          </w:p>
        </w:tc>
        <w:tc>
          <w:tcPr>
            <w:tcW w:w="1984" w:type="dxa"/>
            <w:shd w:val="clear" w:color="auto" w:fill="EEECE1"/>
          </w:tcPr>
          <w:p w14:paraId="0577CBC1" w14:textId="77777777" w:rsidR="00C75EFB" w:rsidRDefault="00C75EFB" w:rsidP="00C75EFB">
            <w:pPr>
              <w:jc w:val="both"/>
              <w:rPr>
                <w:rFonts w:ascii="Arial" w:eastAsia="Arial" w:hAnsi="Arial" w:cs="Arial"/>
                <w:sz w:val="16"/>
                <w:szCs w:val="16"/>
              </w:rPr>
            </w:pPr>
            <w:r w:rsidRPr="00837D2A">
              <w:rPr>
                <w:rFonts w:ascii="Arial" w:eastAsia="Arial" w:hAnsi="Arial" w:cs="Arial"/>
                <w:sz w:val="16"/>
                <w:szCs w:val="16"/>
              </w:rPr>
              <w:t xml:space="preserve">Indicator </w:t>
            </w:r>
            <w:r w:rsidRPr="00D73EBC">
              <w:rPr>
                <w:rFonts w:ascii="Arial" w:eastAsia="Arial" w:hAnsi="Arial" w:cs="Arial"/>
                <w:sz w:val="16"/>
                <w:szCs w:val="16"/>
              </w:rPr>
              <w:t xml:space="preserve">1.2.4: </w:t>
            </w:r>
          </w:p>
          <w:p w14:paraId="5FD0584B" w14:textId="77777777" w:rsidR="00C75EFB" w:rsidRPr="00D73EBC" w:rsidRDefault="00C75EFB" w:rsidP="00C75EFB">
            <w:pPr>
              <w:jc w:val="both"/>
              <w:rPr>
                <w:rFonts w:ascii="Arial" w:eastAsia="Arial" w:hAnsi="Arial" w:cs="Arial"/>
                <w:sz w:val="16"/>
                <w:szCs w:val="16"/>
              </w:rPr>
            </w:pPr>
            <w:r w:rsidRPr="00D73EBC">
              <w:rPr>
                <w:rFonts w:ascii="Arial" w:eastAsia="Arial" w:hAnsi="Arial" w:cs="Arial"/>
                <w:sz w:val="16"/>
                <w:szCs w:val="16"/>
              </w:rPr>
              <w:t xml:space="preserve"># </w:t>
            </w:r>
            <w:proofErr w:type="gramStart"/>
            <w:r w:rsidRPr="00D73EBC">
              <w:rPr>
                <w:rFonts w:ascii="Arial" w:eastAsia="Arial" w:hAnsi="Arial" w:cs="Arial"/>
                <w:sz w:val="16"/>
                <w:szCs w:val="16"/>
              </w:rPr>
              <w:t>of</w:t>
            </w:r>
            <w:proofErr w:type="gramEnd"/>
            <w:r w:rsidRPr="00D73EBC">
              <w:rPr>
                <w:rFonts w:ascii="Arial" w:eastAsia="Arial" w:hAnsi="Arial" w:cs="Arial"/>
                <w:sz w:val="16"/>
                <w:szCs w:val="16"/>
              </w:rPr>
              <w:t xml:space="preserve"> youth support groups newly formed or re-activated, # of support group participants</w:t>
            </w:r>
          </w:p>
        </w:tc>
        <w:tc>
          <w:tcPr>
            <w:tcW w:w="1418" w:type="dxa"/>
            <w:shd w:val="clear" w:color="auto" w:fill="EEECE1"/>
          </w:tcPr>
          <w:p w14:paraId="1576A6D5" w14:textId="77777777" w:rsidR="00C75EFB" w:rsidRPr="00124BA4" w:rsidRDefault="00C75EFB" w:rsidP="00C75EFB">
            <w:pPr>
              <w:rPr>
                <w:sz w:val="20"/>
                <w:szCs w:val="20"/>
                <w:lang w:val="en-US" w:eastAsia="en-US"/>
              </w:rPr>
            </w:pPr>
            <w:r w:rsidRPr="00124BA4">
              <w:rPr>
                <w:sz w:val="20"/>
                <w:szCs w:val="20"/>
                <w:lang w:val="en-US" w:eastAsia="en-US"/>
              </w:rPr>
              <w:t>0 support groups</w:t>
            </w:r>
          </w:p>
          <w:p w14:paraId="56D82364" w14:textId="03EB0489" w:rsidR="00C75EFB" w:rsidRPr="00124BA4" w:rsidRDefault="00C75EFB" w:rsidP="00C75EFB">
            <w:pPr>
              <w:rPr>
                <w:bCs/>
                <w:lang w:val="en-US" w:eastAsia="en-US"/>
              </w:rPr>
            </w:pPr>
            <w:r w:rsidRPr="00124BA4">
              <w:rPr>
                <w:sz w:val="20"/>
                <w:szCs w:val="20"/>
                <w:lang w:val="en-US" w:eastAsia="en-US"/>
              </w:rPr>
              <w:t>0 support groups participants</w:t>
            </w:r>
            <w:r w:rsidRPr="00124BA4">
              <w:rPr>
                <w:bCs/>
                <w:lang w:val="en-US" w:eastAsia="en-US"/>
              </w:rPr>
              <w:t xml:space="preserve"> </w:t>
            </w:r>
          </w:p>
        </w:tc>
        <w:tc>
          <w:tcPr>
            <w:tcW w:w="1559" w:type="dxa"/>
            <w:shd w:val="clear" w:color="auto" w:fill="EEECE1"/>
          </w:tcPr>
          <w:p w14:paraId="7775E945" w14:textId="77777777" w:rsidR="00C75EFB" w:rsidRPr="00D73EBC" w:rsidRDefault="00C75EFB" w:rsidP="00C75EFB">
            <w:pPr>
              <w:rPr>
                <w:sz w:val="20"/>
                <w:szCs w:val="20"/>
              </w:rPr>
            </w:pPr>
            <w:r w:rsidRPr="00D73EBC">
              <w:rPr>
                <w:sz w:val="20"/>
                <w:szCs w:val="20"/>
              </w:rPr>
              <w:t>20 groups</w:t>
            </w:r>
          </w:p>
          <w:p w14:paraId="748FBB84" w14:textId="0182F3F5" w:rsidR="00C75EFB" w:rsidRPr="006D3E2D" w:rsidRDefault="00C75EFB" w:rsidP="00C75EFB">
            <w:pPr>
              <w:rPr>
                <w:b/>
                <w:lang w:val="en-US" w:eastAsia="en-US"/>
              </w:rPr>
            </w:pPr>
            <w:r w:rsidRPr="00D73EBC">
              <w:rPr>
                <w:sz w:val="20"/>
                <w:szCs w:val="20"/>
              </w:rPr>
              <w:t>100 group participants</w:t>
            </w:r>
          </w:p>
        </w:tc>
        <w:tc>
          <w:tcPr>
            <w:tcW w:w="1276" w:type="dxa"/>
          </w:tcPr>
          <w:p w14:paraId="79DEA62F" w14:textId="6D76B3B4" w:rsidR="00C75EFB" w:rsidRPr="00D73EBC" w:rsidRDefault="00C75EFB" w:rsidP="00C75EFB">
            <w:pPr>
              <w:rPr>
                <w:b/>
                <w:sz w:val="20"/>
                <w:szCs w:val="20"/>
                <w:lang w:val="en-US" w:eastAsia="en-US"/>
              </w:rPr>
            </w:pPr>
            <w:r w:rsidRPr="00D73EBC">
              <w:rPr>
                <w:b/>
                <w:sz w:val="20"/>
                <w:szCs w:val="20"/>
                <w:lang w:val="en-US" w:eastAsia="en-US"/>
              </w:rPr>
              <w:t>12</w:t>
            </w:r>
            <w:r>
              <w:rPr>
                <w:b/>
                <w:sz w:val="20"/>
                <w:szCs w:val="20"/>
                <w:lang w:val="en-US" w:eastAsia="en-US"/>
              </w:rPr>
              <w:t xml:space="preserve"> groups</w:t>
            </w:r>
            <w:r w:rsidR="004B603A">
              <w:rPr>
                <w:b/>
                <w:sz w:val="20"/>
                <w:szCs w:val="20"/>
                <w:lang w:val="en-US" w:eastAsia="en-US"/>
              </w:rPr>
              <w:t xml:space="preserve"> </w:t>
            </w:r>
            <w:r w:rsidR="004B603A" w:rsidRPr="00CB59CC">
              <w:rPr>
                <w:bCs/>
                <w:sz w:val="20"/>
                <w:szCs w:val="20"/>
                <w:lang w:val="en-US" w:eastAsia="en-US"/>
              </w:rPr>
              <w:t>(divided into male and female groups and into two age groups of 18 to 25 years old and 26 to 35 years old)</w:t>
            </w:r>
          </w:p>
          <w:p w14:paraId="76CE76BA" w14:textId="796A692B" w:rsidR="00C75EFB" w:rsidRPr="00096534" w:rsidRDefault="00C75EFB" w:rsidP="00C75EFB">
            <w:pPr>
              <w:rPr>
                <w:b/>
                <w:lang w:val="en-US" w:eastAsia="en-US"/>
              </w:rPr>
            </w:pPr>
            <w:r w:rsidRPr="00D73EBC">
              <w:rPr>
                <w:b/>
                <w:sz w:val="20"/>
                <w:szCs w:val="20"/>
                <w:lang w:val="en-US" w:eastAsia="en-US"/>
              </w:rPr>
              <w:t>98</w:t>
            </w:r>
            <w:r>
              <w:rPr>
                <w:b/>
                <w:sz w:val="20"/>
                <w:szCs w:val="20"/>
                <w:lang w:val="en-US" w:eastAsia="en-US"/>
              </w:rPr>
              <w:t xml:space="preserve"> participants</w:t>
            </w:r>
            <w:r w:rsidR="00F0320A">
              <w:rPr>
                <w:b/>
                <w:sz w:val="20"/>
                <w:szCs w:val="20"/>
                <w:lang w:val="en-US" w:eastAsia="en-US"/>
              </w:rPr>
              <w:t xml:space="preserve"> </w:t>
            </w:r>
            <w:r w:rsidR="00F0320A" w:rsidRPr="00F0320A">
              <w:rPr>
                <w:bCs/>
                <w:sz w:val="20"/>
                <w:szCs w:val="20"/>
                <w:lang w:val="en-US" w:eastAsia="en-US"/>
              </w:rPr>
              <w:t>(</w:t>
            </w:r>
            <w:r w:rsidR="00F0320A" w:rsidRPr="00F0320A">
              <w:rPr>
                <w:bCs/>
                <w:iCs/>
                <w:sz w:val="20"/>
                <w:szCs w:val="20"/>
                <w:lang w:eastAsia="en-US"/>
              </w:rPr>
              <w:t>54 females and 44 males)</w:t>
            </w:r>
          </w:p>
        </w:tc>
        <w:tc>
          <w:tcPr>
            <w:tcW w:w="1276" w:type="dxa"/>
          </w:tcPr>
          <w:p w14:paraId="2BADF85E" w14:textId="77777777" w:rsidR="00C75EFB" w:rsidRPr="00D73EBC" w:rsidRDefault="00C75EFB" w:rsidP="00C75EFB">
            <w:pPr>
              <w:rPr>
                <w:sz w:val="20"/>
                <w:szCs w:val="20"/>
              </w:rPr>
            </w:pPr>
            <w:r w:rsidRPr="00D73EBC">
              <w:rPr>
                <w:sz w:val="20"/>
                <w:szCs w:val="20"/>
              </w:rPr>
              <w:t>60%</w:t>
            </w:r>
          </w:p>
          <w:p w14:paraId="4ADA354B" w14:textId="4C1DFFAC" w:rsidR="00C75EFB" w:rsidRPr="00096534" w:rsidRDefault="00C75EFB" w:rsidP="00C75EFB">
            <w:pPr>
              <w:rPr>
                <w:b/>
                <w:lang w:val="en-US" w:eastAsia="en-US"/>
              </w:rPr>
            </w:pPr>
            <w:r w:rsidRPr="00D73EBC">
              <w:rPr>
                <w:sz w:val="20"/>
                <w:szCs w:val="20"/>
              </w:rPr>
              <w:t>98%</w:t>
            </w:r>
          </w:p>
        </w:tc>
        <w:tc>
          <w:tcPr>
            <w:tcW w:w="5465" w:type="dxa"/>
          </w:tcPr>
          <w:p w14:paraId="3DCDD04D" w14:textId="77777777" w:rsidR="00C75EFB" w:rsidRDefault="00C75EFB" w:rsidP="00C75EFB">
            <w:pPr>
              <w:rPr>
                <w:bCs/>
                <w:sz w:val="20"/>
                <w:szCs w:val="20"/>
                <w:lang w:val="en-US" w:eastAsia="en-US"/>
              </w:rPr>
            </w:pPr>
            <w:r>
              <w:rPr>
                <w:bCs/>
                <w:sz w:val="20"/>
                <w:szCs w:val="20"/>
                <w:lang w:val="en-US" w:eastAsia="en-US"/>
              </w:rPr>
              <w:t>Will be subdivided into groups of 5 to 6 members and will add more participants.</w:t>
            </w:r>
          </w:p>
          <w:p w14:paraId="303B5251" w14:textId="470D9270" w:rsidR="00811E8E" w:rsidRPr="00874F01" w:rsidRDefault="00811E8E" w:rsidP="00C75EFB">
            <w:pPr>
              <w:rPr>
                <w:bCs/>
                <w:sz w:val="20"/>
                <w:szCs w:val="20"/>
                <w:lang w:val="en-US" w:eastAsia="en-US"/>
              </w:rPr>
            </w:pPr>
          </w:p>
        </w:tc>
      </w:tr>
      <w:tr w:rsidR="00C75EFB" w:rsidRPr="00627A1C" w14:paraId="29E63791" w14:textId="77777777" w:rsidTr="007D5E0B">
        <w:trPr>
          <w:trHeight w:val="467"/>
        </w:trPr>
        <w:tc>
          <w:tcPr>
            <w:tcW w:w="2142" w:type="dxa"/>
            <w:vMerge/>
          </w:tcPr>
          <w:p w14:paraId="7FB11A90" w14:textId="77777777" w:rsidR="00C75EFB" w:rsidRPr="00627A1C" w:rsidRDefault="00C75EFB" w:rsidP="00C75EFB">
            <w:pPr>
              <w:rPr>
                <w:b/>
                <w:lang w:val="en-US" w:eastAsia="en-US"/>
              </w:rPr>
            </w:pPr>
          </w:p>
        </w:tc>
        <w:tc>
          <w:tcPr>
            <w:tcW w:w="1984" w:type="dxa"/>
            <w:shd w:val="clear" w:color="auto" w:fill="EEECE1"/>
          </w:tcPr>
          <w:p w14:paraId="4855046B" w14:textId="77777777" w:rsidR="00C75EFB" w:rsidRDefault="00C75EFB" w:rsidP="00C75EFB">
            <w:pPr>
              <w:jc w:val="both"/>
              <w:rPr>
                <w:rFonts w:ascii="Arial" w:eastAsia="Arial" w:hAnsi="Arial" w:cs="Arial"/>
                <w:sz w:val="16"/>
                <w:szCs w:val="16"/>
              </w:rPr>
            </w:pPr>
            <w:r w:rsidRPr="00837D2A">
              <w:rPr>
                <w:rFonts w:ascii="Arial" w:eastAsia="Arial" w:hAnsi="Arial" w:cs="Arial"/>
                <w:sz w:val="16"/>
                <w:szCs w:val="16"/>
              </w:rPr>
              <w:t xml:space="preserve">Indicator </w:t>
            </w:r>
            <w:r w:rsidRPr="00D73EBC">
              <w:rPr>
                <w:rFonts w:ascii="Arial" w:eastAsia="Arial" w:hAnsi="Arial" w:cs="Arial"/>
                <w:sz w:val="16"/>
                <w:szCs w:val="16"/>
              </w:rPr>
              <w:t xml:space="preserve">1.2.5: </w:t>
            </w:r>
          </w:p>
          <w:p w14:paraId="00974B53" w14:textId="761941A4" w:rsidR="00C75EFB" w:rsidRPr="00D73EBC" w:rsidRDefault="00C75EFB" w:rsidP="00C75EFB">
            <w:pPr>
              <w:jc w:val="both"/>
              <w:rPr>
                <w:rFonts w:ascii="Arial" w:eastAsia="Arial" w:hAnsi="Arial" w:cs="Arial"/>
                <w:sz w:val="16"/>
                <w:szCs w:val="16"/>
              </w:rPr>
            </w:pPr>
            <w:r w:rsidRPr="00D73EBC">
              <w:rPr>
                <w:rFonts w:ascii="Arial" w:eastAsia="Arial" w:hAnsi="Arial" w:cs="Arial"/>
                <w:sz w:val="16"/>
                <w:szCs w:val="16"/>
              </w:rPr>
              <w:t xml:space="preserve"># </w:t>
            </w:r>
            <w:proofErr w:type="gramStart"/>
            <w:r w:rsidRPr="00D73EBC">
              <w:rPr>
                <w:rFonts w:ascii="Arial" w:eastAsia="Arial" w:hAnsi="Arial" w:cs="Arial"/>
                <w:sz w:val="16"/>
                <w:szCs w:val="16"/>
              </w:rPr>
              <w:t>of</w:t>
            </w:r>
            <w:proofErr w:type="gramEnd"/>
            <w:r w:rsidRPr="00D73EBC">
              <w:rPr>
                <w:rFonts w:ascii="Arial" w:eastAsia="Arial" w:hAnsi="Arial" w:cs="Arial"/>
                <w:sz w:val="16"/>
                <w:szCs w:val="16"/>
              </w:rPr>
              <w:t xml:space="preserve"> MHPSS Resource Centres established within target health facilities and offering youth-focused activities towards strengthening social cohesion and PSS services</w:t>
            </w:r>
          </w:p>
        </w:tc>
        <w:tc>
          <w:tcPr>
            <w:tcW w:w="1418" w:type="dxa"/>
            <w:shd w:val="clear" w:color="auto" w:fill="EEECE1"/>
          </w:tcPr>
          <w:p w14:paraId="47316972" w14:textId="30723D4B" w:rsidR="00C75EFB" w:rsidRPr="00096534" w:rsidRDefault="00C75EFB" w:rsidP="00C75EFB">
            <w:pPr>
              <w:rPr>
                <w:b/>
                <w:lang w:val="en-US" w:eastAsia="en-US"/>
              </w:rPr>
            </w:pPr>
            <w:r>
              <w:rPr>
                <w:b/>
                <w:lang w:val="en-US" w:eastAsia="en-US"/>
              </w:rPr>
              <w:t>0</w:t>
            </w:r>
          </w:p>
        </w:tc>
        <w:tc>
          <w:tcPr>
            <w:tcW w:w="1559" w:type="dxa"/>
            <w:shd w:val="clear" w:color="auto" w:fill="EEECE1"/>
          </w:tcPr>
          <w:p w14:paraId="4DA72064" w14:textId="65B10ECE" w:rsidR="00C75EFB" w:rsidRPr="006D3E2D" w:rsidRDefault="00C75EFB" w:rsidP="00C75EFB">
            <w:pPr>
              <w:rPr>
                <w:b/>
                <w:lang w:val="en-US" w:eastAsia="en-US"/>
              </w:rPr>
            </w:pPr>
            <w:r w:rsidRPr="00D73EBC">
              <w:rPr>
                <w:bCs/>
                <w:lang w:val="en-US" w:eastAsia="en-US"/>
              </w:rPr>
              <w:t>3</w:t>
            </w:r>
          </w:p>
        </w:tc>
        <w:tc>
          <w:tcPr>
            <w:tcW w:w="1276" w:type="dxa"/>
          </w:tcPr>
          <w:p w14:paraId="1F9289CD" w14:textId="7D589EFA" w:rsidR="00C75EFB" w:rsidRPr="006D3E2D" w:rsidRDefault="00C75EFB" w:rsidP="00C75EFB">
            <w:pPr>
              <w:rPr>
                <w:b/>
                <w:lang w:val="en-US" w:eastAsia="en-US"/>
              </w:rPr>
            </w:pPr>
            <w:r w:rsidRPr="00D73EBC">
              <w:rPr>
                <w:b/>
                <w:lang w:val="en-US" w:eastAsia="en-US"/>
              </w:rPr>
              <w:t>0</w:t>
            </w:r>
          </w:p>
        </w:tc>
        <w:tc>
          <w:tcPr>
            <w:tcW w:w="1276" w:type="dxa"/>
          </w:tcPr>
          <w:p w14:paraId="53BD3F69" w14:textId="307E2100" w:rsidR="00C75EFB" w:rsidRPr="006D3E2D" w:rsidRDefault="00C75EFB" w:rsidP="00C75EFB">
            <w:pPr>
              <w:rPr>
                <w:b/>
                <w:lang w:val="en-US" w:eastAsia="en-US"/>
              </w:rPr>
            </w:pPr>
            <w:r w:rsidRPr="00D73EBC">
              <w:t>0</w:t>
            </w:r>
          </w:p>
        </w:tc>
        <w:tc>
          <w:tcPr>
            <w:tcW w:w="5465" w:type="dxa"/>
          </w:tcPr>
          <w:p w14:paraId="1E3672FE" w14:textId="7C4B4124" w:rsidR="00C75EFB" w:rsidRPr="006D3E2D" w:rsidRDefault="00C75EFB" w:rsidP="00C75EFB">
            <w:pPr>
              <w:rPr>
                <w:b/>
                <w:lang w:val="en-US" w:eastAsia="en-US"/>
              </w:rPr>
            </w:pPr>
            <w:r>
              <w:rPr>
                <w:bCs/>
                <w:sz w:val="20"/>
                <w:szCs w:val="20"/>
                <w:lang w:val="en-US" w:eastAsia="en-US"/>
              </w:rPr>
              <w:t xml:space="preserve">Spaces in the 3 health facilities are identified and will be scheduled for renovation </w:t>
            </w:r>
            <w:r w:rsidR="00874F01">
              <w:rPr>
                <w:bCs/>
                <w:sz w:val="20"/>
                <w:szCs w:val="20"/>
                <w:lang w:val="en-US" w:eastAsia="en-US"/>
              </w:rPr>
              <w:t>i</w:t>
            </w:r>
            <w:r>
              <w:rPr>
                <w:bCs/>
                <w:sz w:val="20"/>
                <w:szCs w:val="20"/>
                <w:lang w:val="en-US" w:eastAsia="en-US"/>
              </w:rPr>
              <w:t xml:space="preserve">n July 2021 (as the facilities were recently renovated last September 2020 through other funds).  Together with CCCM and community leaders, the team has identified spaces within 3 community centers for counselling spaces or improvements of communal activities, also due for renovation </w:t>
            </w:r>
            <w:r w:rsidR="009C0F21">
              <w:rPr>
                <w:bCs/>
                <w:sz w:val="20"/>
                <w:szCs w:val="20"/>
                <w:lang w:val="en-US" w:eastAsia="en-US"/>
              </w:rPr>
              <w:t>i</w:t>
            </w:r>
            <w:r>
              <w:rPr>
                <w:bCs/>
                <w:sz w:val="20"/>
                <w:szCs w:val="20"/>
                <w:lang w:val="en-US" w:eastAsia="en-US"/>
              </w:rPr>
              <w:t>n July 2021.</w:t>
            </w:r>
          </w:p>
        </w:tc>
      </w:tr>
      <w:tr w:rsidR="00C75EFB" w:rsidRPr="00627A1C" w14:paraId="7E6AF0C1" w14:textId="77777777" w:rsidTr="007D5E0B">
        <w:trPr>
          <w:trHeight w:val="467"/>
        </w:trPr>
        <w:tc>
          <w:tcPr>
            <w:tcW w:w="2142" w:type="dxa"/>
            <w:vMerge/>
          </w:tcPr>
          <w:p w14:paraId="7FEE7F7A" w14:textId="77777777" w:rsidR="00C75EFB" w:rsidRPr="00627A1C" w:rsidRDefault="00C75EFB" w:rsidP="00C75EFB">
            <w:pPr>
              <w:rPr>
                <w:b/>
                <w:lang w:val="en-US" w:eastAsia="en-US"/>
              </w:rPr>
            </w:pPr>
          </w:p>
        </w:tc>
        <w:tc>
          <w:tcPr>
            <w:tcW w:w="1984" w:type="dxa"/>
            <w:shd w:val="clear" w:color="auto" w:fill="EEECE1"/>
          </w:tcPr>
          <w:p w14:paraId="7B9D684C" w14:textId="77777777" w:rsidR="00C75EFB" w:rsidRDefault="00C75EFB" w:rsidP="00C75EFB">
            <w:pPr>
              <w:rPr>
                <w:rFonts w:ascii="Arial" w:eastAsia="Arial" w:hAnsi="Arial" w:cs="Arial"/>
                <w:sz w:val="16"/>
                <w:szCs w:val="16"/>
              </w:rPr>
            </w:pPr>
            <w:r w:rsidRPr="00837D2A">
              <w:rPr>
                <w:rFonts w:ascii="Arial" w:eastAsia="Arial" w:hAnsi="Arial" w:cs="Arial"/>
                <w:sz w:val="16"/>
                <w:szCs w:val="16"/>
              </w:rPr>
              <w:t xml:space="preserve">Indicator </w:t>
            </w:r>
            <w:r w:rsidRPr="00D73EBC">
              <w:rPr>
                <w:rFonts w:ascii="Arial" w:eastAsia="Arial" w:hAnsi="Arial" w:cs="Arial"/>
                <w:sz w:val="16"/>
                <w:szCs w:val="16"/>
              </w:rPr>
              <w:t xml:space="preserve">1.2.6: </w:t>
            </w:r>
          </w:p>
          <w:p w14:paraId="60B72AE9" w14:textId="09FE5946" w:rsidR="00C75EFB" w:rsidRPr="00D73EBC" w:rsidRDefault="00C75EFB" w:rsidP="00C75EFB">
            <w:pPr>
              <w:rPr>
                <w:rFonts w:ascii="Arial" w:eastAsia="Arial" w:hAnsi="Arial" w:cs="Arial"/>
                <w:sz w:val="16"/>
                <w:szCs w:val="16"/>
              </w:rPr>
            </w:pPr>
            <w:r w:rsidRPr="00D73EBC">
              <w:rPr>
                <w:rFonts w:ascii="Arial" w:eastAsia="Arial" w:hAnsi="Arial" w:cs="Arial"/>
                <w:sz w:val="16"/>
                <w:szCs w:val="16"/>
              </w:rPr>
              <w:t xml:space="preserve"># </w:t>
            </w:r>
            <w:proofErr w:type="gramStart"/>
            <w:r w:rsidRPr="00D73EBC">
              <w:rPr>
                <w:rFonts w:ascii="Arial" w:eastAsia="Arial" w:hAnsi="Arial" w:cs="Arial"/>
                <w:sz w:val="16"/>
                <w:szCs w:val="16"/>
              </w:rPr>
              <w:t>of</w:t>
            </w:r>
            <w:proofErr w:type="gramEnd"/>
            <w:r w:rsidRPr="00D73EBC">
              <w:rPr>
                <w:rFonts w:ascii="Arial" w:eastAsia="Arial" w:hAnsi="Arial" w:cs="Arial"/>
                <w:sz w:val="16"/>
                <w:szCs w:val="16"/>
              </w:rPr>
              <w:t xml:space="preserve"> youth</w:t>
            </w:r>
            <w:r>
              <w:rPr>
                <w:rFonts w:ascii="Arial" w:eastAsia="Arial" w:hAnsi="Arial" w:cs="Arial"/>
                <w:sz w:val="16"/>
                <w:szCs w:val="16"/>
              </w:rPr>
              <w:t>-aged activity animators</w:t>
            </w:r>
            <w:r w:rsidRPr="00D73EBC">
              <w:rPr>
                <w:rFonts w:ascii="Arial" w:eastAsia="Arial" w:hAnsi="Arial" w:cs="Arial"/>
                <w:sz w:val="16"/>
                <w:szCs w:val="16"/>
              </w:rPr>
              <w:t xml:space="preserve"> mobilizers trained and actively mobilizing community activities towards improved social </w:t>
            </w:r>
            <w:r w:rsidRPr="00D73EBC">
              <w:rPr>
                <w:rFonts w:ascii="Arial" w:eastAsia="Arial" w:hAnsi="Arial" w:cs="Arial"/>
                <w:sz w:val="16"/>
                <w:szCs w:val="16"/>
              </w:rPr>
              <w:lastRenderedPageBreak/>
              <w:t>cohesion and peacebuilding</w:t>
            </w:r>
          </w:p>
        </w:tc>
        <w:tc>
          <w:tcPr>
            <w:tcW w:w="1418" w:type="dxa"/>
            <w:shd w:val="clear" w:color="auto" w:fill="EEECE1"/>
          </w:tcPr>
          <w:p w14:paraId="6DF61DDC" w14:textId="3E2AE201" w:rsidR="00C75EFB" w:rsidRPr="00096534" w:rsidRDefault="00C75EFB" w:rsidP="00C75EFB">
            <w:pPr>
              <w:rPr>
                <w:b/>
                <w:lang w:val="en-US" w:eastAsia="en-US"/>
              </w:rPr>
            </w:pPr>
            <w:r>
              <w:rPr>
                <w:b/>
                <w:lang w:val="en-US" w:eastAsia="en-US"/>
              </w:rPr>
              <w:lastRenderedPageBreak/>
              <w:t>0</w:t>
            </w:r>
          </w:p>
        </w:tc>
        <w:tc>
          <w:tcPr>
            <w:tcW w:w="1559" w:type="dxa"/>
            <w:shd w:val="clear" w:color="auto" w:fill="EEECE1"/>
          </w:tcPr>
          <w:p w14:paraId="15E46C5F" w14:textId="700BB453" w:rsidR="00C75EFB" w:rsidRPr="006D3E2D" w:rsidRDefault="00C75EFB" w:rsidP="00C75EFB">
            <w:pPr>
              <w:rPr>
                <w:b/>
                <w:lang w:val="en-US" w:eastAsia="en-US"/>
              </w:rPr>
            </w:pPr>
            <w:r w:rsidRPr="00D73EBC">
              <w:rPr>
                <w:bCs/>
                <w:lang w:val="en-US" w:eastAsia="en-US"/>
              </w:rPr>
              <w:t>30</w:t>
            </w:r>
          </w:p>
        </w:tc>
        <w:tc>
          <w:tcPr>
            <w:tcW w:w="1276" w:type="dxa"/>
          </w:tcPr>
          <w:p w14:paraId="771E3E44" w14:textId="1F57E37C" w:rsidR="00C75EFB" w:rsidRPr="006D3E2D" w:rsidRDefault="00C75EFB" w:rsidP="00C75EFB">
            <w:pPr>
              <w:rPr>
                <w:b/>
                <w:lang w:val="en-US" w:eastAsia="en-US"/>
              </w:rPr>
            </w:pPr>
            <w:r>
              <w:rPr>
                <w:b/>
                <w:lang w:val="en-US" w:eastAsia="en-US"/>
              </w:rPr>
              <w:t>30</w:t>
            </w:r>
          </w:p>
        </w:tc>
        <w:tc>
          <w:tcPr>
            <w:tcW w:w="1276" w:type="dxa"/>
          </w:tcPr>
          <w:p w14:paraId="5E47BB06" w14:textId="7955805A" w:rsidR="00C75EFB" w:rsidRPr="006D3E2D" w:rsidRDefault="00C75EFB" w:rsidP="00C75EFB">
            <w:pPr>
              <w:rPr>
                <w:b/>
                <w:lang w:val="en-US" w:eastAsia="en-US"/>
              </w:rPr>
            </w:pPr>
            <w:r>
              <w:rPr>
                <w:b/>
                <w:lang w:val="en-US" w:eastAsia="en-US"/>
              </w:rPr>
              <w:t>100%</w:t>
            </w:r>
          </w:p>
        </w:tc>
        <w:tc>
          <w:tcPr>
            <w:tcW w:w="5465" w:type="dxa"/>
          </w:tcPr>
          <w:p w14:paraId="00DECCFF" w14:textId="50479C5E" w:rsidR="00C75EFB" w:rsidRPr="006D3E2D" w:rsidRDefault="00C75EFB" w:rsidP="00C75EFB">
            <w:pPr>
              <w:rPr>
                <w:b/>
                <w:lang w:val="en-US" w:eastAsia="en-US"/>
              </w:rPr>
            </w:pPr>
            <w:r>
              <w:rPr>
                <w:bCs/>
                <w:sz w:val="20"/>
                <w:szCs w:val="20"/>
                <w:lang w:val="en-US" w:eastAsia="en-US"/>
              </w:rPr>
              <w:t xml:space="preserve">All youth animators were recruited and received technical orientation during the reporting period.  A refresher course and review will be conducted </w:t>
            </w:r>
            <w:r w:rsidR="009C0F21">
              <w:rPr>
                <w:bCs/>
                <w:sz w:val="20"/>
                <w:szCs w:val="20"/>
                <w:lang w:val="en-US" w:eastAsia="en-US"/>
              </w:rPr>
              <w:t>i</w:t>
            </w:r>
            <w:r>
              <w:rPr>
                <w:bCs/>
                <w:sz w:val="20"/>
                <w:szCs w:val="20"/>
                <w:lang w:val="en-US" w:eastAsia="en-US"/>
              </w:rPr>
              <w:t>n June 2021.</w:t>
            </w:r>
          </w:p>
        </w:tc>
      </w:tr>
      <w:tr w:rsidR="00C83960" w:rsidRPr="00627A1C" w14:paraId="26CC678F" w14:textId="77777777" w:rsidTr="007D5E0B">
        <w:trPr>
          <w:trHeight w:val="467"/>
        </w:trPr>
        <w:tc>
          <w:tcPr>
            <w:tcW w:w="2142" w:type="dxa"/>
            <w:vMerge w:val="restart"/>
          </w:tcPr>
          <w:p w14:paraId="3999FBCD" w14:textId="77777777" w:rsidR="00C83960" w:rsidRPr="00627A1C" w:rsidRDefault="00C83960" w:rsidP="00C83960">
            <w:pPr>
              <w:rPr>
                <w:lang w:val="en-US" w:eastAsia="en-US"/>
              </w:rPr>
            </w:pPr>
            <w:r w:rsidRPr="00627A1C">
              <w:rPr>
                <w:lang w:val="en-US" w:eastAsia="en-US"/>
              </w:rPr>
              <w:t>Output 1.3</w:t>
            </w:r>
          </w:p>
          <w:p w14:paraId="59981E3D" w14:textId="635DBF10" w:rsidR="00C83960" w:rsidRPr="00627A1C" w:rsidRDefault="00C83960" w:rsidP="00C83960">
            <w:pPr>
              <w:rPr>
                <w:b/>
                <w:lang w:val="en-US" w:eastAsia="en-US"/>
              </w:rPr>
            </w:pPr>
            <w:r w:rsidRPr="00B65BA4">
              <w:rPr>
                <w:lang w:val="en-US" w:eastAsia="en-US"/>
              </w:rPr>
              <w:t>Awareness among youth of mental health/substance abuse, stigmatization, harmful behaviors and negative coping mechanisms that drive conflict is increased, with youth empowered to effect positive change through peer sensitization</w:t>
            </w:r>
            <w:r>
              <w:rPr>
                <w:lang w:val="en-US" w:eastAsia="en-US"/>
              </w:rPr>
              <w:t xml:space="preserve"> </w:t>
            </w:r>
            <w:r w:rsidRPr="00B65BA4">
              <w:rPr>
                <w:lang w:val="en-US" w:eastAsia="en-US"/>
              </w:rPr>
              <w:t>/</w:t>
            </w:r>
            <w:r>
              <w:rPr>
                <w:lang w:val="en-US" w:eastAsia="en-US"/>
              </w:rPr>
              <w:t xml:space="preserve"> </w:t>
            </w:r>
            <w:r w:rsidRPr="00B65BA4">
              <w:rPr>
                <w:lang w:val="en-US" w:eastAsia="en-US"/>
              </w:rPr>
              <w:t>education.</w:t>
            </w:r>
          </w:p>
        </w:tc>
        <w:tc>
          <w:tcPr>
            <w:tcW w:w="1984" w:type="dxa"/>
            <w:shd w:val="clear" w:color="auto" w:fill="EEECE1"/>
          </w:tcPr>
          <w:p w14:paraId="3BCCDFF4" w14:textId="77777777" w:rsidR="00C83960" w:rsidRPr="00D73EBC" w:rsidRDefault="00C83960" w:rsidP="00C83960">
            <w:pPr>
              <w:rPr>
                <w:rFonts w:ascii="Arial" w:eastAsia="Arial" w:hAnsi="Arial" w:cs="Arial"/>
                <w:sz w:val="16"/>
                <w:szCs w:val="16"/>
              </w:rPr>
            </w:pPr>
            <w:r w:rsidRPr="00D73EBC">
              <w:rPr>
                <w:rFonts w:ascii="Arial" w:eastAsia="Arial" w:hAnsi="Arial" w:cs="Arial"/>
                <w:sz w:val="16"/>
                <w:szCs w:val="16"/>
              </w:rPr>
              <w:t>Indicator 1.3.1</w:t>
            </w:r>
          </w:p>
          <w:p w14:paraId="3DB86CA8" w14:textId="77777777" w:rsidR="00C83960" w:rsidRPr="00D73EBC" w:rsidRDefault="00C83960" w:rsidP="00C83960">
            <w:pPr>
              <w:rPr>
                <w:rFonts w:ascii="Arial" w:eastAsia="Arial" w:hAnsi="Arial" w:cs="Arial"/>
                <w:sz w:val="16"/>
                <w:szCs w:val="16"/>
              </w:rPr>
            </w:pPr>
            <w:r w:rsidRPr="00377442">
              <w:rPr>
                <w:rFonts w:ascii="Arial" w:eastAsia="Arial" w:hAnsi="Arial" w:cs="Arial"/>
                <w:sz w:val="16"/>
                <w:szCs w:val="16"/>
              </w:rPr>
              <w:t>Package of locally contextualized and validated messages are developed on substance abuse, stigma, conflict-associated negative coping mechanisms, and the power of youth to be positive change agents for their communities.</w:t>
            </w:r>
          </w:p>
        </w:tc>
        <w:tc>
          <w:tcPr>
            <w:tcW w:w="1418" w:type="dxa"/>
            <w:shd w:val="clear" w:color="auto" w:fill="EEECE1"/>
          </w:tcPr>
          <w:p w14:paraId="672D3AC7" w14:textId="3EAA4119" w:rsidR="00C83960" w:rsidRPr="00627A1C" w:rsidRDefault="00C83960" w:rsidP="00C83960">
            <w:pPr>
              <w:rPr>
                <w:b/>
                <w:lang w:val="en-US" w:eastAsia="en-US"/>
              </w:rPr>
            </w:pPr>
            <w:r w:rsidRPr="00F5440F">
              <w:rPr>
                <w:b/>
                <w:sz w:val="22"/>
                <w:szCs w:val="22"/>
                <w:lang w:val="en-US" w:eastAsia="en-US"/>
              </w:rPr>
              <w:t>0</w:t>
            </w:r>
          </w:p>
        </w:tc>
        <w:tc>
          <w:tcPr>
            <w:tcW w:w="1559" w:type="dxa"/>
            <w:shd w:val="clear" w:color="auto" w:fill="EEECE1"/>
          </w:tcPr>
          <w:p w14:paraId="4D34C4A6" w14:textId="4BE74B1A" w:rsidR="00C83960" w:rsidRPr="00627A1C" w:rsidRDefault="00C83960" w:rsidP="00C83960">
            <w:pPr>
              <w:rPr>
                <w:b/>
                <w:lang w:val="en-US" w:eastAsia="en-US"/>
              </w:rPr>
            </w:pPr>
            <w:r w:rsidRPr="00F5440F">
              <w:rPr>
                <w:b/>
                <w:sz w:val="22"/>
                <w:szCs w:val="22"/>
                <w:lang w:val="en-US" w:eastAsia="en-US"/>
              </w:rPr>
              <w:t>1</w:t>
            </w:r>
          </w:p>
        </w:tc>
        <w:tc>
          <w:tcPr>
            <w:tcW w:w="1276" w:type="dxa"/>
          </w:tcPr>
          <w:p w14:paraId="7C6904C5" w14:textId="3FDB8186" w:rsidR="00C83960" w:rsidRPr="00627A1C" w:rsidRDefault="00C83960" w:rsidP="00C83960">
            <w:pPr>
              <w:rPr>
                <w:b/>
                <w:lang w:val="en-US" w:eastAsia="en-US"/>
              </w:rPr>
            </w:pPr>
            <w:r w:rsidRPr="00F5440F">
              <w:rPr>
                <w:b/>
                <w:sz w:val="22"/>
                <w:szCs w:val="22"/>
                <w:lang w:val="en-US" w:eastAsia="en-US"/>
              </w:rPr>
              <w:t>1</w:t>
            </w:r>
          </w:p>
        </w:tc>
        <w:tc>
          <w:tcPr>
            <w:tcW w:w="1276" w:type="dxa"/>
          </w:tcPr>
          <w:p w14:paraId="63E8EC0E" w14:textId="493FFEA8" w:rsidR="00C83960" w:rsidRPr="00627A1C" w:rsidRDefault="00C83960" w:rsidP="00C83960">
            <w:pPr>
              <w:rPr>
                <w:b/>
                <w:lang w:val="en-US" w:eastAsia="en-US"/>
              </w:rPr>
            </w:pPr>
            <w:r w:rsidRPr="00F5440F">
              <w:rPr>
                <w:b/>
                <w:sz w:val="22"/>
                <w:szCs w:val="22"/>
                <w:lang w:val="en-US" w:eastAsia="en-US"/>
              </w:rPr>
              <w:t>1</w:t>
            </w:r>
          </w:p>
        </w:tc>
        <w:tc>
          <w:tcPr>
            <w:tcW w:w="5465" w:type="dxa"/>
          </w:tcPr>
          <w:p w14:paraId="605C1C0B" w14:textId="2660E574" w:rsidR="00C83960" w:rsidRPr="009C0F21" w:rsidRDefault="00723ADD" w:rsidP="00C83960">
            <w:pPr>
              <w:jc w:val="both"/>
              <w:rPr>
                <w:sz w:val="21"/>
                <w:szCs w:val="21"/>
              </w:rPr>
            </w:pPr>
            <w:r w:rsidRPr="009C0F21">
              <w:rPr>
                <w:sz w:val="21"/>
                <w:szCs w:val="21"/>
              </w:rPr>
              <w:t>A c</w:t>
            </w:r>
            <w:r w:rsidR="00C83960" w:rsidRPr="009C0F21">
              <w:rPr>
                <w:sz w:val="21"/>
                <w:szCs w:val="21"/>
              </w:rPr>
              <w:t>onsultation with 42 youth (18 female and 24 male)</w:t>
            </w:r>
            <w:r w:rsidR="00C83960" w:rsidRPr="009C0F21">
              <w:rPr>
                <w:bCs/>
                <w:iCs/>
                <w:sz w:val="21"/>
                <w:szCs w:val="21"/>
              </w:rPr>
              <w:t xml:space="preserve"> </w:t>
            </w:r>
            <w:r w:rsidR="00C83960" w:rsidRPr="009C0F21">
              <w:rPr>
                <w:sz w:val="21"/>
                <w:szCs w:val="21"/>
              </w:rPr>
              <w:t xml:space="preserve">to contextualise mental health and substance abuse messages was completed. The package of key messages </w:t>
            </w:r>
            <w:r w:rsidRPr="009C0F21">
              <w:rPr>
                <w:sz w:val="21"/>
                <w:szCs w:val="21"/>
              </w:rPr>
              <w:t xml:space="preserve">currently </w:t>
            </w:r>
            <w:r w:rsidR="00C83960" w:rsidRPr="009C0F21">
              <w:rPr>
                <w:sz w:val="21"/>
                <w:szCs w:val="21"/>
              </w:rPr>
              <w:t xml:space="preserve">awaits endorsement by the </w:t>
            </w:r>
            <w:r w:rsidRPr="009C0F21">
              <w:rPr>
                <w:sz w:val="21"/>
                <w:szCs w:val="21"/>
              </w:rPr>
              <w:t>MOH’s</w:t>
            </w:r>
            <w:r w:rsidR="00C83960" w:rsidRPr="009C0F21">
              <w:rPr>
                <w:sz w:val="21"/>
                <w:szCs w:val="21"/>
              </w:rPr>
              <w:t xml:space="preserve"> MHPSS focal point. Consultations with youth in Kismayo and </w:t>
            </w:r>
            <w:proofErr w:type="spellStart"/>
            <w:r w:rsidR="00C83960" w:rsidRPr="009C0F21">
              <w:rPr>
                <w:sz w:val="21"/>
                <w:szCs w:val="21"/>
              </w:rPr>
              <w:t>Dollow</w:t>
            </w:r>
            <w:proofErr w:type="spellEnd"/>
            <w:r w:rsidR="00C83960" w:rsidRPr="009C0F21">
              <w:rPr>
                <w:sz w:val="21"/>
                <w:szCs w:val="21"/>
              </w:rPr>
              <w:t xml:space="preserve"> are still ongoing </w:t>
            </w:r>
          </w:p>
          <w:p w14:paraId="79B4C3E7" w14:textId="37194AEC" w:rsidR="00C83960" w:rsidRPr="00723ADD" w:rsidRDefault="00C83960" w:rsidP="00C83960">
            <w:pPr>
              <w:rPr>
                <w:bCs/>
                <w:sz w:val="21"/>
                <w:szCs w:val="21"/>
                <w:lang w:val="en-US" w:eastAsia="en-US"/>
              </w:rPr>
            </w:pPr>
          </w:p>
        </w:tc>
      </w:tr>
      <w:tr w:rsidR="00C83960" w:rsidRPr="00627A1C" w14:paraId="12019AA5" w14:textId="77777777" w:rsidTr="007D5E0B">
        <w:trPr>
          <w:trHeight w:val="422"/>
        </w:trPr>
        <w:tc>
          <w:tcPr>
            <w:tcW w:w="2142" w:type="dxa"/>
            <w:vMerge/>
          </w:tcPr>
          <w:p w14:paraId="443246BF" w14:textId="3B284092" w:rsidR="00C83960" w:rsidRPr="00627A1C" w:rsidRDefault="00C83960" w:rsidP="00C83960">
            <w:pPr>
              <w:rPr>
                <w:lang w:val="en-US" w:eastAsia="en-US"/>
              </w:rPr>
            </w:pPr>
          </w:p>
        </w:tc>
        <w:tc>
          <w:tcPr>
            <w:tcW w:w="1984" w:type="dxa"/>
            <w:shd w:val="clear" w:color="auto" w:fill="EEECE1"/>
          </w:tcPr>
          <w:p w14:paraId="57D0DC49" w14:textId="77777777" w:rsidR="00C83960" w:rsidRPr="00D73EBC" w:rsidRDefault="00C83960" w:rsidP="00C83960">
            <w:pPr>
              <w:rPr>
                <w:rFonts w:ascii="Arial" w:eastAsia="Arial" w:hAnsi="Arial" w:cs="Arial"/>
                <w:sz w:val="16"/>
                <w:szCs w:val="16"/>
              </w:rPr>
            </w:pPr>
            <w:r w:rsidRPr="00D73EBC">
              <w:rPr>
                <w:rFonts w:ascii="Arial" w:eastAsia="Arial" w:hAnsi="Arial" w:cs="Arial"/>
                <w:sz w:val="16"/>
                <w:szCs w:val="16"/>
              </w:rPr>
              <w:t>Indicator 1.3.2</w:t>
            </w:r>
          </w:p>
          <w:p w14:paraId="029FC0A1" w14:textId="77777777" w:rsidR="00C83960" w:rsidRPr="00D73EBC" w:rsidRDefault="00C83960" w:rsidP="00C83960">
            <w:pPr>
              <w:rPr>
                <w:rFonts w:ascii="Arial" w:eastAsia="Arial" w:hAnsi="Arial" w:cs="Arial"/>
                <w:sz w:val="16"/>
                <w:szCs w:val="16"/>
              </w:rPr>
            </w:pPr>
            <w:r w:rsidRPr="00377442">
              <w:rPr>
                <w:rFonts w:ascii="Arial" w:eastAsia="Arial" w:hAnsi="Arial" w:cs="Arial"/>
                <w:sz w:val="16"/>
                <w:szCs w:val="16"/>
              </w:rPr>
              <w:t>Radio programme developed, together with youth, to create awareness of substance abuse and negative coping behaviours that contribute to sustaining conflict.</w:t>
            </w:r>
          </w:p>
        </w:tc>
        <w:tc>
          <w:tcPr>
            <w:tcW w:w="1418" w:type="dxa"/>
            <w:shd w:val="clear" w:color="auto" w:fill="EEECE1"/>
          </w:tcPr>
          <w:p w14:paraId="45AD8760" w14:textId="27C6CEAF" w:rsidR="00C83960" w:rsidRPr="00627A1C" w:rsidRDefault="00C83960" w:rsidP="00C83960">
            <w:r w:rsidRPr="00F5440F">
              <w:rPr>
                <w:b/>
                <w:sz w:val="22"/>
                <w:szCs w:val="22"/>
                <w:lang w:val="en-US" w:eastAsia="en-US"/>
              </w:rPr>
              <w:t>0</w:t>
            </w:r>
          </w:p>
        </w:tc>
        <w:tc>
          <w:tcPr>
            <w:tcW w:w="1559" w:type="dxa"/>
            <w:shd w:val="clear" w:color="auto" w:fill="EEECE1"/>
          </w:tcPr>
          <w:p w14:paraId="2D2F5222" w14:textId="786B17E2" w:rsidR="00C83960" w:rsidRPr="00627A1C" w:rsidRDefault="00C83960" w:rsidP="00C83960">
            <w:r w:rsidRPr="00F5440F">
              <w:rPr>
                <w:b/>
                <w:sz w:val="22"/>
                <w:szCs w:val="22"/>
                <w:lang w:val="en-US" w:eastAsia="en-US"/>
              </w:rPr>
              <w:t>1</w:t>
            </w:r>
          </w:p>
        </w:tc>
        <w:tc>
          <w:tcPr>
            <w:tcW w:w="1276" w:type="dxa"/>
          </w:tcPr>
          <w:p w14:paraId="0B6EAE2F" w14:textId="34A4BCC6" w:rsidR="00C83960" w:rsidRPr="00627A1C" w:rsidRDefault="00C83960" w:rsidP="00C83960">
            <w:pPr>
              <w:rPr>
                <w:b/>
                <w:lang w:val="en-US" w:eastAsia="en-US"/>
              </w:rPr>
            </w:pPr>
            <w:r w:rsidRPr="00F5440F">
              <w:rPr>
                <w:b/>
                <w:sz w:val="22"/>
                <w:szCs w:val="22"/>
                <w:lang w:val="en-US" w:eastAsia="en-US"/>
              </w:rPr>
              <w:fldChar w:fldCharType="begin">
                <w:ffData>
                  <w:name w:val=""/>
                  <w:enabled/>
                  <w:calcOnExit w:val="0"/>
                  <w:textInput>
                    <w:maxLength w:val="300"/>
                  </w:textInput>
                </w:ffData>
              </w:fldChar>
            </w:r>
            <w:r w:rsidRPr="00F5440F">
              <w:rPr>
                <w:b/>
                <w:sz w:val="22"/>
                <w:szCs w:val="22"/>
                <w:lang w:val="en-US" w:eastAsia="en-US"/>
              </w:rPr>
              <w:instrText xml:space="preserve"> FORMTEXT </w:instrText>
            </w:r>
            <w:r w:rsidRPr="00F5440F">
              <w:rPr>
                <w:b/>
                <w:sz w:val="22"/>
                <w:szCs w:val="22"/>
                <w:lang w:val="en-US" w:eastAsia="en-US"/>
              </w:rPr>
            </w:r>
            <w:r w:rsidRPr="00F5440F">
              <w:rPr>
                <w:b/>
                <w:sz w:val="22"/>
                <w:szCs w:val="22"/>
                <w:lang w:val="en-US" w:eastAsia="en-US"/>
              </w:rPr>
              <w:fldChar w:fldCharType="separate"/>
            </w:r>
            <w:r w:rsidRPr="00F5440F">
              <w:rPr>
                <w:b/>
                <w:noProof/>
                <w:sz w:val="22"/>
                <w:szCs w:val="22"/>
                <w:lang w:val="en-US" w:eastAsia="en-US"/>
              </w:rPr>
              <w:t> </w:t>
            </w:r>
            <w:r w:rsidRPr="00F5440F">
              <w:rPr>
                <w:b/>
                <w:noProof/>
                <w:sz w:val="22"/>
                <w:szCs w:val="22"/>
                <w:lang w:val="en-US" w:eastAsia="en-US"/>
              </w:rPr>
              <w:t> </w:t>
            </w:r>
            <w:r w:rsidRPr="00F5440F">
              <w:rPr>
                <w:b/>
                <w:noProof/>
                <w:sz w:val="22"/>
                <w:szCs w:val="22"/>
                <w:lang w:val="en-US" w:eastAsia="en-US"/>
              </w:rPr>
              <w:t> </w:t>
            </w:r>
            <w:r w:rsidRPr="00F5440F">
              <w:rPr>
                <w:b/>
                <w:noProof/>
                <w:sz w:val="22"/>
                <w:szCs w:val="22"/>
                <w:lang w:val="en-US" w:eastAsia="en-US"/>
              </w:rPr>
              <w:t> </w:t>
            </w:r>
            <w:r w:rsidRPr="00F5440F">
              <w:rPr>
                <w:b/>
                <w:noProof/>
                <w:sz w:val="22"/>
                <w:szCs w:val="22"/>
                <w:lang w:val="en-US" w:eastAsia="en-US"/>
              </w:rPr>
              <w:t> </w:t>
            </w:r>
            <w:r w:rsidRPr="00F5440F">
              <w:rPr>
                <w:b/>
                <w:sz w:val="22"/>
                <w:szCs w:val="22"/>
                <w:lang w:val="en-US" w:eastAsia="en-US"/>
              </w:rPr>
              <w:fldChar w:fldCharType="end"/>
            </w:r>
          </w:p>
        </w:tc>
        <w:tc>
          <w:tcPr>
            <w:tcW w:w="1276" w:type="dxa"/>
          </w:tcPr>
          <w:p w14:paraId="301CEDA8" w14:textId="00E5EB19" w:rsidR="00C83960" w:rsidRPr="00627A1C" w:rsidRDefault="00C83960" w:rsidP="00C83960">
            <w:r w:rsidRPr="00F5440F">
              <w:rPr>
                <w:b/>
                <w:sz w:val="22"/>
                <w:szCs w:val="22"/>
                <w:lang w:val="en-US" w:eastAsia="en-US"/>
              </w:rPr>
              <w:t>1</w:t>
            </w:r>
          </w:p>
        </w:tc>
        <w:tc>
          <w:tcPr>
            <w:tcW w:w="5465" w:type="dxa"/>
          </w:tcPr>
          <w:p w14:paraId="60D622CA" w14:textId="6E4F5CF1" w:rsidR="00C83960" w:rsidRPr="00723ADD" w:rsidRDefault="00C83960" w:rsidP="00C83960">
            <w:pPr>
              <w:rPr>
                <w:bCs/>
                <w:sz w:val="21"/>
                <w:szCs w:val="21"/>
                <w:lang w:val="en-US" w:eastAsia="en-US"/>
              </w:rPr>
            </w:pPr>
            <w:r w:rsidRPr="007E5C4F">
              <w:rPr>
                <w:sz w:val="21"/>
                <w:szCs w:val="21"/>
              </w:rPr>
              <w:t xml:space="preserve">Radio clips and programmes on substance abuse awareness and negative coping behaviours that contribute to sustaining conflict were aired in Galkayo, Baidoa and Kismayo. Two radio spots were broadcasted five times a day in ten radio stations for 30 days (1500 broadcasts made) </w:t>
            </w:r>
          </w:p>
        </w:tc>
      </w:tr>
      <w:tr w:rsidR="00C83960" w:rsidRPr="00627A1C" w14:paraId="062902E4" w14:textId="77777777" w:rsidTr="007D5E0B">
        <w:trPr>
          <w:trHeight w:val="422"/>
        </w:trPr>
        <w:tc>
          <w:tcPr>
            <w:tcW w:w="2142" w:type="dxa"/>
            <w:vMerge/>
          </w:tcPr>
          <w:p w14:paraId="629657B3" w14:textId="77777777" w:rsidR="00C83960" w:rsidRPr="00627A1C" w:rsidRDefault="00C83960" w:rsidP="00C83960">
            <w:pPr>
              <w:rPr>
                <w:b/>
                <w:lang w:val="en-US" w:eastAsia="en-US"/>
              </w:rPr>
            </w:pPr>
          </w:p>
        </w:tc>
        <w:tc>
          <w:tcPr>
            <w:tcW w:w="1984" w:type="dxa"/>
            <w:shd w:val="clear" w:color="auto" w:fill="EEECE1"/>
          </w:tcPr>
          <w:p w14:paraId="3CAF4ADD" w14:textId="77777777" w:rsidR="00C83960" w:rsidRPr="00D73EBC" w:rsidRDefault="00C83960" w:rsidP="00C83960">
            <w:pPr>
              <w:rPr>
                <w:rFonts w:ascii="Arial" w:eastAsia="Arial" w:hAnsi="Arial" w:cs="Arial"/>
                <w:sz w:val="16"/>
                <w:szCs w:val="16"/>
              </w:rPr>
            </w:pPr>
            <w:r w:rsidRPr="00D73EBC">
              <w:rPr>
                <w:rFonts w:ascii="Arial" w:eastAsia="Arial" w:hAnsi="Arial" w:cs="Arial"/>
                <w:sz w:val="16"/>
                <w:szCs w:val="16"/>
              </w:rPr>
              <w:t xml:space="preserve">Indicator 1.3.3: </w:t>
            </w:r>
          </w:p>
          <w:p w14:paraId="2BD7DC26" w14:textId="77777777" w:rsidR="00C83960" w:rsidRDefault="00C83960" w:rsidP="00C83960">
            <w:pPr>
              <w:rPr>
                <w:rFonts w:ascii="Arial" w:eastAsia="Arial" w:hAnsi="Arial" w:cs="Arial"/>
                <w:sz w:val="16"/>
                <w:szCs w:val="16"/>
              </w:rPr>
            </w:pPr>
            <w:r>
              <w:rPr>
                <w:rFonts w:ascii="Arial" w:eastAsia="Arial" w:hAnsi="Arial" w:cs="Arial"/>
                <w:sz w:val="16"/>
                <w:szCs w:val="16"/>
              </w:rPr>
              <w:t>Number of community mobilization sessions organized by trained youth for their peers on substance abuse, stigma, and negative coping mechanisms</w:t>
            </w:r>
          </w:p>
          <w:p w14:paraId="13256BCF" w14:textId="77777777" w:rsidR="00C83960" w:rsidRPr="00D73EBC" w:rsidRDefault="00C83960" w:rsidP="00C83960">
            <w:pPr>
              <w:rPr>
                <w:rFonts w:ascii="Arial" w:eastAsia="Arial" w:hAnsi="Arial" w:cs="Arial"/>
                <w:sz w:val="16"/>
                <w:szCs w:val="16"/>
              </w:rPr>
            </w:pPr>
          </w:p>
        </w:tc>
        <w:tc>
          <w:tcPr>
            <w:tcW w:w="1418" w:type="dxa"/>
            <w:shd w:val="clear" w:color="auto" w:fill="EEECE1"/>
          </w:tcPr>
          <w:p w14:paraId="1DA59B0D" w14:textId="5C40367D" w:rsidR="00C83960" w:rsidRPr="00627A1C" w:rsidRDefault="00C83960" w:rsidP="00C83960">
            <w:r w:rsidRPr="00F5440F">
              <w:rPr>
                <w:b/>
                <w:sz w:val="22"/>
                <w:szCs w:val="22"/>
                <w:lang w:val="en-US" w:eastAsia="en-US"/>
              </w:rPr>
              <w:t>0</w:t>
            </w:r>
          </w:p>
        </w:tc>
        <w:tc>
          <w:tcPr>
            <w:tcW w:w="1559" w:type="dxa"/>
            <w:shd w:val="clear" w:color="auto" w:fill="EEECE1"/>
          </w:tcPr>
          <w:p w14:paraId="7539F3B2" w14:textId="497277BA" w:rsidR="00C83960" w:rsidRPr="00627A1C" w:rsidRDefault="00C83960" w:rsidP="00C83960">
            <w:r w:rsidRPr="00F5440F">
              <w:rPr>
                <w:b/>
                <w:sz w:val="22"/>
                <w:szCs w:val="22"/>
                <w:lang w:val="en-US" w:eastAsia="en-US"/>
              </w:rPr>
              <w:t>50</w:t>
            </w:r>
          </w:p>
        </w:tc>
        <w:tc>
          <w:tcPr>
            <w:tcW w:w="1276" w:type="dxa"/>
          </w:tcPr>
          <w:p w14:paraId="4B46F9C9" w14:textId="77777777" w:rsidR="00C83960" w:rsidRPr="00627A1C" w:rsidRDefault="00C83960" w:rsidP="00C83960">
            <w:pPr>
              <w:rPr>
                <w:b/>
                <w:lang w:val="en-US" w:eastAsia="en-US"/>
              </w:rPr>
            </w:pPr>
          </w:p>
        </w:tc>
        <w:tc>
          <w:tcPr>
            <w:tcW w:w="1276" w:type="dxa"/>
          </w:tcPr>
          <w:p w14:paraId="7CE97340" w14:textId="4768093D" w:rsidR="00C83960" w:rsidRPr="00627A1C" w:rsidRDefault="00C83960" w:rsidP="00C83960">
            <w:r w:rsidRPr="00F5440F">
              <w:rPr>
                <w:sz w:val="22"/>
                <w:szCs w:val="22"/>
              </w:rPr>
              <w:t>29</w:t>
            </w:r>
          </w:p>
        </w:tc>
        <w:tc>
          <w:tcPr>
            <w:tcW w:w="5465" w:type="dxa"/>
          </w:tcPr>
          <w:p w14:paraId="4DB2F5EB" w14:textId="77777777" w:rsidR="00C83960" w:rsidRPr="007E5C4F" w:rsidRDefault="00C83960" w:rsidP="00C83960">
            <w:pPr>
              <w:rPr>
                <w:sz w:val="21"/>
                <w:szCs w:val="21"/>
              </w:rPr>
            </w:pPr>
            <w:r w:rsidRPr="007E5C4F">
              <w:rPr>
                <w:sz w:val="21"/>
                <w:szCs w:val="21"/>
              </w:rPr>
              <w:t xml:space="preserve">COVID-19 precautionary measures slowed down progress against this indicator. Social workers mobilised peer to peer youth groups consisting of 42 youth (18 female and 24 male) and conducted 29 mobilisation sessions on MHPSS, substances abuse, child protection referrals and prevention of negative coping mechanism in Baidoa, Galkayo and Kismayo, reaching an estimated 1,500 people. </w:t>
            </w:r>
          </w:p>
          <w:p w14:paraId="22F75949" w14:textId="65912218" w:rsidR="00C83960" w:rsidRPr="00723ADD" w:rsidRDefault="00C83960" w:rsidP="00C83960">
            <w:pPr>
              <w:rPr>
                <w:bCs/>
                <w:sz w:val="21"/>
                <w:szCs w:val="21"/>
                <w:lang w:val="en-US" w:eastAsia="en-US"/>
              </w:rPr>
            </w:pPr>
            <w:r w:rsidRPr="007E5C4F">
              <w:rPr>
                <w:sz w:val="21"/>
                <w:szCs w:val="21"/>
              </w:rPr>
              <w:t xml:space="preserve">Youth were empowered as change agents in their communities. All activities were implemented by observing COVID-19 precautionary measures such as social distancing, hand washing and wearing of masks. </w:t>
            </w:r>
          </w:p>
        </w:tc>
      </w:tr>
      <w:tr w:rsidR="00E249A2" w:rsidRPr="00627A1C" w14:paraId="35968019" w14:textId="77777777" w:rsidTr="007D5E0B">
        <w:trPr>
          <w:trHeight w:val="422"/>
        </w:trPr>
        <w:tc>
          <w:tcPr>
            <w:tcW w:w="2142" w:type="dxa"/>
            <w:vMerge/>
          </w:tcPr>
          <w:p w14:paraId="6E608F3C" w14:textId="77777777" w:rsidR="00E249A2" w:rsidRPr="00627A1C" w:rsidRDefault="00E249A2" w:rsidP="007D5E0B">
            <w:pPr>
              <w:rPr>
                <w:b/>
                <w:lang w:val="en-US" w:eastAsia="en-US"/>
              </w:rPr>
            </w:pPr>
          </w:p>
        </w:tc>
        <w:tc>
          <w:tcPr>
            <w:tcW w:w="1984" w:type="dxa"/>
            <w:shd w:val="clear" w:color="auto" w:fill="EEECE1"/>
          </w:tcPr>
          <w:p w14:paraId="0963E9A9" w14:textId="77777777" w:rsidR="00E249A2" w:rsidRPr="00D73EBC" w:rsidRDefault="00E249A2" w:rsidP="007D5E0B">
            <w:pPr>
              <w:rPr>
                <w:rFonts w:ascii="Arial" w:eastAsia="Arial" w:hAnsi="Arial" w:cs="Arial"/>
                <w:sz w:val="16"/>
                <w:szCs w:val="16"/>
              </w:rPr>
            </w:pPr>
            <w:r w:rsidRPr="00D73EBC">
              <w:rPr>
                <w:rFonts w:ascii="Arial" w:eastAsia="Arial" w:hAnsi="Arial" w:cs="Arial"/>
                <w:sz w:val="16"/>
                <w:szCs w:val="16"/>
              </w:rPr>
              <w:t>Indicator 1.4.1</w:t>
            </w:r>
          </w:p>
          <w:p w14:paraId="5907AB6B" w14:textId="77777777" w:rsidR="00E249A2" w:rsidRPr="00D73EBC" w:rsidRDefault="00E249A2" w:rsidP="007D5E0B">
            <w:pPr>
              <w:rPr>
                <w:rFonts w:ascii="Arial" w:eastAsia="Arial" w:hAnsi="Arial" w:cs="Arial"/>
                <w:sz w:val="16"/>
                <w:szCs w:val="16"/>
              </w:rPr>
            </w:pPr>
            <w:r w:rsidRPr="00D73EBC">
              <w:rPr>
                <w:rFonts w:ascii="Arial" w:eastAsia="Arial" w:hAnsi="Arial" w:cs="Arial"/>
                <w:sz w:val="16"/>
                <w:szCs w:val="16"/>
              </w:rPr>
              <w:fldChar w:fldCharType="begin">
                <w:ffData>
                  <w:name w:val=""/>
                  <w:enabled/>
                  <w:calcOnExit w:val="0"/>
                  <w:textInput>
                    <w:maxLength w:val="250"/>
                  </w:textInput>
                </w:ffData>
              </w:fldChar>
            </w:r>
            <w:r w:rsidRPr="00D73EBC">
              <w:rPr>
                <w:rFonts w:ascii="Arial" w:eastAsia="Arial" w:hAnsi="Arial" w:cs="Arial"/>
                <w:sz w:val="16"/>
                <w:szCs w:val="16"/>
              </w:rPr>
              <w:instrText xml:space="preserve"> FORMTEXT </w:instrText>
            </w:r>
            <w:r w:rsidRPr="00D73EBC">
              <w:rPr>
                <w:rFonts w:ascii="Arial" w:eastAsia="Arial" w:hAnsi="Arial" w:cs="Arial"/>
                <w:sz w:val="16"/>
                <w:szCs w:val="16"/>
              </w:rPr>
            </w:r>
            <w:r w:rsidRPr="00D73EBC">
              <w:rPr>
                <w:rFonts w:ascii="Arial" w:eastAsia="Arial" w:hAnsi="Arial" w:cs="Arial"/>
                <w:sz w:val="16"/>
                <w:szCs w:val="16"/>
              </w:rPr>
              <w:fldChar w:fldCharType="separate"/>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fldChar w:fldCharType="end"/>
            </w:r>
          </w:p>
        </w:tc>
        <w:tc>
          <w:tcPr>
            <w:tcW w:w="1418" w:type="dxa"/>
            <w:shd w:val="clear" w:color="auto" w:fill="EEECE1"/>
          </w:tcPr>
          <w:p w14:paraId="16481C76" w14:textId="77777777" w:rsidR="00E249A2" w:rsidRPr="00627A1C" w:rsidDel="00106680" w:rsidRDefault="00E249A2"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6778A69E" w14:textId="77777777" w:rsidR="00E249A2" w:rsidRPr="00627A1C" w:rsidDel="00106680" w:rsidRDefault="00E249A2"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A9CEDBE" w14:textId="77777777" w:rsidR="00E249A2" w:rsidRPr="00627A1C" w:rsidRDefault="00E249A2"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1594C8C" w14:textId="77777777" w:rsidR="00E249A2" w:rsidRPr="00627A1C" w:rsidRDefault="00E249A2"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9DA4504" w14:textId="77777777" w:rsidR="00E249A2" w:rsidRPr="00301398" w:rsidRDefault="00E249A2" w:rsidP="007D5E0B">
            <w:pPr>
              <w:tabs>
                <w:tab w:val="left" w:pos="1031"/>
              </w:tabs>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4D422620" w14:textId="77777777" w:rsidTr="007D5E0B">
        <w:trPr>
          <w:trHeight w:val="422"/>
        </w:trPr>
        <w:tc>
          <w:tcPr>
            <w:tcW w:w="2142" w:type="dxa"/>
            <w:vMerge w:val="restart"/>
          </w:tcPr>
          <w:p w14:paraId="69BD0A28" w14:textId="77777777" w:rsidR="002536A1" w:rsidRPr="00627A1C" w:rsidRDefault="002536A1" w:rsidP="007D5E0B">
            <w:pPr>
              <w:rPr>
                <w:lang w:val="en-US" w:eastAsia="en-US"/>
              </w:rPr>
            </w:pPr>
            <w:r w:rsidRPr="00627A1C">
              <w:rPr>
                <w:lang w:val="en-US" w:eastAsia="en-US"/>
              </w:rPr>
              <w:t>Output 1.4</w:t>
            </w:r>
          </w:p>
          <w:p w14:paraId="143BA0E3"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4E97DDB6" w14:textId="77777777" w:rsidR="002536A1" w:rsidRPr="00D73EBC" w:rsidRDefault="002536A1" w:rsidP="007D5E0B">
            <w:pPr>
              <w:rPr>
                <w:rFonts w:ascii="Arial" w:eastAsia="Arial" w:hAnsi="Arial" w:cs="Arial"/>
                <w:sz w:val="16"/>
                <w:szCs w:val="16"/>
              </w:rPr>
            </w:pPr>
            <w:r w:rsidRPr="00D73EBC">
              <w:rPr>
                <w:rFonts w:ascii="Arial" w:eastAsia="Arial" w:hAnsi="Arial" w:cs="Arial"/>
                <w:sz w:val="16"/>
                <w:szCs w:val="16"/>
              </w:rPr>
              <w:t>Indicator 1.4.2</w:t>
            </w:r>
          </w:p>
          <w:p w14:paraId="33216044" w14:textId="77777777" w:rsidR="002536A1" w:rsidRPr="00D73EBC" w:rsidRDefault="002536A1" w:rsidP="007D5E0B">
            <w:pPr>
              <w:rPr>
                <w:rFonts w:ascii="Arial" w:eastAsia="Arial" w:hAnsi="Arial" w:cs="Arial"/>
                <w:sz w:val="16"/>
                <w:szCs w:val="16"/>
              </w:rPr>
            </w:pPr>
            <w:r w:rsidRPr="00D73EBC">
              <w:rPr>
                <w:rFonts w:ascii="Arial" w:eastAsia="Arial" w:hAnsi="Arial" w:cs="Arial"/>
                <w:sz w:val="16"/>
                <w:szCs w:val="16"/>
              </w:rPr>
              <w:fldChar w:fldCharType="begin">
                <w:ffData>
                  <w:name w:val=""/>
                  <w:enabled/>
                  <w:calcOnExit w:val="0"/>
                  <w:textInput>
                    <w:maxLength w:val="250"/>
                  </w:textInput>
                </w:ffData>
              </w:fldChar>
            </w:r>
            <w:r w:rsidRPr="00D73EBC">
              <w:rPr>
                <w:rFonts w:ascii="Arial" w:eastAsia="Arial" w:hAnsi="Arial" w:cs="Arial"/>
                <w:sz w:val="16"/>
                <w:szCs w:val="16"/>
              </w:rPr>
              <w:instrText xml:space="preserve"> FORMTEXT </w:instrText>
            </w:r>
            <w:r w:rsidRPr="00D73EBC">
              <w:rPr>
                <w:rFonts w:ascii="Arial" w:eastAsia="Arial" w:hAnsi="Arial" w:cs="Arial"/>
                <w:sz w:val="16"/>
                <w:szCs w:val="16"/>
              </w:rPr>
            </w:r>
            <w:r w:rsidRPr="00D73EBC">
              <w:rPr>
                <w:rFonts w:ascii="Arial" w:eastAsia="Arial" w:hAnsi="Arial" w:cs="Arial"/>
                <w:sz w:val="16"/>
                <w:szCs w:val="16"/>
              </w:rPr>
              <w:fldChar w:fldCharType="separate"/>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fldChar w:fldCharType="end"/>
            </w:r>
          </w:p>
        </w:tc>
        <w:tc>
          <w:tcPr>
            <w:tcW w:w="1418" w:type="dxa"/>
            <w:shd w:val="clear" w:color="auto" w:fill="EEECE1"/>
          </w:tcPr>
          <w:p w14:paraId="2276DFA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56FDAE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F2E58DD"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013FAE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798DBAB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5F254A92" w14:textId="77777777" w:rsidTr="007D5E0B">
        <w:trPr>
          <w:trHeight w:val="422"/>
        </w:trPr>
        <w:tc>
          <w:tcPr>
            <w:tcW w:w="2142" w:type="dxa"/>
            <w:vMerge/>
          </w:tcPr>
          <w:p w14:paraId="7DBD7376" w14:textId="77777777" w:rsidR="002536A1" w:rsidRPr="00627A1C" w:rsidRDefault="002536A1" w:rsidP="007D5E0B">
            <w:pPr>
              <w:rPr>
                <w:b/>
                <w:lang w:val="en-US" w:eastAsia="en-US"/>
              </w:rPr>
            </w:pPr>
          </w:p>
        </w:tc>
        <w:tc>
          <w:tcPr>
            <w:tcW w:w="1984" w:type="dxa"/>
            <w:shd w:val="clear" w:color="auto" w:fill="EEECE1"/>
          </w:tcPr>
          <w:p w14:paraId="68036DE6" w14:textId="77777777" w:rsidR="002536A1" w:rsidRPr="00D73EBC" w:rsidRDefault="002536A1" w:rsidP="007D5E0B">
            <w:pPr>
              <w:rPr>
                <w:rFonts w:ascii="Arial" w:eastAsia="Arial" w:hAnsi="Arial" w:cs="Arial"/>
                <w:sz w:val="16"/>
                <w:szCs w:val="16"/>
              </w:rPr>
            </w:pPr>
            <w:r w:rsidRPr="00D73EBC">
              <w:rPr>
                <w:rFonts w:ascii="Arial" w:eastAsia="Arial" w:hAnsi="Arial" w:cs="Arial"/>
                <w:sz w:val="16"/>
                <w:szCs w:val="16"/>
              </w:rPr>
              <w:t>Indicator 2.1</w:t>
            </w:r>
          </w:p>
          <w:p w14:paraId="669C1075" w14:textId="77777777" w:rsidR="002536A1" w:rsidRPr="00D73EBC" w:rsidRDefault="002536A1" w:rsidP="007D5E0B">
            <w:pPr>
              <w:rPr>
                <w:rFonts w:ascii="Arial" w:eastAsia="Arial" w:hAnsi="Arial" w:cs="Arial"/>
                <w:sz w:val="16"/>
                <w:szCs w:val="16"/>
              </w:rPr>
            </w:pPr>
            <w:r w:rsidRPr="00D73EBC">
              <w:rPr>
                <w:rFonts w:ascii="Arial" w:eastAsia="Arial" w:hAnsi="Arial" w:cs="Arial"/>
                <w:sz w:val="16"/>
                <w:szCs w:val="16"/>
              </w:rPr>
              <w:fldChar w:fldCharType="begin">
                <w:ffData>
                  <w:name w:val=""/>
                  <w:enabled/>
                  <w:calcOnExit w:val="0"/>
                  <w:textInput>
                    <w:maxLength w:val="250"/>
                  </w:textInput>
                </w:ffData>
              </w:fldChar>
            </w:r>
            <w:r w:rsidRPr="00D73EBC">
              <w:rPr>
                <w:rFonts w:ascii="Arial" w:eastAsia="Arial" w:hAnsi="Arial" w:cs="Arial"/>
                <w:sz w:val="16"/>
                <w:szCs w:val="16"/>
              </w:rPr>
              <w:instrText xml:space="preserve"> FORMTEXT </w:instrText>
            </w:r>
            <w:r w:rsidRPr="00D73EBC">
              <w:rPr>
                <w:rFonts w:ascii="Arial" w:eastAsia="Arial" w:hAnsi="Arial" w:cs="Arial"/>
                <w:sz w:val="16"/>
                <w:szCs w:val="16"/>
              </w:rPr>
            </w:r>
            <w:r w:rsidRPr="00D73EBC">
              <w:rPr>
                <w:rFonts w:ascii="Arial" w:eastAsia="Arial" w:hAnsi="Arial" w:cs="Arial"/>
                <w:sz w:val="16"/>
                <w:szCs w:val="16"/>
              </w:rPr>
              <w:fldChar w:fldCharType="separate"/>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t> </w:t>
            </w:r>
            <w:r w:rsidRPr="00D73EBC">
              <w:rPr>
                <w:rFonts w:ascii="Arial" w:eastAsia="Arial" w:hAnsi="Arial" w:cs="Arial"/>
                <w:sz w:val="16"/>
                <w:szCs w:val="16"/>
              </w:rPr>
              <w:fldChar w:fldCharType="end"/>
            </w:r>
          </w:p>
        </w:tc>
        <w:tc>
          <w:tcPr>
            <w:tcW w:w="1418" w:type="dxa"/>
            <w:shd w:val="clear" w:color="auto" w:fill="EEECE1"/>
          </w:tcPr>
          <w:p w14:paraId="0C3034A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306147A2"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F05DE95"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F38AD9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7C68E4FA"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3B39FE86" w14:textId="77777777" w:rsidTr="007D5E0B">
        <w:trPr>
          <w:trHeight w:val="422"/>
        </w:trPr>
        <w:tc>
          <w:tcPr>
            <w:tcW w:w="2142" w:type="dxa"/>
            <w:vMerge w:val="restart"/>
          </w:tcPr>
          <w:p w14:paraId="34AAB7B4" w14:textId="77777777" w:rsidR="002536A1" w:rsidRPr="00627A1C" w:rsidRDefault="002536A1" w:rsidP="007D5E0B">
            <w:pPr>
              <w:rPr>
                <w:b/>
                <w:lang w:val="en-US" w:eastAsia="en-US"/>
              </w:rPr>
            </w:pPr>
            <w:r w:rsidRPr="00627A1C">
              <w:rPr>
                <w:b/>
                <w:lang w:val="en-US" w:eastAsia="en-US"/>
              </w:rPr>
              <w:t>Outcome 2</w:t>
            </w:r>
          </w:p>
          <w:p w14:paraId="1456471D"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4CF2EB64" w14:textId="77777777" w:rsidR="002536A1" w:rsidRPr="00627A1C" w:rsidRDefault="002536A1" w:rsidP="007D5E0B">
            <w:pPr>
              <w:rPr>
                <w:b/>
                <w:lang w:val="en-US" w:eastAsia="en-US"/>
              </w:rPr>
            </w:pPr>
          </w:p>
        </w:tc>
        <w:tc>
          <w:tcPr>
            <w:tcW w:w="1984" w:type="dxa"/>
            <w:shd w:val="clear" w:color="auto" w:fill="EEECE1"/>
          </w:tcPr>
          <w:p w14:paraId="1E3D3C96" w14:textId="77777777" w:rsidR="002536A1" w:rsidRPr="00627A1C" w:rsidRDefault="002536A1" w:rsidP="007D5E0B">
            <w:pPr>
              <w:jc w:val="both"/>
              <w:rPr>
                <w:lang w:val="en-US" w:eastAsia="en-US"/>
              </w:rPr>
            </w:pPr>
            <w:r w:rsidRPr="00627A1C">
              <w:rPr>
                <w:lang w:val="en-US" w:eastAsia="en-US"/>
              </w:rPr>
              <w:t>Indicator 2.2</w:t>
            </w:r>
          </w:p>
          <w:p w14:paraId="2E4A177E"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6B73FDC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5BDCE18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3C44D69"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CDA816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5A3E2A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254EB359" w14:textId="77777777" w:rsidTr="007D5E0B">
        <w:trPr>
          <w:trHeight w:val="422"/>
        </w:trPr>
        <w:tc>
          <w:tcPr>
            <w:tcW w:w="2142" w:type="dxa"/>
            <w:vMerge/>
          </w:tcPr>
          <w:p w14:paraId="3AE631D2" w14:textId="77777777" w:rsidR="002536A1" w:rsidRPr="00627A1C" w:rsidRDefault="002536A1" w:rsidP="007D5E0B">
            <w:pPr>
              <w:rPr>
                <w:lang w:val="en-US" w:eastAsia="en-US"/>
              </w:rPr>
            </w:pPr>
          </w:p>
        </w:tc>
        <w:tc>
          <w:tcPr>
            <w:tcW w:w="1984" w:type="dxa"/>
            <w:shd w:val="clear" w:color="auto" w:fill="EEECE1"/>
          </w:tcPr>
          <w:p w14:paraId="2C1228A5" w14:textId="77777777" w:rsidR="002536A1" w:rsidRPr="00627A1C" w:rsidRDefault="002536A1" w:rsidP="007D5E0B">
            <w:pPr>
              <w:jc w:val="both"/>
              <w:rPr>
                <w:lang w:val="en-US" w:eastAsia="en-US"/>
              </w:rPr>
            </w:pPr>
            <w:r w:rsidRPr="00627A1C">
              <w:rPr>
                <w:lang w:val="en-US" w:eastAsia="en-US"/>
              </w:rPr>
              <w:t>Indicator 2.3</w:t>
            </w:r>
          </w:p>
          <w:p w14:paraId="4FAE163C"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6497E2E5"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31E868F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C10D781"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D2833A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3A533616"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1676537F" w14:textId="77777777" w:rsidTr="007D5E0B">
        <w:trPr>
          <w:trHeight w:val="422"/>
        </w:trPr>
        <w:tc>
          <w:tcPr>
            <w:tcW w:w="2142" w:type="dxa"/>
            <w:vMerge/>
          </w:tcPr>
          <w:p w14:paraId="57433080" w14:textId="77777777" w:rsidR="002536A1" w:rsidRPr="00627A1C" w:rsidRDefault="002536A1" w:rsidP="007D5E0B">
            <w:pPr>
              <w:rPr>
                <w:lang w:val="en-US" w:eastAsia="en-US"/>
              </w:rPr>
            </w:pPr>
          </w:p>
        </w:tc>
        <w:tc>
          <w:tcPr>
            <w:tcW w:w="1984" w:type="dxa"/>
            <w:shd w:val="clear" w:color="auto" w:fill="EEECE1"/>
          </w:tcPr>
          <w:p w14:paraId="47A8902B" w14:textId="77777777" w:rsidR="002536A1" w:rsidRPr="00627A1C" w:rsidRDefault="002536A1" w:rsidP="007D5E0B">
            <w:pPr>
              <w:jc w:val="both"/>
              <w:rPr>
                <w:lang w:val="en-US" w:eastAsia="en-US"/>
              </w:rPr>
            </w:pPr>
            <w:proofErr w:type="gramStart"/>
            <w:r w:rsidRPr="00627A1C">
              <w:rPr>
                <w:lang w:val="en-US" w:eastAsia="en-US"/>
              </w:rPr>
              <w:t>Indicator  2.1.1</w:t>
            </w:r>
            <w:proofErr w:type="gramEnd"/>
          </w:p>
          <w:p w14:paraId="28AF8A27"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7153CD6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36FC2DC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3751638"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DE21D8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693FDA4"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44CB6D62" w14:textId="77777777" w:rsidTr="007D5E0B">
        <w:trPr>
          <w:trHeight w:val="422"/>
        </w:trPr>
        <w:tc>
          <w:tcPr>
            <w:tcW w:w="2142" w:type="dxa"/>
            <w:vMerge w:val="restart"/>
          </w:tcPr>
          <w:p w14:paraId="546DFD96" w14:textId="77777777" w:rsidR="002536A1" w:rsidRPr="00627A1C" w:rsidRDefault="002536A1" w:rsidP="007D5E0B">
            <w:pPr>
              <w:rPr>
                <w:lang w:val="en-US" w:eastAsia="en-US"/>
              </w:rPr>
            </w:pPr>
            <w:r w:rsidRPr="00627A1C">
              <w:rPr>
                <w:lang w:val="en-US" w:eastAsia="en-US"/>
              </w:rPr>
              <w:t>Output 2.1</w:t>
            </w:r>
          </w:p>
          <w:p w14:paraId="1AA64427"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77914BC7" w14:textId="77777777" w:rsidR="002536A1" w:rsidRPr="00627A1C" w:rsidRDefault="002536A1" w:rsidP="007D5E0B">
            <w:pPr>
              <w:rPr>
                <w:b/>
                <w:lang w:val="en-US" w:eastAsia="en-US"/>
              </w:rPr>
            </w:pPr>
          </w:p>
        </w:tc>
        <w:tc>
          <w:tcPr>
            <w:tcW w:w="1984" w:type="dxa"/>
            <w:shd w:val="clear" w:color="auto" w:fill="EEECE1"/>
          </w:tcPr>
          <w:p w14:paraId="1C1519AA" w14:textId="77777777" w:rsidR="002536A1" w:rsidRPr="00627A1C" w:rsidRDefault="002536A1" w:rsidP="007D5E0B">
            <w:pPr>
              <w:jc w:val="both"/>
              <w:rPr>
                <w:lang w:val="en-US" w:eastAsia="en-US"/>
              </w:rPr>
            </w:pPr>
            <w:proofErr w:type="gramStart"/>
            <w:r w:rsidRPr="00627A1C">
              <w:rPr>
                <w:lang w:val="en-US" w:eastAsia="en-US"/>
              </w:rPr>
              <w:t>Indicator  2.1.2</w:t>
            </w:r>
            <w:proofErr w:type="gramEnd"/>
          </w:p>
          <w:p w14:paraId="708658B6"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6D0622AB"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1F6CF156"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173236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9229C0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FC8C8C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59387924" w14:textId="77777777" w:rsidTr="007D5E0B">
        <w:trPr>
          <w:trHeight w:val="458"/>
        </w:trPr>
        <w:tc>
          <w:tcPr>
            <w:tcW w:w="2142" w:type="dxa"/>
            <w:vMerge/>
          </w:tcPr>
          <w:p w14:paraId="4B302271" w14:textId="77777777" w:rsidR="002536A1" w:rsidRPr="00627A1C" w:rsidRDefault="002536A1" w:rsidP="007D5E0B">
            <w:pPr>
              <w:rPr>
                <w:b/>
                <w:lang w:val="en-US" w:eastAsia="en-US"/>
              </w:rPr>
            </w:pPr>
          </w:p>
        </w:tc>
        <w:tc>
          <w:tcPr>
            <w:tcW w:w="1984" w:type="dxa"/>
            <w:shd w:val="clear" w:color="auto" w:fill="EEECE1"/>
          </w:tcPr>
          <w:p w14:paraId="10A61ABA" w14:textId="77777777" w:rsidR="002536A1" w:rsidRPr="00627A1C" w:rsidRDefault="002536A1" w:rsidP="007D5E0B">
            <w:pPr>
              <w:jc w:val="both"/>
              <w:rPr>
                <w:lang w:val="en-US" w:eastAsia="en-US"/>
              </w:rPr>
            </w:pPr>
            <w:proofErr w:type="gramStart"/>
            <w:r w:rsidRPr="00627A1C">
              <w:rPr>
                <w:lang w:val="en-US" w:eastAsia="en-US"/>
              </w:rPr>
              <w:t>Indicator  2.2.1</w:t>
            </w:r>
            <w:proofErr w:type="gramEnd"/>
          </w:p>
          <w:p w14:paraId="4F5C0499"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8292FC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7F1BE3F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C04D39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037356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31099F7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23B87F90" w14:textId="77777777" w:rsidTr="007D5E0B">
        <w:trPr>
          <w:trHeight w:val="512"/>
        </w:trPr>
        <w:tc>
          <w:tcPr>
            <w:tcW w:w="2142" w:type="dxa"/>
            <w:vMerge w:val="restart"/>
          </w:tcPr>
          <w:p w14:paraId="668C4825" w14:textId="77777777" w:rsidR="002536A1" w:rsidRPr="00627A1C" w:rsidRDefault="002536A1" w:rsidP="007D5E0B">
            <w:pPr>
              <w:rPr>
                <w:b/>
                <w:lang w:val="en-US" w:eastAsia="en-US"/>
              </w:rPr>
            </w:pPr>
          </w:p>
          <w:p w14:paraId="2EB8AD20" w14:textId="77777777" w:rsidR="002536A1" w:rsidRPr="00627A1C" w:rsidRDefault="002536A1" w:rsidP="007D5E0B">
            <w:pPr>
              <w:rPr>
                <w:lang w:val="en-US" w:eastAsia="en-US"/>
              </w:rPr>
            </w:pPr>
            <w:r w:rsidRPr="00627A1C">
              <w:rPr>
                <w:lang w:val="en-US" w:eastAsia="en-US"/>
              </w:rPr>
              <w:t>Output 2.2</w:t>
            </w:r>
          </w:p>
          <w:p w14:paraId="7DD67DDC"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28A76DF0" w14:textId="77777777" w:rsidR="002536A1" w:rsidRPr="00627A1C" w:rsidRDefault="002536A1" w:rsidP="007D5E0B">
            <w:pPr>
              <w:jc w:val="both"/>
              <w:rPr>
                <w:lang w:val="en-US" w:eastAsia="en-US"/>
              </w:rPr>
            </w:pPr>
            <w:proofErr w:type="gramStart"/>
            <w:r w:rsidRPr="00627A1C">
              <w:rPr>
                <w:lang w:val="en-US" w:eastAsia="en-US"/>
              </w:rPr>
              <w:t>Indicator  2.2.2</w:t>
            </w:r>
            <w:proofErr w:type="gramEnd"/>
          </w:p>
          <w:p w14:paraId="3A316455"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3E2EA0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033987A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116F65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8F4BF5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605E7B9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2AF87992" w14:textId="77777777" w:rsidTr="007D5E0B">
        <w:trPr>
          <w:trHeight w:val="458"/>
        </w:trPr>
        <w:tc>
          <w:tcPr>
            <w:tcW w:w="2142" w:type="dxa"/>
            <w:vMerge/>
          </w:tcPr>
          <w:p w14:paraId="78028F20" w14:textId="77777777" w:rsidR="002536A1" w:rsidRPr="00627A1C" w:rsidRDefault="002536A1" w:rsidP="007D5E0B">
            <w:pPr>
              <w:rPr>
                <w:b/>
                <w:lang w:val="en-US" w:eastAsia="en-US"/>
              </w:rPr>
            </w:pPr>
          </w:p>
        </w:tc>
        <w:tc>
          <w:tcPr>
            <w:tcW w:w="1984" w:type="dxa"/>
            <w:shd w:val="clear" w:color="auto" w:fill="EEECE1"/>
          </w:tcPr>
          <w:p w14:paraId="1539BA56" w14:textId="77777777" w:rsidR="002536A1" w:rsidRPr="00627A1C" w:rsidRDefault="002536A1" w:rsidP="007D5E0B">
            <w:pPr>
              <w:jc w:val="both"/>
              <w:rPr>
                <w:lang w:val="en-US" w:eastAsia="en-US"/>
              </w:rPr>
            </w:pPr>
            <w:proofErr w:type="gramStart"/>
            <w:r w:rsidRPr="00627A1C">
              <w:rPr>
                <w:lang w:val="en-US" w:eastAsia="en-US"/>
              </w:rPr>
              <w:t>Indicator  2.3.1</w:t>
            </w:r>
            <w:proofErr w:type="gramEnd"/>
          </w:p>
          <w:p w14:paraId="62AE2485"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4DBBF3C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3E83337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A5A3BD7"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2B6784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D30249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7959327D" w14:textId="77777777" w:rsidTr="007D5E0B">
        <w:trPr>
          <w:trHeight w:val="458"/>
        </w:trPr>
        <w:tc>
          <w:tcPr>
            <w:tcW w:w="2142" w:type="dxa"/>
            <w:vMerge w:val="restart"/>
          </w:tcPr>
          <w:p w14:paraId="195C8FD0" w14:textId="77777777" w:rsidR="002536A1" w:rsidRPr="00627A1C" w:rsidRDefault="002536A1" w:rsidP="007D5E0B">
            <w:pPr>
              <w:rPr>
                <w:b/>
                <w:lang w:val="en-US" w:eastAsia="en-US"/>
              </w:rPr>
            </w:pPr>
          </w:p>
          <w:p w14:paraId="0F05D3C4" w14:textId="77777777" w:rsidR="002536A1" w:rsidRPr="00627A1C" w:rsidRDefault="002536A1" w:rsidP="007D5E0B">
            <w:pPr>
              <w:rPr>
                <w:lang w:val="en-US" w:eastAsia="en-US"/>
              </w:rPr>
            </w:pPr>
            <w:r w:rsidRPr="00627A1C">
              <w:rPr>
                <w:lang w:val="en-US" w:eastAsia="en-US"/>
              </w:rPr>
              <w:t>Output 2.3</w:t>
            </w:r>
          </w:p>
          <w:p w14:paraId="6D99B854"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3D415C36" w14:textId="77777777" w:rsidR="002536A1" w:rsidRPr="00627A1C" w:rsidRDefault="002536A1" w:rsidP="007D5E0B">
            <w:pPr>
              <w:jc w:val="both"/>
              <w:rPr>
                <w:lang w:val="en-US" w:eastAsia="en-US"/>
              </w:rPr>
            </w:pPr>
            <w:proofErr w:type="gramStart"/>
            <w:r w:rsidRPr="00627A1C">
              <w:rPr>
                <w:lang w:val="en-US" w:eastAsia="en-US"/>
              </w:rPr>
              <w:t>Indicator  2.3.2</w:t>
            </w:r>
            <w:proofErr w:type="gramEnd"/>
          </w:p>
          <w:p w14:paraId="0F7B5A76"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0A4A285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59FAC31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41BEEC7"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EA40775"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35BEF21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1837B358" w14:textId="77777777" w:rsidTr="007D5E0B">
        <w:trPr>
          <w:trHeight w:val="458"/>
        </w:trPr>
        <w:tc>
          <w:tcPr>
            <w:tcW w:w="2142" w:type="dxa"/>
            <w:vMerge/>
          </w:tcPr>
          <w:p w14:paraId="6DF2EE14" w14:textId="77777777" w:rsidR="002536A1" w:rsidRPr="00627A1C" w:rsidRDefault="002536A1" w:rsidP="007D5E0B">
            <w:pPr>
              <w:rPr>
                <w:b/>
                <w:lang w:val="en-US" w:eastAsia="en-US"/>
              </w:rPr>
            </w:pPr>
          </w:p>
        </w:tc>
        <w:tc>
          <w:tcPr>
            <w:tcW w:w="1984" w:type="dxa"/>
            <w:shd w:val="clear" w:color="auto" w:fill="EEECE1"/>
          </w:tcPr>
          <w:p w14:paraId="1BA45B19" w14:textId="77777777" w:rsidR="002536A1" w:rsidRPr="00627A1C" w:rsidRDefault="002536A1" w:rsidP="007D5E0B">
            <w:pPr>
              <w:jc w:val="both"/>
              <w:rPr>
                <w:lang w:val="en-US" w:eastAsia="en-US"/>
              </w:rPr>
            </w:pPr>
            <w:proofErr w:type="gramStart"/>
            <w:r w:rsidRPr="00627A1C">
              <w:rPr>
                <w:lang w:val="en-US" w:eastAsia="en-US"/>
              </w:rPr>
              <w:t>Indicator  2.4.1</w:t>
            </w:r>
            <w:proofErr w:type="gramEnd"/>
          </w:p>
          <w:p w14:paraId="0B477BDE"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5067A67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33696976"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DFFABF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475AD6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318A0D94"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711085E3" w14:textId="77777777" w:rsidTr="007D5E0B">
        <w:trPr>
          <w:trHeight w:val="458"/>
        </w:trPr>
        <w:tc>
          <w:tcPr>
            <w:tcW w:w="2142" w:type="dxa"/>
            <w:vMerge w:val="restart"/>
          </w:tcPr>
          <w:p w14:paraId="2BE802DF" w14:textId="77777777" w:rsidR="002536A1" w:rsidRPr="00627A1C" w:rsidRDefault="002536A1" w:rsidP="007D5E0B">
            <w:pPr>
              <w:rPr>
                <w:b/>
                <w:lang w:val="en-US" w:eastAsia="en-US"/>
              </w:rPr>
            </w:pPr>
          </w:p>
          <w:p w14:paraId="7EC2FEEC" w14:textId="77777777" w:rsidR="002536A1" w:rsidRPr="00627A1C" w:rsidRDefault="002536A1" w:rsidP="007D5E0B">
            <w:pPr>
              <w:rPr>
                <w:lang w:val="en-US" w:eastAsia="en-US"/>
              </w:rPr>
            </w:pPr>
            <w:r w:rsidRPr="00627A1C">
              <w:rPr>
                <w:lang w:val="en-US" w:eastAsia="en-US"/>
              </w:rPr>
              <w:t>Output 2.4</w:t>
            </w:r>
          </w:p>
          <w:p w14:paraId="19BAA2BE" w14:textId="77777777" w:rsidR="002536A1" w:rsidRPr="00627A1C" w:rsidRDefault="002536A1" w:rsidP="007D5E0B">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28020201" w14:textId="77777777" w:rsidR="002536A1" w:rsidRPr="00627A1C" w:rsidRDefault="002536A1" w:rsidP="007D5E0B">
            <w:pPr>
              <w:jc w:val="both"/>
              <w:rPr>
                <w:lang w:val="en-US" w:eastAsia="en-US"/>
              </w:rPr>
            </w:pPr>
            <w:proofErr w:type="gramStart"/>
            <w:r w:rsidRPr="00627A1C">
              <w:rPr>
                <w:lang w:val="en-US" w:eastAsia="en-US"/>
              </w:rPr>
              <w:lastRenderedPageBreak/>
              <w:t>Indicator  2.4.2</w:t>
            </w:r>
            <w:proofErr w:type="gramEnd"/>
          </w:p>
          <w:p w14:paraId="7013B5EE"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3F3755E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8E8900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CE982E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550B50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43CF1A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7A98D823" w14:textId="77777777" w:rsidTr="007D5E0B">
        <w:trPr>
          <w:trHeight w:val="458"/>
        </w:trPr>
        <w:tc>
          <w:tcPr>
            <w:tcW w:w="2142" w:type="dxa"/>
            <w:vMerge/>
          </w:tcPr>
          <w:p w14:paraId="21ED41F7" w14:textId="77777777" w:rsidR="002536A1" w:rsidRPr="00627A1C" w:rsidRDefault="002536A1" w:rsidP="007D5E0B">
            <w:pPr>
              <w:rPr>
                <w:b/>
                <w:lang w:val="en-US" w:eastAsia="en-US"/>
              </w:rPr>
            </w:pPr>
          </w:p>
        </w:tc>
        <w:tc>
          <w:tcPr>
            <w:tcW w:w="1984" w:type="dxa"/>
            <w:shd w:val="clear" w:color="auto" w:fill="EEECE1"/>
          </w:tcPr>
          <w:p w14:paraId="260854CF" w14:textId="77777777" w:rsidR="002536A1" w:rsidRPr="00627A1C" w:rsidRDefault="002536A1" w:rsidP="007D5E0B">
            <w:pPr>
              <w:jc w:val="both"/>
              <w:rPr>
                <w:lang w:val="en-US" w:eastAsia="en-US"/>
              </w:rPr>
            </w:pPr>
            <w:r w:rsidRPr="00627A1C">
              <w:rPr>
                <w:lang w:val="en-US" w:eastAsia="en-US"/>
              </w:rPr>
              <w:t>Indicator 3.1</w:t>
            </w:r>
          </w:p>
          <w:p w14:paraId="28AA45E5"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27481A9D"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1431CA4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5291BEB"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520ED5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7B3D52A7"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5C34859A" w14:textId="77777777" w:rsidTr="007D5E0B">
        <w:trPr>
          <w:trHeight w:val="458"/>
        </w:trPr>
        <w:tc>
          <w:tcPr>
            <w:tcW w:w="2142" w:type="dxa"/>
            <w:vMerge w:val="restart"/>
          </w:tcPr>
          <w:p w14:paraId="54A8A023" w14:textId="77777777" w:rsidR="002536A1" w:rsidRPr="00627A1C" w:rsidRDefault="002536A1" w:rsidP="007D5E0B">
            <w:pPr>
              <w:rPr>
                <w:b/>
                <w:lang w:val="en-US" w:eastAsia="en-US"/>
              </w:rPr>
            </w:pPr>
            <w:r w:rsidRPr="00627A1C">
              <w:rPr>
                <w:b/>
                <w:lang w:val="en-US" w:eastAsia="en-US"/>
              </w:rPr>
              <w:t>Outcome 3</w:t>
            </w:r>
          </w:p>
          <w:p w14:paraId="64144E6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7A11CB7E" w14:textId="77777777" w:rsidR="002536A1" w:rsidRPr="00627A1C" w:rsidRDefault="002536A1" w:rsidP="007D5E0B">
            <w:pPr>
              <w:jc w:val="both"/>
              <w:rPr>
                <w:lang w:val="en-US" w:eastAsia="en-US"/>
              </w:rPr>
            </w:pPr>
            <w:r w:rsidRPr="00627A1C">
              <w:rPr>
                <w:lang w:val="en-US" w:eastAsia="en-US"/>
              </w:rPr>
              <w:t>Indicator 3.2</w:t>
            </w:r>
          </w:p>
          <w:p w14:paraId="17B89271"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ED6C1A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2FD0243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F0B5309"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07D6B6B"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768EB7F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350D4DB0" w14:textId="77777777" w:rsidTr="007D5E0B">
        <w:trPr>
          <w:trHeight w:val="458"/>
        </w:trPr>
        <w:tc>
          <w:tcPr>
            <w:tcW w:w="2142" w:type="dxa"/>
            <w:vMerge/>
          </w:tcPr>
          <w:p w14:paraId="65F63CFC" w14:textId="77777777" w:rsidR="002536A1" w:rsidRPr="00627A1C" w:rsidRDefault="002536A1" w:rsidP="007D5E0B">
            <w:pPr>
              <w:rPr>
                <w:lang w:val="en-US" w:eastAsia="en-US"/>
              </w:rPr>
            </w:pPr>
          </w:p>
        </w:tc>
        <w:tc>
          <w:tcPr>
            <w:tcW w:w="1984" w:type="dxa"/>
            <w:shd w:val="clear" w:color="auto" w:fill="EEECE1"/>
          </w:tcPr>
          <w:p w14:paraId="328E79CC" w14:textId="77777777" w:rsidR="002536A1" w:rsidRPr="00627A1C" w:rsidRDefault="002536A1" w:rsidP="007D5E0B">
            <w:pPr>
              <w:jc w:val="both"/>
              <w:rPr>
                <w:lang w:val="en-US" w:eastAsia="en-US"/>
              </w:rPr>
            </w:pPr>
            <w:r w:rsidRPr="00627A1C">
              <w:rPr>
                <w:lang w:val="en-US" w:eastAsia="en-US"/>
              </w:rPr>
              <w:t>Indicator 3.3</w:t>
            </w:r>
          </w:p>
          <w:p w14:paraId="1EE35051"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18CF8A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682C3EF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4776B56"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45D762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08B24BD"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407F66D9" w14:textId="77777777" w:rsidTr="007D5E0B">
        <w:trPr>
          <w:trHeight w:val="458"/>
        </w:trPr>
        <w:tc>
          <w:tcPr>
            <w:tcW w:w="2142" w:type="dxa"/>
            <w:vMerge/>
          </w:tcPr>
          <w:p w14:paraId="5A6A2969" w14:textId="77777777" w:rsidR="002536A1" w:rsidRPr="00627A1C" w:rsidRDefault="002536A1" w:rsidP="007D5E0B">
            <w:pPr>
              <w:rPr>
                <w:lang w:val="en-US" w:eastAsia="en-US"/>
              </w:rPr>
            </w:pPr>
          </w:p>
        </w:tc>
        <w:tc>
          <w:tcPr>
            <w:tcW w:w="1984" w:type="dxa"/>
            <w:shd w:val="clear" w:color="auto" w:fill="EEECE1"/>
          </w:tcPr>
          <w:p w14:paraId="35C37E22" w14:textId="77777777" w:rsidR="002536A1" w:rsidRPr="00627A1C" w:rsidRDefault="002536A1" w:rsidP="007D5E0B">
            <w:pPr>
              <w:jc w:val="both"/>
              <w:rPr>
                <w:lang w:val="en-US" w:eastAsia="en-US"/>
              </w:rPr>
            </w:pPr>
            <w:r w:rsidRPr="00627A1C">
              <w:rPr>
                <w:lang w:val="en-US" w:eastAsia="en-US"/>
              </w:rPr>
              <w:t>Indicator 3.1.1</w:t>
            </w:r>
          </w:p>
          <w:p w14:paraId="27CAA1CA"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23AD8825"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534CAB0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F4A6FE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5B4DA6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62A515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34E0746F" w14:textId="77777777" w:rsidTr="007D5E0B">
        <w:trPr>
          <w:trHeight w:val="458"/>
        </w:trPr>
        <w:tc>
          <w:tcPr>
            <w:tcW w:w="2142" w:type="dxa"/>
            <w:vMerge w:val="restart"/>
          </w:tcPr>
          <w:p w14:paraId="7299706A" w14:textId="77777777" w:rsidR="002536A1" w:rsidRPr="00627A1C" w:rsidRDefault="002536A1" w:rsidP="007D5E0B">
            <w:pPr>
              <w:rPr>
                <w:lang w:val="en-US" w:eastAsia="en-US"/>
              </w:rPr>
            </w:pPr>
            <w:r w:rsidRPr="00627A1C">
              <w:rPr>
                <w:lang w:val="en-US" w:eastAsia="en-US"/>
              </w:rPr>
              <w:t>Output 3.1</w:t>
            </w:r>
          </w:p>
          <w:p w14:paraId="037A8DB2"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0F9A8A75" w14:textId="77777777" w:rsidR="002536A1" w:rsidRPr="00627A1C" w:rsidRDefault="002536A1" w:rsidP="007D5E0B">
            <w:pPr>
              <w:jc w:val="both"/>
              <w:rPr>
                <w:lang w:val="en-US" w:eastAsia="en-US"/>
              </w:rPr>
            </w:pPr>
            <w:r w:rsidRPr="00627A1C">
              <w:rPr>
                <w:lang w:val="en-US" w:eastAsia="en-US"/>
              </w:rPr>
              <w:t>Indicator 3.1.2</w:t>
            </w:r>
          </w:p>
          <w:p w14:paraId="36BE6519"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41394B9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E14F18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483ECC5"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41EF1A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522A1E7D"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6213BE72" w14:textId="77777777" w:rsidTr="007D5E0B">
        <w:trPr>
          <w:trHeight w:val="458"/>
        </w:trPr>
        <w:tc>
          <w:tcPr>
            <w:tcW w:w="2142" w:type="dxa"/>
            <w:vMerge/>
          </w:tcPr>
          <w:p w14:paraId="21DF83B1" w14:textId="77777777" w:rsidR="002536A1" w:rsidRPr="00627A1C" w:rsidRDefault="002536A1" w:rsidP="007D5E0B">
            <w:pPr>
              <w:rPr>
                <w:lang w:val="en-US" w:eastAsia="en-US"/>
              </w:rPr>
            </w:pPr>
          </w:p>
        </w:tc>
        <w:tc>
          <w:tcPr>
            <w:tcW w:w="1984" w:type="dxa"/>
            <w:shd w:val="clear" w:color="auto" w:fill="EEECE1"/>
          </w:tcPr>
          <w:p w14:paraId="16CBEE14" w14:textId="77777777" w:rsidR="002536A1" w:rsidRPr="00627A1C" w:rsidRDefault="002536A1" w:rsidP="007D5E0B">
            <w:pPr>
              <w:jc w:val="both"/>
              <w:rPr>
                <w:lang w:val="en-US" w:eastAsia="en-US"/>
              </w:rPr>
            </w:pPr>
            <w:r w:rsidRPr="00627A1C">
              <w:rPr>
                <w:lang w:val="en-US" w:eastAsia="en-US"/>
              </w:rPr>
              <w:t>Indicator 3.2.1</w:t>
            </w:r>
          </w:p>
          <w:p w14:paraId="28792166"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4A031F5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74D746C4"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1C2C372"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7D091C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077657D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7D88458B" w14:textId="77777777" w:rsidTr="007D5E0B">
        <w:trPr>
          <w:trHeight w:val="458"/>
        </w:trPr>
        <w:tc>
          <w:tcPr>
            <w:tcW w:w="2142" w:type="dxa"/>
            <w:vMerge w:val="restart"/>
          </w:tcPr>
          <w:p w14:paraId="2A7E0D3B" w14:textId="77777777" w:rsidR="002536A1" w:rsidRPr="00627A1C" w:rsidRDefault="002536A1" w:rsidP="007D5E0B">
            <w:pPr>
              <w:rPr>
                <w:lang w:val="en-US" w:eastAsia="en-US"/>
              </w:rPr>
            </w:pPr>
            <w:r w:rsidRPr="00627A1C">
              <w:rPr>
                <w:lang w:val="en-US" w:eastAsia="en-US"/>
              </w:rPr>
              <w:t>Output 3.2</w:t>
            </w:r>
          </w:p>
          <w:p w14:paraId="40CE66E7"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494E76EC" w14:textId="77777777" w:rsidR="002536A1" w:rsidRPr="00627A1C" w:rsidRDefault="002536A1" w:rsidP="007D5E0B">
            <w:pPr>
              <w:jc w:val="both"/>
              <w:rPr>
                <w:lang w:val="en-US" w:eastAsia="en-US"/>
              </w:rPr>
            </w:pPr>
            <w:r w:rsidRPr="00627A1C">
              <w:rPr>
                <w:lang w:val="en-US" w:eastAsia="en-US"/>
              </w:rPr>
              <w:t>Indicator 3.2.2</w:t>
            </w:r>
          </w:p>
          <w:p w14:paraId="62350EC1"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2883E5D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6715603D"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A19FD05"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20C822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04E9199D"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4909316F" w14:textId="77777777" w:rsidTr="007D5E0B">
        <w:trPr>
          <w:trHeight w:val="458"/>
        </w:trPr>
        <w:tc>
          <w:tcPr>
            <w:tcW w:w="2142" w:type="dxa"/>
            <w:vMerge/>
          </w:tcPr>
          <w:p w14:paraId="6FE0D776" w14:textId="77777777" w:rsidR="002536A1" w:rsidRPr="00627A1C" w:rsidRDefault="002536A1" w:rsidP="007D5E0B">
            <w:pPr>
              <w:rPr>
                <w:b/>
                <w:lang w:val="en-US" w:eastAsia="en-US"/>
              </w:rPr>
            </w:pPr>
          </w:p>
        </w:tc>
        <w:tc>
          <w:tcPr>
            <w:tcW w:w="1984" w:type="dxa"/>
            <w:shd w:val="clear" w:color="auto" w:fill="EEECE1"/>
          </w:tcPr>
          <w:p w14:paraId="1FB6AE59" w14:textId="77777777" w:rsidR="002536A1" w:rsidRPr="00627A1C" w:rsidRDefault="002536A1" w:rsidP="007D5E0B">
            <w:pPr>
              <w:jc w:val="both"/>
              <w:rPr>
                <w:lang w:val="en-US" w:eastAsia="en-US"/>
              </w:rPr>
            </w:pPr>
            <w:r w:rsidRPr="00627A1C">
              <w:rPr>
                <w:lang w:val="en-US" w:eastAsia="en-US"/>
              </w:rPr>
              <w:t>Indicator 3.3.1</w:t>
            </w:r>
          </w:p>
          <w:p w14:paraId="3E4B5623"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6B345354"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516DBCD1"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9F18F24"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30D438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6EE457C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11645EDE" w14:textId="77777777" w:rsidTr="007D5E0B">
        <w:trPr>
          <w:trHeight w:val="458"/>
        </w:trPr>
        <w:tc>
          <w:tcPr>
            <w:tcW w:w="2142" w:type="dxa"/>
            <w:vMerge w:val="restart"/>
          </w:tcPr>
          <w:p w14:paraId="00BA40C7" w14:textId="77777777" w:rsidR="002536A1" w:rsidRPr="00627A1C" w:rsidRDefault="002536A1" w:rsidP="007D5E0B">
            <w:pPr>
              <w:rPr>
                <w:lang w:val="en-US" w:eastAsia="en-US"/>
              </w:rPr>
            </w:pPr>
            <w:r w:rsidRPr="00627A1C">
              <w:rPr>
                <w:lang w:val="en-US" w:eastAsia="en-US"/>
              </w:rPr>
              <w:t>Output 3.3</w:t>
            </w:r>
          </w:p>
          <w:p w14:paraId="0453B06B"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19A3AD1A" w14:textId="77777777" w:rsidR="002536A1" w:rsidRPr="00627A1C" w:rsidRDefault="002536A1" w:rsidP="007D5E0B">
            <w:pPr>
              <w:jc w:val="both"/>
              <w:rPr>
                <w:lang w:val="en-US" w:eastAsia="en-US"/>
              </w:rPr>
            </w:pPr>
            <w:r w:rsidRPr="00627A1C">
              <w:rPr>
                <w:lang w:val="en-US" w:eastAsia="en-US"/>
              </w:rPr>
              <w:t>Indicator 3.3.2</w:t>
            </w:r>
          </w:p>
          <w:p w14:paraId="37346E35"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7174C4D1"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27AF88F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426ACD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AC0D18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231F3D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3BAA6C45" w14:textId="77777777" w:rsidTr="007D5E0B">
        <w:trPr>
          <w:trHeight w:val="458"/>
        </w:trPr>
        <w:tc>
          <w:tcPr>
            <w:tcW w:w="2142" w:type="dxa"/>
            <w:vMerge/>
          </w:tcPr>
          <w:p w14:paraId="5298235E" w14:textId="77777777" w:rsidR="002536A1" w:rsidRPr="00627A1C" w:rsidRDefault="002536A1" w:rsidP="007D5E0B">
            <w:pPr>
              <w:rPr>
                <w:b/>
                <w:lang w:val="en-US" w:eastAsia="en-US"/>
              </w:rPr>
            </w:pPr>
          </w:p>
        </w:tc>
        <w:tc>
          <w:tcPr>
            <w:tcW w:w="1984" w:type="dxa"/>
            <w:shd w:val="clear" w:color="auto" w:fill="EEECE1"/>
          </w:tcPr>
          <w:p w14:paraId="3191BA3F" w14:textId="77777777" w:rsidR="002536A1" w:rsidRPr="00627A1C" w:rsidRDefault="002536A1" w:rsidP="007D5E0B">
            <w:pPr>
              <w:jc w:val="both"/>
              <w:rPr>
                <w:lang w:val="en-US" w:eastAsia="en-US"/>
              </w:rPr>
            </w:pPr>
            <w:r w:rsidRPr="00627A1C">
              <w:rPr>
                <w:lang w:val="en-US" w:eastAsia="en-US"/>
              </w:rPr>
              <w:t>Indicator 3.4.1</w:t>
            </w:r>
          </w:p>
          <w:p w14:paraId="3EA2C858"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05ECC06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669EAAA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005A414"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374842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7FFCEB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1FFEB806" w14:textId="77777777" w:rsidTr="007D5E0B">
        <w:trPr>
          <w:trHeight w:val="458"/>
        </w:trPr>
        <w:tc>
          <w:tcPr>
            <w:tcW w:w="2142" w:type="dxa"/>
            <w:vMerge w:val="restart"/>
          </w:tcPr>
          <w:p w14:paraId="14085D79" w14:textId="77777777" w:rsidR="002536A1" w:rsidRPr="00627A1C" w:rsidRDefault="002536A1" w:rsidP="007D5E0B">
            <w:pPr>
              <w:rPr>
                <w:lang w:val="en-US" w:eastAsia="en-US"/>
              </w:rPr>
            </w:pPr>
            <w:r w:rsidRPr="00627A1C">
              <w:rPr>
                <w:lang w:val="en-US" w:eastAsia="en-US"/>
              </w:rPr>
              <w:t>Output 3.4</w:t>
            </w:r>
          </w:p>
          <w:p w14:paraId="1FF6AC99"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5548218D" w14:textId="77777777" w:rsidR="002536A1" w:rsidRPr="00627A1C" w:rsidRDefault="002536A1" w:rsidP="007D5E0B">
            <w:pPr>
              <w:jc w:val="both"/>
              <w:rPr>
                <w:lang w:val="en-US" w:eastAsia="en-US"/>
              </w:rPr>
            </w:pPr>
            <w:r w:rsidRPr="00627A1C">
              <w:rPr>
                <w:lang w:val="en-US" w:eastAsia="en-US"/>
              </w:rPr>
              <w:t>Indicator 3.4.2</w:t>
            </w:r>
          </w:p>
          <w:p w14:paraId="4B3C125C"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5A99421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489510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2F78B15"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D9F8E4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7D2217F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2F1962EA" w14:textId="77777777" w:rsidTr="007D5E0B">
        <w:trPr>
          <w:trHeight w:val="458"/>
        </w:trPr>
        <w:tc>
          <w:tcPr>
            <w:tcW w:w="2142" w:type="dxa"/>
            <w:vMerge/>
          </w:tcPr>
          <w:p w14:paraId="09E68EBB" w14:textId="77777777" w:rsidR="002536A1" w:rsidRPr="00627A1C" w:rsidRDefault="002536A1" w:rsidP="007D5E0B">
            <w:pPr>
              <w:rPr>
                <w:b/>
                <w:lang w:val="en-US" w:eastAsia="en-US"/>
              </w:rPr>
            </w:pPr>
          </w:p>
        </w:tc>
        <w:tc>
          <w:tcPr>
            <w:tcW w:w="1984" w:type="dxa"/>
            <w:shd w:val="clear" w:color="auto" w:fill="EEECE1"/>
          </w:tcPr>
          <w:p w14:paraId="6CFE5986" w14:textId="77777777" w:rsidR="002536A1" w:rsidRPr="00627A1C" w:rsidRDefault="002536A1" w:rsidP="007D5E0B">
            <w:pPr>
              <w:jc w:val="both"/>
              <w:rPr>
                <w:lang w:val="en-US" w:eastAsia="en-US"/>
              </w:rPr>
            </w:pPr>
            <w:r w:rsidRPr="00627A1C">
              <w:rPr>
                <w:lang w:val="en-US" w:eastAsia="en-US"/>
              </w:rPr>
              <w:t>Indicator 4.1</w:t>
            </w:r>
          </w:p>
          <w:p w14:paraId="74BD4F5B"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D9A42A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1FAFBF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4A13EFF"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8FA97AD"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509995E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5E783ECB" w14:textId="77777777" w:rsidTr="007D5E0B">
        <w:trPr>
          <w:trHeight w:val="458"/>
        </w:trPr>
        <w:tc>
          <w:tcPr>
            <w:tcW w:w="2142" w:type="dxa"/>
            <w:vMerge w:val="restart"/>
          </w:tcPr>
          <w:p w14:paraId="7BF47F39" w14:textId="77777777" w:rsidR="002536A1" w:rsidRPr="00627A1C" w:rsidRDefault="002536A1" w:rsidP="007D5E0B">
            <w:pPr>
              <w:rPr>
                <w:b/>
                <w:lang w:val="en-US" w:eastAsia="en-US"/>
              </w:rPr>
            </w:pPr>
            <w:r w:rsidRPr="00627A1C">
              <w:rPr>
                <w:b/>
                <w:lang w:val="en-US" w:eastAsia="en-US"/>
              </w:rPr>
              <w:lastRenderedPageBreak/>
              <w:t>Outcome 4</w:t>
            </w:r>
          </w:p>
          <w:p w14:paraId="6DC1B43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3B2B0A87" w14:textId="77777777" w:rsidR="002536A1" w:rsidRPr="00627A1C" w:rsidRDefault="002536A1" w:rsidP="007D5E0B">
            <w:pPr>
              <w:jc w:val="both"/>
              <w:rPr>
                <w:lang w:val="en-US" w:eastAsia="en-US"/>
              </w:rPr>
            </w:pPr>
            <w:r w:rsidRPr="00627A1C">
              <w:rPr>
                <w:lang w:val="en-US" w:eastAsia="en-US"/>
              </w:rPr>
              <w:t>Indicator 4.2</w:t>
            </w:r>
          </w:p>
          <w:p w14:paraId="7D3FBC93"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13243F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50656E2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E3FED2A"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57A4F0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5036B98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67DC61BD" w14:textId="77777777" w:rsidTr="007D5E0B">
        <w:trPr>
          <w:trHeight w:val="458"/>
        </w:trPr>
        <w:tc>
          <w:tcPr>
            <w:tcW w:w="2142" w:type="dxa"/>
            <w:vMerge/>
          </w:tcPr>
          <w:p w14:paraId="460DC7EA" w14:textId="77777777" w:rsidR="002536A1" w:rsidRPr="00627A1C" w:rsidRDefault="002536A1" w:rsidP="007D5E0B">
            <w:pPr>
              <w:rPr>
                <w:lang w:val="en-US" w:eastAsia="en-US"/>
              </w:rPr>
            </w:pPr>
          </w:p>
        </w:tc>
        <w:tc>
          <w:tcPr>
            <w:tcW w:w="1984" w:type="dxa"/>
            <w:shd w:val="clear" w:color="auto" w:fill="EEECE1"/>
          </w:tcPr>
          <w:p w14:paraId="19BB3181" w14:textId="77777777" w:rsidR="002536A1" w:rsidRPr="00627A1C" w:rsidRDefault="002536A1" w:rsidP="007D5E0B">
            <w:pPr>
              <w:jc w:val="both"/>
              <w:rPr>
                <w:lang w:val="en-US" w:eastAsia="en-US"/>
              </w:rPr>
            </w:pPr>
            <w:r w:rsidRPr="00627A1C">
              <w:rPr>
                <w:lang w:val="en-US" w:eastAsia="en-US"/>
              </w:rPr>
              <w:t>Indicator 4.3</w:t>
            </w:r>
          </w:p>
          <w:p w14:paraId="3D66DF01"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2E860B98"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6777A51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404C874"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68B025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DE5117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57226999" w14:textId="77777777" w:rsidTr="007D5E0B">
        <w:trPr>
          <w:trHeight w:val="458"/>
        </w:trPr>
        <w:tc>
          <w:tcPr>
            <w:tcW w:w="2142" w:type="dxa"/>
            <w:vMerge/>
          </w:tcPr>
          <w:p w14:paraId="0C9E897F" w14:textId="77777777" w:rsidR="002536A1" w:rsidRPr="00627A1C" w:rsidRDefault="002536A1" w:rsidP="007D5E0B">
            <w:pPr>
              <w:rPr>
                <w:lang w:val="en-US" w:eastAsia="en-US"/>
              </w:rPr>
            </w:pPr>
          </w:p>
        </w:tc>
        <w:tc>
          <w:tcPr>
            <w:tcW w:w="1984" w:type="dxa"/>
            <w:shd w:val="clear" w:color="auto" w:fill="EEECE1"/>
          </w:tcPr>
          <w:p w14:paraId="390D8DF3" w14:textId="77777777" w:rsidR="002536A1" w:rsidRPr="00627A1C" w:rsidRDefault="002536A1" w:rsidP="007D5E0B">
            <w:pPr>
              <w:jc w:val="both"/>
              <w:rPr>
                <w:lang w:val="en-US" w:eastAsia="en-US"/>
              </w:rPr>
            </w:pPr>
            <w:r w:rsidRPr="00627A1C">
              <w:rPr>
                <w:lang w:val="en-US" w:eastAsia="en-US"/>
              </w:rPr>
              <w:t>Indicator 4.1.1</w:t>
            </w:r>
          </w:p>
          <w:p w14:paraId="580B81B0"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4C7B11A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28622AC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590F398E"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81FD7B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38A2C312"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19B926C4" w14:textId="77777777" w:rsidTr="007D5E0B">
        <w:trPr>
          <w:trHeight w:val="458"/>
        </w:trPr>
        <w:tc>
          <w:tcPr>
            <w:tcW w:w="2142" w:type="dxa"/>
            <w:vMerge w:val="restart"/>
          </w:tcPr>
          <w:p w14:paraId="5E39E72D" w14:textId="77777777" w:rsidR="002536A1" w:rsidRPr="00627A1C" w:rsidRDefault="002536A1" w:rsidP="007D5E0B">
            <w:pPr>
              <w:rPr>
                <w:lang w:val="en-US" w:eastAsia="en-US"/>
              </w:rPr>
            </w:pPr>
            <w:r w:rsidRPr="00627A1C">
              <w:rPr>
                <w:lang w:val="en-US" w:eastAsia="en-US"/>
              </w:rPr>
              <w:t>Output 4.1</w:t>
            </w:r>
          </w:p>
          <w:p w14:paraId="6E6685F5"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6E2DF552" w14:textId="77777777" w:rsidR="002536A1" w:rsidRPr="00627A1C" w:rsidRDefault="002536A1" w:rsidP="007D5E0B">
            <w:pPr>
              <w:jc w:val="both"/>
              <w:rPr>
                <w:lang w:val="en-US" w:eastAsia="en-US"/>
              </w:rPr>
            </w:pPr>
            <w:r w:rsidRPr="00627A1C">
              <w:rPr>
                <w:lang w:val="en-US" w:eastAsia="en-US"/>
              </w:rPr>
              <w:t>Indicator 4.1.2</w:t>
            </w:r>
          </w:p>
          <w:p w14:paraId="74294B97"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6F45C2FC"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6256235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D97EE06"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8930EFB"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6CB292DD"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2A218D5D" w14:textId="77777777" w:rsidTr="007D5E0B">
        <w:trPr>
          <w:trHeight w:val="458"/>
        </w:trPr>
        <w:tc>
          <w:tcPr>
            <w:tcW w:w="2142" w:type="dxa"/>
            <w:vMerge/>
          </w:tcPr>
          <w:p w14:paraId="6F10F80E" w14:textId="77777777" w:rsidR="002536A1" w:rsidRPr="00627A1C" w:rsidRDefault="002536A1" w:rsidP="007D5E0B">
            <w:pPr>
              <w:rPr>
                <w:lang w:val="en-US" w:eastAsia="en-US"/>
              </w:rPr>
            </w:pPr>
          </w:p>
        </w:tc>
        <w:tc>
          <w:tcPr>
            <w:tcW w:w="1984" w:type="dxa"/>
            <w:shd w:val="clear" w:color="auto" w:fill="EEECE1"/>
          </w:tcPr>
          <w:p w14:paraId="79091C88" w14:textId="77777777" w:rsidR="002536A1" w:rsidRPr="00627A1C" w:rsidRDefault="002536A1" w:rsidP="007D5E0B">
            <w:pPr>
              <w:jc w:val="both"/>
              <w:rPr>
                <w:lang w:val="en-US" w:eastAsia="en-US"/>
              </w:rPr>
            </w:pPr>
            <w:r w:rsidRPr="00627A1C">
              <w:rPr>
                <w:lang w:val="en-US" w:eastAsia="en-US"/>
              </w:rPr>
              <w:t>Indicator 4.2.1</w:t>
            </w:r>
          </w:p>
          <w:p w14:paraId="6D987986"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0D7B0E15"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4D7ED9B"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2AC33312"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1D8AF24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767CBB1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40B4CAA8" w14:textId="77777777" w:rsidTr="007D5E0B">
        <w:trPr>
          <w:trHeight w:val="458"/>
        </w:trPr>
        <w:tc>
          <w:tcPr>
            <w:tcW w:w="2142" w:type="dxa"/>
            <w:vMerge w:val="restart"/>
          </w:tcPr>
          <w:p w14:paraId="6438EAF2" w14:textId="77777777" w:rsidR="002536A1" w:rsidRPr="00627A1C" w:rsidRDefault="002536A1" w:rsidP="007D5E0B">
            <w:pPr>
              <w:rPr>
                <w:lang w:val="en-US" w:eastAsia="en-US"/>
              </w:rPr>
            </w:pPr>
            <w:r w:rsidRPr="00627A1C">
              <w:rPr>
                <w:lang w:val="en-US" w:eastAsia="en-US"/>
              </w:rPr>
              <w:t>Output 4.2</w:t>
            </w:r>
          </w:p>
          <w:p w14:paraId="769A2EA9"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13FD070D" w14:textId="77777777" w:rsidR="002536A1" w:rsidRPr="00627A1C" w:rsidRDefault="002536A1" w:rsidP="007D5E0B">
            <w:pPr>
              <w:jc w:val="both"/>
              <w:rPr>
                <w:lang w:val="en-US" w:eastAsia="en-US"/>
              </w:rPr>
            </w:pPr>
            <w:r w:rsidRPr="00627A1C">
              <w:rPr>
                <w:lang w:val="en-US" w:eastAsia="en-US"/>
              </w:rPr>
              <w:t>Indicator 4.2.2</w:t>
            </w:r>
          </w:p>
          <w:p w14:paraId="6D0448B9"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5866DA9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7CDCB695"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A556944"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9B42859"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0F7CC596"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13702E17" w14:textId="77777777" w:rsidTr="007D5E0B">
        <w:trPr>
          <w:trHeight w:val="458"/>
        </w:trPr>
        <w:tc>
          <w:tcPr>
            <w:tcW w:w="2142" w:type="dxa"/>
            <w:vMerge/>
          </w:tcPr>
          <w:p w14:paraId="72CF6D97" w14:textId="77777777" w:rsidR="002536A1" w:rsidRPr="00627A1C" w:rsidRDefault="002536A1" w:rsidP="007D5E0B">
            <w:pPr>
              <w:rPr>
                <w:b/>
                <w:lang w:val="en-US" w:eastAsia="en-US"/>
              </w:rPr>
            </w:pPr>
          </w:p>
        </w:tc>
        <w:tc>
          <w:tcPr>
            <w:tcW w:w="1984" w:type="dxa"/>
            <w:shd w:val="clear" w:color="auto" w:fill="EEECE1"/>
          </w:tcPr>
          <w:p w14:paraId="1AAC1C8A" w14:textId="77777777" w:rsidR="002536A1" w:rsidRPr="00627A1C" w:rsidRDefault="002536A1" w:rsidP="007D5E0B">
            <w:pPr>
              <w:jc w:val="both"/>
              <w:rPr>
                <w:lang w:val="en-US" w:eastAsia="en-US"/>
              </w:rPr>
            </w:pPr>
            <w:r w:rsidRPr="00627A1C">
              <w:rPr>
                <w:lang w:val="en-US" w:eastAsia="en-US"/>
              </w:rPr>
              <w:t>Indicator 4.3.1</w:t>
            </w:r>
          </w:p>
          <w:p w14:paraId="57CF9626"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51C01C9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52160FE5"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36C96C3"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67E0971F"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E1269C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3F697928" w14:textId="77777777" w:rsidTr="007D5E0B">
        <w:trPr>
          <w:trHeight w:val="458"/>
        </w:trPr>
        <w:tc>
          <w:tcPr>
            <w:tcW w:w="2142" w:type="dxa"/>
            <w:vMerge w:val="restart"/>
          </w:tcPr>
          <w:p w14:paraId="51A4F070" w14:textId="77777777" w:rsidR="002536A1" w:rsidRPr="00627A1C" w:rsidRDefault="002536A1" w:rsidP="007D5E0B">
            <w:pPr>
              <w:rPr>
                <w:lang w:val="en-US" w:eastAsia="en-US"/>
              </w:rPr>
            </w:pPr>
            <w:r w:rsidRPr="00627A1C">
              <w:rPr>
                <w:lang w:val="en-US" w:eastAsia="en-US"/>
              </w:rPr>
              <w:t>Output 4.3</w:t>
            </w:r>
          </w:p>
          <w:p w14:paraId="3FA8C87D"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4920280B" w14:textId="77777777" w:rsidR="002536A1" w:rsidRPr="00627A1C" w:rsidRDefault="002536A1" w:rsidP="007D5E0B">
            <w:pPr>
              <w:jc w:val="both"/>
              <w:rPr>
                <w:lang w:val="en-US" w:eastAsia="en-US"/>
              </w:rPr>
            </w:pPr>
            <w:r w:rsidRPr="00627A1C">
              <w:rPr>
                <w:lang w:val="en-US" w:eastAsia="en-US"/>
              </w:rPr>
              <w:t>Indicator 4.3.2</w:t>
            </w:r>
          </w:p>
          <w:p w14:paraId="71AD1685"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845D512"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4A0BC49E"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4082BA44"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72308683"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4AA53830"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2688312A" w14:textId="77777777" w:rsidTr="007D5E0B">
        <w:trPr>
          <w:trHeight w:val="458"/>
        </w:trPr>
        <w:tc>
          <w:tcPr>
            <w:tcW w:w="2142" w:type="dxa"/>
            <w:vMerge/>
          </w:tcPr>
          <w:p w14:paraId="4C59C6B4" w14:textId="77777777" w:rsidR="002536A1" w:rsidRPr="00627A1C" w:rsidRDefault="002536A1" w:rsidP="007D5E0B">
            <w:pPr>
              <w:rPr>
                <w:b/>
                <w:lang w:val="en-US" w:eastAsia="en-US"/>
              </w:rPr>
            </w:pPr>
          </w:p>
        </w:tc>
        <w:tc>
          <w:tcPr>
            <w:tcW w:w="1984" w:type="dxa"/>
            <w:shd w:val="clear" w:color="auto" w:fill="EEECE1"/>
          </w:tcPr>
          <w:p w14:paraId="2B28B2B2" w14:textId="77777777" w:rsidR="002536A1" w:rsidRPr="00627A1C" w:rsidRDefault="002536A1" w:rsidP="007D5E0B">
            <w:pPr>
              <w:jc w:val="both"/>
              <w:rPr>
                <w:lang w:val="en-US" w:eastAsia="en-US"/>
              </w:rPr>
            </w:pPr>
            <w:r w:rsidRPr="00627A1C">
              <w:rPr>
                <w:lang w:val="en-US" w:eastAsia="en-US"/>
              </w:rPr>
              <w:t>Indicator 4.4.1</w:t>
            </w:r>
          </w:p>
          <w:p w14:paraId="535C1F32" w14:textId="77777777" w:rsidR="002536A1" w:rsidRPr="00627A1C" w:rsidRDefault="002536A1" w:rsidP="007D5E0B">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18" w:type="dxa"/>
            <w:shd w:val="clear" w:color="auto" w:fill="EEECE1"/>
          </w:tcPr>
          <w:p w14:paraId="1025946A"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59" w:type="dxa"/>
            <w:shd w:val="clear" w:color="auto" w:fill="EEECE1"/>
          </w:tcPr>
          <w:p w14:paraId="0CBB526B"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09559749" w14:textId="77777777" w:rsidR="002536A1" w:rsidRPr="00627A1C" w:rsidRDefault="002536A1" w:rsidP="007D5E0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76" w:type="dxa"/>
          </w:tcPr>
          <w:p w14:paraId="339978C7"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5465" w:type="dxa"/>
          </w:tcPr>
          <w:p w14:paraId="21BB390B" w14:textId="77777777" w:rsidR="002536A1" w:rsidRPr="00627A1C" w:rsidRDefault="002536A1" w:rsidP="007D5E0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536A1" w:rsidRPr="00627A1C" w14:paraId="766D9064" w14:textId="77777777" w:rsidTr="007D5E0B">
        <w:trPr>
          <w:trHeight w:val="458"/>
        </w:trPr>
        <w:tc>
          <w:tcPr>
            <w:tcW w:w="2142" w:type="dxa"/>
          </w:tcPr>
          <w:p w14:paraId="51D2EDC0" w14:textId="77777777" w:rsidR="002536A1" w:rsidRPr="00627A1C" w:rsidRDefault="002536A1" w:rsidP="007D5E0B">
            <w:pPr>
              <w:rPr>
                <w:lang w:val="en-US" w:eastAsia="en-US"/>
              </w:rPr>
            </w:pPr>
            <w:r w:rsidRPr="00627A1C">
              <w:rPr>
                <w:lang w:val="en-US" w:eastAsia="en-US"/>
              </w:rPr>
              <w:t>Output 4.4</w:t>
            </w:r>
          </w:p>
          <w:p w14:paraId="23F7C242" w14:textId="77777777" w:rsidR="002536A1" w:rsidRPr="00627A1C" w:rsidRDefault="002536A1" w:rsidP="007D5E0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4" w:type="dxa"/>
            <w:shd w:val="clear" w:color="auto" w:fill="EEECE1"/>
          </w:tcPr>
          <w:p w14:paraId="72E419D7" w14:textId="77777777" w:rsidR="002536A1" w:rsidRPr="00627A1C" w:rsidRDefault="002536A1" w:rsidP="007D5E0B">
            <w:pPr>
              <w:jc w:val="both"/>
              <w:rPr>
                <w:lang w:val="en-US" w:eastAsia="en-US"/>
              </w:rPr>
            </w:pPr>
          </w:p>
        </w:tc>
        <w:tc>
          <w:tcPr>
            <w:tcW w:w="1418" w:type="dxa"/>
            <w:shd w:val="clear" w:color="auto" w:fill="EEECE1"/>
          </w:tcPr>
          <w:p w14:paraId="33C05254" w14:textId="77777777" w:rsidR="002536A1" w:rsidRPr="00627A1C" w:rsidRDefault="002536A1" w:rsidP="007D5E0B"/>
        </w:tc>
        <w:tc>
          <w:tcPr>
            <w:tcW w:w="1559" w:type="dxa"/>
            <w:shd w:val="clear" w:color="auto" w:fill="EEECE1"/>
          </w:tcPr>
          <w:p w14:paraId="742338DA" w14:textId="77777777" w:rsidR="002536A1" w:rsidRPr="00627A1C" w:rsidRDefault="002536A1" w:rsidP="007D5E0B"/>
        </w:tc>
        <w:tc>
          <w:tcPr>
            <w:tcW w:w="1276" w:type="dxa"/>
          </w:tcPr>
          <w:p w14:paraId="06490952" w14:textId="77777777" w:rsidR="002536A1" w:rsidRPr="00627A1C" w:rsidRDefault="002536A1" w:rsidP="007D5E0B">
            <w:pPr>
              <w:rPr>
                <w:b/>
                <w:lang w:val="en-US" w:eastAsia="en-US"/>
              </w:rPr>
            </w:pPr>
          </w:p>
        </w:tc>
        <w:tc>
          <w:tcPr>
            <w:tcW w:w="1276" w:type="dxa"/>
          </w:tcPr>
          <w:p w14:paraId="3AF747A9" w14:textId="77777777" w:rsidR="002536A1" w:rsidRPr="00627A1C" w:rsidRDefault="002536A1" w:rsidP="007D5E0B"/>
        </w:tc>
        <w:tc>
          <w:tcPr>
            <w:tcW w:w="5465" w:type="dxa"/>
          </w:tcPr>
          <w:p w14:paraId="3B84F310" w14:textId="77777777" w:rsidR="002536A1" w:rsidRPr="00627A1C" w:rsidRDefault="002536A1" w:rsidP="007D5E0B"/>
        </w:tc>
      </w:tr>
    </w:tbl>
    <w:p w14:paraId="51A9F46F" w14:textId="00132E67" w:rsidR="002536A1" w:rsidRDefault="002536A1" w:rsidP="004E3B3E">
      <w:pPr>
        <w:outlineLvl w:val="0"/>
        <w:rPr>
          <w:lang w:val="en-US" w:eastAsia="en-US"/>
        </w:rPr>
      </w:pPr>
    </w:p>
    <w:p w14:paraId="7AE7E45B" w14:textId="77777777" w:rsidR="002536A1" w:rsidRPr="00627A1C" w:rsidRDefault="002536A1" w:rsidP="004E3B3E">
      <w:pPr>
        <w:outlineLvl w:val="0"/>
        <w:rPr>
          <w:lang w:val="en-US" w:eastAsia="en-US"/>
        </w:rPr>
      </w:pPr>
    </w:p>
    <w:sectPr w:rsidR="002536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FE33" w14:textId="77777777" w:rsidR="008C4307" w:rsidRDefault="008C4307" w:rsidP="00E76CA1">
      <w:r>
        <w:separator/>
      </w:r>
    </w:p>
  </w:endnote>
  <w:endnote w:type="continuationSeparator" w:id="0">
    <w:p w14:paraId="5ACCDB81" w14:textId="77777777" w:rsidR="008C4307" w:rsidRDefault="008C430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4491B" w:rsidRDefault="00E4491B">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4491B" w:rsidRDefault="00E4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B3FD" w14:textId="77777777" w:rsidR="008C4307" w:rsidRDefault="008C4307" w:rsidP="00E76CA1">
      <w:r>
        <w:separator/>
      </w:r>
    </w:p>
  </w:footnote>
  <w:footnote w:type="continuationSeparator" w:id="0">
    <w:p w14:paraId="3DB758AA" w14:textId="77777777" w:rsidR="008C4307" w:rsidRDefault="008C4307"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87B"/>
    <w:rsid w:val="000022C4"/>
    <w:rsid w:val="00002815"/>
    <w:rsid w:val="00005737"/>
    <w:rsid w:val="00006DBE"/>
    <w:rsid w:val="00006EC0"/>
    <w:rsid w:val="000072E5"/>
    <w:rsid w:val="000103F4"/>
    <w:rsid w:val="00010EB0"/>
    <w:rsid w:val="0001109A"/>
    <w:rsid w:val="00013D36"/>
    <w:rsid w:val="00013D69"/>
    <w:rsid w:val="00014B13"/>
    <w:rsid w:val="00014FEF"/>
    <w:rsid w:val="00024A3F"/>
    <w:rsid w:val="00025BE5"/>
    <w:rsid w:val="00025EFA"/>
    <w:rsid w:val="0002666E"/>
    <w:rsid w:val="00031640"/>
    <w:rsid w:val="000333CA"/>
    <w:rsid w:val="00034A40"/>
    <w:rsid w:val="00034A4C"/>
    <w:rsid w:val="00045C24"/>
    <w:rsid w:val="000475ED"/>
    <w:rsid w:val="00050759"/>
    <w:rsid w:val="00051F71"/>
    <w:rsid w:val="0005216F"/>
    <w:rsid w:val="00052745"/>
    <w:rsid w:val="00052DE5"/>
    <w:rsid w:val="0005533C"/>
    <w:rsid w:val="000554F8"/>
    <w:rsid w:val="00056B25"/>
    <w:rsid w:val="0006274E"/>
    <w:rsid w:val="00063017"/>
    <w:rsid w:val="00070903"/>
    <w:rsid w:val="000718FE"/>
    <w:rsid w:val="000731D0"/>
    <w:rsid w:val="00075D98"/>
    <w:rsid w:val="0008134A"/>
    <w:rsid w:val="0008233D"/>
    <w:rsid w:val="00082738"/>
    <w:rsid w:val="00082EBD"/>
    <w:rsid w:val="0008350A"/>
    <w:rsid w:val="00084F64"/>
    <w:rsid w:val="00091CFD"/>
    <w:rsid w:val="00092442"/>
    <w:rsid w:val="00097027"/>
    <w:rsid w:val="000A2E95"/>
    <w:rsid w:val="000A45F4"/>
    <w:rsid w:val="000A4660"/>
    <w:rsid w:val="000A51DA"/>
    <w:rsid w:val="000A6719"/>
    <w:rsid w:val="000A7652"/>
    <w:rsid w:val="000B0705"/>
    <w:rsid w:val="000B078E"/>
    <w:rsid w:val="000B4E5C"/>
    <w:rsid w:val="000B7954"/>
    <w:rsid w:val="000B7CF0"/>
    <w:rsid w:val="000C5C1D"/>
    <w:rsid w:val="000C5ED4"/>
    <w:rsid w:val="000C7EA0"/>
    <w:rsid w:val="000D34C6"/>
    <w:rsid w:val="000D3874"/>
    <w:rsid w:val="000D4F4B"/>
    <w:rsid w:val="000D7AC3"/>
    <w:rsid w:val="000E05AE"/>
    <w:rsid w:val="000E1958"/>
    <w:rsid w:val="000E29E1"/>
    <w:rsid w:val="000E6A96"/>
    <w:rsid w:val="000F05A2"/>
    <w:rsid w:val="000F13B1"/>
    <w:rsid w:val="000F2632"/>
    <w:rsid w:val="000F637B"/>
    <w:rsid w:val="00102C0E"/>
    <w:rsid w:val="00112741"/>
    <w:rsid w:val="00113D2B"/>
    <w:rsid w:val="00113EC4"/>
    <w:rsid w:val="00116449"/>
    <w:rsid w:val="0011666C"/>
    <w:rsid w:val="00116ECC"/>
    <w:rsid w:val="00121B2D"/>
    <w:rsid w:val="00123238"/>
    <w:rsid w:val="001239DF"/>
    <w:rsid w:val="00124BA4"/>
    <w:rsid w:val="001307FA"/>
    <w:rsid w:val="00131824"/>
    <w:rsid w:val="001332F3"/>
    <w:rsid w:val="00134364"/>
    <w:rsid w:val="00135CE2"/>
    <w:rsid w:val="00136B32"/>
    <w:rsid w:val="001419C2"/>
    <w:rsid w:val="001444EE"/>
    <w:rsid w:val="00145766"/>
    <w:rsid w:val="001458E9"/>
    <w:rsid w:val="00146C48"/>
    <w:rsid w:val="00150C2D"/>
    <w:rsid w:val="00153CD9"/>
    <w:rsid w:val="00155B0A"/>
    <w:rsid w:val="00156AFA"/>
    <w:rsid w:val="00156C4C"/>
    <w:rsid w:val="00157BF2"/>
    <w:rsid w:val="001607B2"/>
    <w:rsid w:val="0016088D"/>
    <w:rsid w:val="00161D02"/>
    <w:rsid w:val="001650E1"/>
    <w:rsid w:val="00165836"/>
    <w:rsid w:val="00167532"/>
    <w:rsid w:val="00176DE6"/>
    <w:rsid w:val="0018095F"/>
    <w:rsid w:val="0018313E"/>
    <w:rsid w:val="0018446E"/>
    <w:rsid w:val="00185425"/>
    <w:rsid w:val="00186529"/>
    <w:rsid w:val="00192F1D"/>
    <w:rsid w:val="0019328A"/>
    <w:rsid w:val="001945D9"/>
    <w:rsid w:val="00194D4C"/>
    <w:rsid w:val="00194DC8"/>
    <w:rsid w:val="00196AA8"/>
    <w:rsid w:val="001A1E86"/>
    <w:rsid w:val="001A3157"/>
    <w:rsid w:val="001A374F"/>
    <w:rsid w:val="001A4786"/>
    <w:rsid w:val="001A6D7E"/>
    <w:rsid w:val="001B1EAF"/>
    <w:rsid w:val="001B458D"/>
    <w:rsid w:val="001B54AC"/>
    <w:rsid w:val="001B5D16"/>
    <w:rsid w:val="001B6DFD"/>
    <w:rsid w:val="001B7146"/>
    <w:rsid w:val="001C042B"/>
    <w:rsid w:val="001C1B9A"/>
    <w:rsid w:val="001C4484"/>
    <w:rsid w:val="001C46E9"/>
    <w:rsid w:val="001C5691"/>
    <w:rsid w:val="001C56B8"/>
    <w:rsid w:val="001C5B82"/>
    <w:rsid w:val="001D1BBD"/>
    <w:rsid w:val="001D1C14"/>
    <w:rsid w:val="001D48F9"/>
    <w:rsid w:val="001D575F"/>
    <w:rsid w:val="001D6683"/>
    <w:rsid w:val="001D67F9"/>
    <w:rsid w:val="001E1C7A"/>
    <w:rsid w:val="001E583E"/>
    <w:rsid w:val="001E660A"/>
    <w:rsid w:val="001F2354"/>
    <w:rsid w:val="001F308A"/>
    <w:rsid w:val="001F5349"/>
    <w:rsid w:val="001F6FC4"/>
    <w:rsid w:val="0020130A"/>
    <w:rsid w:val="00202CCA"/>
    <w:rsid w:val="002048B5"/>
    <w:rsid w:val="00204E6D"/>
    <w:rsid w:val="00205EB7"/>
    <w:rsid w:val="00206D45"/>
    <w:rsid w:val="00206FD1"/>
    <w:rsid w:val="0020791D"/>
    <w:rsid w:val="002129DA"/>
    <w:rsid w:val="00214B19"/>
    <w:rsid w:val="0021550A"/>
    <w:rsid w:val="00215F41"/>
    <w:rsid w:val="00217A2E"/>
    <w:rsid w:val="00217EB6"/>
    <w:rsid w:val="00221058"/>
    <w:rsid w:val="00224693"/>
    <w:rsid w:val="002247C2"/>
    <w:rsid w:val="00225EC6"/>
    <w:rsid w:val="002322E6"/>
    <w:rsid w:val="00233827"/>
    <w:rsid w:val="00234A5E"/>
    <w:rsid w:val="00235B9C"/>
    <w:rsid w:val="00236072"/>
    <w:rsid w:val="0023672E"/>
    <w:rsid w:val="00236AB3"/>
    <w:rsid w:val="002436F0"/>
    <w:rsid w:val="00245E73"/>
    <w:rsid w:val="00246135"/>
    <w:rsid w:val="002463A4"/>
    <w:rsid w:val="00247F4E"/>
    <w:rsid w:val="00251E92"/>
    <w:rsid w:val="0025220B"/>
    <w:rsid w:val="00252B39"/>
    <w:rsid w:val="00252DB2"/>
    <w:rsid w:val="002536A1"/>
    <w:rsid w:val="00254AC2"/>
    <w:rsid w:val="0025525B"/>
    <w:rsid w:val="00255D6B"/>
    <w:rsid w:val="00257569"/>
    <w:rsid w:val="00271E5C"/>
    <w:rsid w:val="0027242A"/>
    <w:rsid w:val="00272A58"/>
    <w:rsid w:val="00273AD0"/>
    <w:rsid w:val="002822AF"/>
    <w:rsid w:val="002822B1"/>
    <w:rsid w:val="00282BD9"/>
    <w:rsid w:val="00286F66"/>
    <w:rsid w:val="00287611"/>
    <w:rsid w:val="00287878"/>
    <w:rsid w:val="00292637"/>
    <w:rsid w:val="002940E8"/>
    <w:rsid w:val="00296C15"/>
    <w:rsid w:val="002A1877"/>
    <w:rsid w:val="002B3207"/>
    <w:rsid w:val="002B346A"/>
    <w:rsid w:val="002B351E"/>
    <w:rsid w:val="002B43D4"/>
    <w:rsid w:val="002B4426"/>
    <w:rsid w:val="002B5F4F"/>
    <w:rsid w:val="002B740B"/>
    <w:rsid w:val="002B77C8"/>
    <w:rsid w:val="002C052F"/>
    <w:rsid w:val="002C187A"/>
    <w:rsid w:val="002C1EB9"/>
    <w:rsid w:val="002C20A8"/>
    <w:rsid w:val="002C2666"/>
    <w:rsid w:val="002C5DD0"/>
    <w:rsid w:val="002C7051"/>
    <w:rsid w:val="002D2FBB"/>
    <w:rsid w:val="002D4247"/>
    <w:rsid w:val="002D4586"/>
    <w:rsid w:val="002D4F5A"/>
    <w:rsid w:val="002D68D7"/>
    <w:rsid w:val="002D766B"/>
    <w:rsid w:val="002E10E6"/>
    <w:rsid w:val="002E1CED"/>
    <w:rsid w:val="002E5250"/>
    <w:rsid w:val="002E61AA"/>
    <w:rsid w:val="002E6F58"/>
    <w:rsid w:val="002E745D"/>
    <w:rsid w:val="002F10F6"/>
    <w:rsid w:val="002F15D9"/>
    <w:rsid w:val="002F26EC"/>
    <w:rsid w:val="002F42EA"/>
    <w:rsid w:val="003040D8"/>
    <w:rsid w:val="0030455E"/>
    <w:rsid w:val="00305626"/>
    <w:rsid w:val="00313801"/>
    <w:rsid w:val="00316D58"/>
    <w:rsid w:val="003212BB"/>
    <w:rsid w:val="00321C92"/>
    <w:rsid w:val="003235DF"/>
    <w:rsid w:val="00323ABC"/>
    <w:rsid w:val="00324A7C"/>
    <w:rsid w:val="00324FE5"/>
    <w:rsid w:val="00330BBD"/>
    <w:rsid w:val="00331832"/>
    <w:rsid w:val="003324C1"/>
    <w:rsid w:val="00333EC9"/>
    <w:rsid w:val="0033515C"/>
    <w:rsid w:val="00336BF8"/>
    <w:rsid w:val="00342356"/>
    <w:rsid w:val="00342857"/>
    <w:rsid w:val="00343425"/>
    <w:rsid w:val="0034386B"/>
    <w:rsid w:val="00344426"/>
    <w:rsid w:val="00346D73"/>
    <w:rsid w:val="003473C6"/>
    <w:rsid w:val="00347D67"/>
    <w:rsid w:val="003551CC"/>
    <w:rsid w:val="0035676B"/>
    <w:rsid w:val="00357DB0"/>
    <w:rsid w:val="003626F0"/>
    <w:rsid w:val="0036386A"/>
    <w:rsid w:val="00364FBF"/>
    <w:rsid w:val="00366549"/>
    <w:rsid w:val="00372156"/>
    <w:rsid w:val="003722AE"/>
    <w:rsid w:val="003727DA"/>
    <w:rsid w:val="00372B79"/>
    <w:rsid w:val="00372CC2"/>
    <w:rsid w:val="0037561F"/>
    <w:rsid w:val="003761BF"/>
    <w:rsid w:val="00380849"/>
    <w:rsid w:val="003818DB"/>
    <w:rsid w:val="00382CFA"/>
    <w:rsid w:val="003834CD"/>
    <w:rsid w:val="00383908"/>
    <w:rsid w:val="003861B4"/>
    <w:rsid w:val="00391614"/>
    <w:rsid w:val="003966E6"/>
    <w:rsid w:val="003968D7"/>
    <w:rsid w:val="003A4A4E"/>
    <w:rsid w:val="003A613D"/>
    <w:rsid w:val="003A6341"/>
    <w:rsid w:val="003B0732"/>
    <w:rsid w:val="003B2823"/>
    <w:rsid w:val="003B2876"/>
    <w:rsid w:val="003B3A5F"/>
    <w:rsid w:val="003B3B4A"/>
    <w:rsid w:val="003B5338"/>
    <w:rsid w:val="003B68BC"/>
    <w:rsid w:val="003C15CC"/>
    <w:rsid w:val="003C2400"/>
    <w:rsid w:val="003C5283"/>
    <w:rsid w:val="003C5CC6"/>
    <w:rsid w:val="003C646B"/>
    <w:rsid w:val="003D12C7"/>
    <w:rsid w:val="003D228B"/>
    <w:rsid w:val="003D4CD7"/>
    <w:rsid w:val="003D4D7C"/>
    <w:rsid w:val="003D510B"/>
    <w:rsid w:val="003D68FF"/>
    <w:rsid w:val="003E584D"/>
    <w:rsid w:val="003F08B1"/>
    <w:rsid w:val="003F21BE"/>
    <w:rsid w:val="003F2E57"/>
    <w:rsid w:val="003F36FB"/>
    <w:rsid w:val="003F660A"/>
    <w:rsid w:val="004013A9"/>
    <w:rsid w:val="004017BD"/>
    <w:rsid w:val="00402083"/>
    <w:rsid w:val="004023AC"/>
    <w:rsid w:val="00402514"/>
    <w:rsid w:val="0040513F"/>
    <w:rsid w:val="00405DA9"/>
    <w:rsid w:val="00405DE7"/>
    <w:rsid w:val="004068F2"/>
    <w:rsid w:val="00411A5F"/>
    <w:rsid w:val="00413EAF"/>
    <w:rsid w:val="00414097"/>
    <w:rsid w:val="00414CB1"/>
    <w:rsid w:val="00417878"/>
    <w:rsid w:val="004213AF"/>
    <w:rsid w:val="004230BB"/>
    <w:rsid w:val="00425AF8"/>
    <w:rsid w:val="00437FF5"/>
    <w:rsid w:val="004428EA"/>
    <w:rsid w:val="00452D8B"/>
    <w:rsid w:val="00453A4A"/>
    <w:rsid w:val="00453E12"/>
    <w:rsid w:val="00456327"/>
    <w:rsid w:val="004602CB"/>
    <w:rsid w:val="0046101E"/>
    <w:rsid w:val="00461082"/>
    <w:rsid w:val="00461944"/>
    <w:rsid w:val="00464188"/>
    <w:rsid w:val="004642DA"/>
    <w:rsid w:val="00470417"/>
    <w:rsid w:val="004709D4"/>
    <w:rsid w:val="00470EC3"/>
    <w:rsid w:val="00477CF8"/>
    <w:rsid w:val="00480A02"/>
    <w:rsid w:val="0048168F"/>
    <w:rsid w:val="00484092"/>
    <w:rsid w:val="00484169"/>
    <w:rsid w:val="004900E5"/>
    <w:rsid w:val="00494893"/>
    <w:rsid w:val="00495AC5"/>
    <w:rsid w:val="004965A3"/>
    <w:rsid w:val="004A064A"/>
    <w:rsid w:val="004A0680"/>
    <w:rsid w:val="004A210E"/>
    <w:rsid w:val="004A49E6"/>
    <w:rsid w:val="004B1E1E"/>
    <w:rsid w:val="004B36BD"/>
    <w:rsid w:val="004B5601"/>
    <w:rsid w:val="004B5B20"/>
    <w:rsid w:val="004B603A"/>
    <w:rsid w:val="004B7B6A"/>
    <w:rsid w:val="004C067C"/>
    <w:rsid w:val="004C3DC3"/>
    <w:rsid w:val="004C4F3B"/>
    <w:rsid w:val="004C532E"/>
    <w:rsid w:val="004C582C"/>
    <w:rsid w:val="004D141E"/>
    <w:rsid w:val="004D3555"/>
    <w:rsid w:val="004E33A8"/>
    <w:rsid w:val="004E3B3E"/>
    <w:rsid w:val="004E3BD7"/>
    <w:rsid w:val="004E6614"/>
    <w:rsid w:val="004E7E5A"/>
    <w:rsid w:val="004F016F"/>
    <w:rsid w:val="004F7804"/>
    <w:rsid w:val="004F7D22"/>
    <w:rsid w:val="00505758"/>
    <w:rsid w:val="005129DA"/>
    <w:rsid w:val="00513612"/>
    <w:rsid w:val="00513D8E"/>
    <w:rsid w:val="005156B1"/>
    <w:rsid w:val="00515EEF"/>
    <w:rsid w:val="005174D6"/>
    <w:rsid w:val="0051786C"/>
    <w:rsid w:val="005208FF"/>
    <w:rsid w:val="00521468"/>
    <w:rsid w:val="005216B2"/>
    <w:rsid w:val="00521A07"/>
    <w:rsid w:val="00526655"/>
    <w:rsid w:val="00526735"/>
    <w:rsid w:val="00526B32"/>
    <w:rsid w:val="00527E52"/>
    <w:rsid w:val="0053126F"/>
    <w:rsid w:val="00531545"/>
    <w:rsid w:val="00535054"/>
    <w:rsid w:val="005357D9"/>
    <w:rsid w:val="00536175"/>
    <w:rsid w:val="00536C82"/>
    <w:rsid w:val="00541F2E"/>
    <w:rsid w:val="00543771"/>
    <w:rsid w:val="0054416C"/>
    <w:rsid w:val="00544390"/>
    <w:rsid w:val="00544781"/>
    <w:rsid w:val="00545977"/>
    <w:rsid w:val="005460E0"/>
    <w:rsid w:val="005470AF"/>
    <w:rsid w:val="00550982"/>
    <w:rsid w:val="0055185F"/>
    <w:rsid w:val="00553A7C"/>
    <w:rsid w:val="00553D53"/>
    <w:rsid w:val="00560626"/>
    <w:rsid w:val="0056086D"/>
    <w:rsid w:val="00561C6B"/>
    <w:rsid w:val="0057086A"/>
    <w:rsid w:val="00570DF9"/>
    <w:rsid w:val="005715D9"/>
    <w:rsid w:val="005718ED"/>
    <w:rsid w:val="00580FFE"/>
    <w:rsid w:val="0058153F"/>
    <w:rsid w:val="00582D9B"/>
    <w:rsid w:val="00582EAC"/>
    <w:rsid w:val="0058301B"/>
    <w:rsid w:val="00586ECC"/>
    <w:rsid w:val="00590937"/>
    <w:rsid w:val="0059166A"/>
    <w:rsid w:val="00592733"/>
    <w:rsid w:val="005937E9"/>
    <w:rsid w:val="00593B59"/>
    <w:rsid w:val="005947E2"/>
    <w:rsid w:val="005951F0"/>
    <w:rsid w:val="00595DBA"/>
    <w:rsid w:val="005A04E5"/>
    <w:rsid w:val="005A2661"/>
    <w:rsid w:val="005A26F8"/>
    <w:rsid w:val="005A34B4"/>
    <w:rsid w:val="005A56E0"/>
    <w:rsid w:val="005A65A8"/>
    <w:rsid w:val="005B4B3A"/>
    <w:rsid w:val="005B6A64"/>
    <w:rsid w:val="005C187A"/>
    <w:rsid w:val="005C1FC7"/>
    <w:rsid w:val="005C4963"/>
    <w:rsid w:val="005C4BBA"/>
    <w:rsid w:val="005C56C7"/>
    <w:rsid w:val="005C68B4"/>
    <w:rsid w:val="005D2343"/>
    <w:rsid w:val="005D3396"/>
    <w:rsid w:val="005D545C"/>
    <w:rsid w:val="005D73C5"/>
    <w:rsid w:val="005E3B28"/>
    <w:rsid w:val="005E48F8"/>
    <w:rsid w:val="005E5272"/>
    <w:rsid w:val="005E5731"/>
    <w:rsid w:val="005E57A8"/>
    <w:rsid w:val="005E6633"/>
    <w:rsid w:val="005E7347"/>
    <w:rsid w:val="005F0CC2"/>
    <w:rsid w:val="005F439F"/>
    <w:rsid w:val="005F77DA"/>
    <w:rsid w:val="00600B35"/>
    <w:rsid w:val="00603146"/>
    <w:rsid w:val="00605275"/>
    <w:rsid w:val="006073A2"/>
    <w:rsid w:val="006073AB"/>
    <w:rsid w:val="0060796B"/>
    <w:rsid w:val="006100F5"/>
    <w:rsid w:val="0061108A"/>
    <w:rsid w:val="0061467E"/>
    <w:rsid w:val="006158EF"/>
    <w:rsid w:val="00615C30"/>
    <w:rsid w:val="00616364"/>
    <w:rsid w:val="006207FA"/>
    <w:rsid w:val="00624881"/>
    <w:rsid w:val="00624B2F"/>
    <w:rsid w:val="00624F31"/>
    <w:rsid w:val="00626B3F"/>
    <w:rsid w:val="00627A1C"/>
    <w:rsid w:val="0063139E"/>
    <w:rsid w:val="00632971"/>
    <w:rsid w:val="00632EFC"/>
    <w:rsid w:val="00635112"/>
    <w:rsid w:val="00643A9E"/>
    <w:rsid w:val="006448CE"/>
    <w:rsid w:val="00646A0A"/>
    <w:rsid w:val="00646FF7"/>
    <w:rsid w:val="006500AC"/>
    <w:rsid w:val="006505D4"/>
    <w:rsid w:val="006508E0"/>
    <w:rsid w:val="00651323"/>
    <w:rsid w:val="006525F4"/>
    <w:rsid w:val="00654EAB"/>
    <w:rsid w:val="00655A89"/>
    <w:rsid w:val="00656892"/>
    <w:rsid w:val="00656A65"/>
    <w:rsid w:val="006578BB"/>
    <w:rsid w:val="00657A0F"/>
    <w:rsid w:val="006645BE"/>
    <w:rsid w:val="006648F5"/>
    <w:rsid w:val="00664B31"/>
    <w:rsid w:val="00664EA0"/>
    <w:rsid w:val="006655D4"/>
    <w:rsid w:val="006673EC"/>
    <w:rsid w:val="0067044E"/>
    <w:rsid w:val="00670D17"/>
    <w:rsid w:val="00671040"/>
    <w:rsid w:val="0067321D"/>
    <w:rsid w:val="006734B3"/>
    <w:rsid w:val="0067356E"/>
    <w:rsid w:val="00673D6E"/>
    <w:rsid w:val="00674DA8"/>
    <w:rsid w:val="00676071"/>
    <w:rsid w:val="0067796B"/>
    <w:rsid w:val="00680E27"/>
    <w:rsid w:val="006811AD"/>
    <w:rsid w:val="00686AEA"/>
    <w:rsid w:val="006907EE"/>
    <w:rsid w:val="00691C2F"/>
    <w:rsid w:val="006947B7"/>
    <w:rsid w:val="006969E7"/>
    <w:rsid w:val="006A07CA"/>
    <w:rsid w:val="006A207B"/>
    <w:rsid w:val="006A2E42"/>
    <w:rsid w:val="006A5032"/>
    <w:rsid w:val="006A5B0E"/>
    <w:rsid w:val="006B45B4"/>
    <w:rsid w:val="006B4DED"/>
    <w:rsid w:val="006B5A2E"/>
    <w:rsid w:val="006B680B"/>
    <w:rsid w:val="006C0930"/>
    <w:rsid w:val="006C1819"/>
    <w:rsid w:val="006C248F"/>
    <w:rsid w:val="006C29FB"/>
    <w:rsid w:val="006C2BFB"/>
    <w:rsid w:val="006C2EFD"/>
    <w:rsid w:val="006C5822"/>
    <w:rsid w:val="006D0366"/>
    <w:rsid w:val="006D215C"/>
    <w:rsid w:val="006D3593"/>
    <w:rsid w:val="006D3F0B"/>
    <w:rsid w:val="006D5799"/>
    <w:rsid w:val="006D60AB"/>
    <w:rsid w:val="006D6B92"/>
    <w:rsid w:val="006D76FD"/>
    <w:rsid w:val="006E10BF"/>
    <w:rsid w:val="006E2489"/>
    <w:rsid w:val="006E4DA8"/>
    <w:rsid w:val="006E7CF8"/>
    <w:rsid w:val="006F0257"/>
    <w:rsid w:val="006F0654"/>
    <w:rsid w:val="006F0B62"/>
    <w:rsid w:val="006F0F2D"/>
    <w:rsid w:val="006F1516"/>
    <w:rsid w:val="006F25A7"/>
    <w:rsid w:val="006F320A"/>
    <w:rsid w:val="006F4A07"/>
    <w:rsid w:val="006F690E"/>
    <w:rsid w:val="006F74C9"/>
    <w:rsid w:val="00701CA1"/>
    <w:rsid w:val="00703A05"/>
    <w:rsid w:val="007065B1"/>
    <w:rsid w:val="007073F6"/>
    <w:rsid w:val="007118F5"/>
    <w:rsid w:val="0071286E"/>
    <w:rsid w:val="007133CF"/>
    <w:rsid w:val="0071506D"/>
    <w:rsid w:val="00715EC6"/>
    <w:rsid w:val="00720431"/>
    <w:rsid w:val="00722990"/>
    <w:rsid w:val="00723ADD"/>
    <w:rsid w:val="007308CD"/>
    <w:rsid w:val="007317AD"/>
    <w:rsid w:val="00732D21"/>
    <w:rsid w:val="00734278"/>
    <w:rsid w:val="00734896"/>
    <w:rsid w:val="00736B7B"/>
    <w:rsid w:val="00740B1E"/>
    <w:rsid w:val="0074108E"/>
    <w:rsid w:val="00741135"/>
    <w:rsid w:val="00742933"/>
    <w:rsid w:val="00742F27"/>
    <w:rsid w:val="00742FDD"/>
    <w:rsid w:val="00743478"/>
    <w:rsid w:val="007435E3"/>
    <w:rsid w:val="00744AB6"/>
    <w:rsid w:val="007451EC"/>
    <w:rsid w:val="00745803"/>
    <w:rsid w:val="00751279"/>
    <w:rsid w:val="00751324"/>
    <w:rsid w:val="00751DAF"/>
    <w:rsid w:val="00753159"/>
    <w:rsid w:val="007569BB"/>
    <w:rsid w:val="00756ECE"/>
    <w:rsid w:val="00761508"/>
    <w:rsid w:val="007626C9"/>
    <w:rsid w:val="00764773"/>
    <w:rsid w:val="00764B9C"/>
    <w:rsid w:val="00764FA9"/>
    <w:rsid w:val="0076624E"/>
    <w:rsid w:val="007712FB"/>
    <w:rsid w:val="007717E2"/>
    <w:rsid w:val="007740D4"/>
    <w:rsid w:val="007741AB"/>
    <w:rsid w:val="00774ECE"/>
    <w:rsid w:val="007756B0"/>
    <w:rsid w:val="00775C8B"/>
    <w:rsid w:val="007778DA"/>
    <w:rsid w:val="00782E30"/>
    <w:rsid w:val="00785E5E"/>
    <w:rsid w:val="0078600B"/>
    <w:rsid w:val="0078602E"/>
    <w:rsid w:val="00787573"/>
    <w:rsid w:val="00790676"/>
    <w:rsid w:val="00791410"/>
    <w:rsid w:val="007937AE"/>
    <w:rsid w:val="00793DE6"/>
    <w:rsid w:val="00793E8B"/>
    <w:rsid w:val="007958F2"/>
    <w:rsid w:val="00796D12"/>
    <w:rsid w:val="00797189"/>
    <w:rsid w:val="0079773D"/>
    <w:rsid w:val="007A1B5F"/>
    <w:rsid w:val="007A2221"/>
    <w:rsid w:val="007A4F3E"/>
    <w:rsid w:val="007A5985"/>
    <w:rsid w:val="007A777F"/>
    <w:rsid w:val="007B10F6"/>
    <w:rsid w:val="007B1BE5"/>
    <w:rsid w:val="007B368E"/>
    <w:rsid w:val="007B5D05"/>
    <w:rsid w:val="007C288F"/>
    <w:rsid w:val="007C304F"/>
    <w:rsid w:val="007C51D5"/>
    <w:rsid w:val="007C5C52"/>
    <w:rsid w:val="007C78D3"/>
    <w:rsid w:val="007C79C9"/>
    <w:rsid w:val="007D03FD"/>
    <w:rsid w:val="007D127B"/>
    <w:rsid w:val="007D2DD6"/>
    <w:rsid w:val="007D30FD"/>
    <w:rsid w:val="007D41F1"/>
    <w:rsid w:val="007D5138"/>
    <w:rsid w:val="007D5E0B"/>
    <w:rsid w:val="007D6A05"/>
    <w:rsid w:val="007D6E52"/>
    <w:rsid w:val="007E1330"/>
    <w:rsid w:val="007E3EB8"/>
    <w:rsid w:val="007E4FA1"/>
    <w:rsid w:val="007E5C4F"/>
    <w:rsid w:val="007E7BE8"/>
    <w:rsid w:val="007F454B"/>
    <w:rsid w:val="007F4C86"/>
    <w:rsid w:val="007F6C8D"/>
    <w:rsid w:val="007F6F6D"/>
    <w:rsid w:val="007F7257"/>
    <w:rsid w:val="00803EB7"/>
    <w:rsid w:val="00804A36"/>
    <w:rsid w:val="00805ADB"/>
    <w:rsid w:val="00811E8E"/>
    <w:rsid w:val="00812452"/>
    <w:rsid w:val="00817132"/>
    <w:rsid w:val="0081715C"/>
    <w:rsid w:val="00822160"/>
    <w:rsid w:val="00822426"/>
    <w:rsid w:val="00822B28"/>
    <w:rsid w:val="00823D92"/>
    <w:rsid w:val="00824803"/>
    <w:rsid w:val="00824994"/>
    <w:rsid w:val="008253F3"/>
    <w:rsid w:val="008262AB"/>
    <w:rsid w:val="008329B4"/>
    <w:rsid w:val="0083461E"/>
    <w:rsid w:val="00834A9F"/>
    <w:rsid w:val="00834BA3"/>
    <w:rsid w:val="008364E5"/>
    <w:rsid w:val="008376C3"/>
    <w:rsid w:val="00837B04"/>
    <w:rsid w:val="0084221C"/>
    <w:rsid w:val="00842BD3"/>
    <w:rsid w:val="00842C3A"/>
    <w:rsid w:val="0084393C"/>
    <w:rsid w:val="00847A89"/>
    <w:rsid w:val="008516D0"/>
    <w:rsid w:val="00851EF7"/>
    <w:rsid w:val="00853068"/>
    <w:rsid w:val="0085396A"/>
    <w:rsid w:val="00855C36"/>
    <w:rsid w:val="00861669"/>
    <w:rsid w:val="008632DB"/>
    <w:rsid w:val="008640A5"/>
    <w:rsid w:val="00865821"/>
    <w:rsid w:val="00865A6E"/>
    <w:rsid w:val="00865FA0"/>
    <w:rsid w:val="008664A8"/>
    <w:rsid w:val="00866E96"/>
    <w:rsid w:val="00871E1B"/>
    <w:rsid w:val="00874634"/>
    <w:rsid w:val="00874F01"/>
    <w:rsid w:val="00875EA5"/>
    <w:rsid w:val="00880C3D"/>
    <w:rsid w:val="00881D4B"/>
    <w:rsid w:val="0089165E"/>
    <w:rsid w:val="00891AE7"/>
    <w:rsid w:val="008A1155"/>
    <w:rsid w:val="008A2897"/>
    <w:rsid w:val="008A3181"/>
    <w:rsid w:val="008A7813"/>
    <w:rsid w:val="008B1B75"/>
    <w:rsid w:val="008B3518"/>
    <w:rsid w:val="008B4791"/>
    <w:rsid w:val="008B5A12"/>
    <w:rsid w:val="008B7E23"/>
    <w:rsid w:val="008C31EA"/>
    <w:rsid w:val="008C4307"/>
    <w:rsid w:val="008C782A"/>
    <w:rsid w:val="008D1A71"/>
    <w:rsid w:val="008D2E7C"/>
    <w:rsid w:val="008E1083"/>
    <w:rsid w:val="008E3872"/>
    <w:rsid w:val="008E5661"/>
    <w:rsid w:val="008E729D"/>
    <w:rsid w:val="008F0854"/>
    <w:rsid w:val="008F3548"/>
    <w:rsid w:val="008F5112"/>
    <w:rsid w:val="008F6703"/>
    <w:rsid w:val="00900D78"/>
    <w:rsid w:val="00901650"/>
    <w:rsid w:val="00901C1E"/>
    <w:rsid w:val="00906A46"/>
    <w:rsid w:val="00910FE1"/>
    <w:rsid w:val="0091229B"/>
    <w:rsid w:val="00912D25"/>
    <w:rsid w:val="00915C96"/>
    <w:rsid w:val="00915D77"/>
    <w:rsid w:val="00916530"/>
    <w:rsid w:val="00916DF8"/>
    <w:rsid w:val="0091758E"/>
    <w:rsid w:val="009216A8"/>
    <w:rsid w:val="00921C68"/>
    <w:rsid w:val="0092673B"/>
    <w:rsid w:val="0093134E"/>
    <w:rsid w:val="00931449"/>
    <w:rsid w:val="00931786"/>
    <w:rsid w:val="00932066"/>
    <w:rsid w:val="0093756F"/>
    <w:rsid w:val="00937ABE"/>
    <w:rsid w:val="0094196C"/>
    <w:rsid w:val="00942E96"/>
    <w:rsid w:val="009437F7"/>
    <w:rsid w:val="00945668"/>
    <w:rsid w:val="00945925"/>
    <w:rsid w:val="0094606A"/>
    <w:rsid w:val="0094750D"/>
    <w:rsid w:val="00952DE4"/>
    <w:rsid w:val="009568EF"/>
    <w:rsid w:val="00956B79"/>
    <w:rsid w:val="0095730A"/>
    <w:rsid w:val="0095736D"/>
    <w:rsid w:val="00965F33"/>
    <w:rsid w:val="00965F6B"/>
    <w:rsid w:val="00970F4C"/>
    <w:rsid w:val="0097130A"/>
    <w:rsid w:val="00974D94"/>
    <w:rsid w:val="009774FE"/>
    <w:rsid w:val="00977590"/>
    <w:rsid w:val="00980562"/>
    <w:rsid w:val="00981ABC"/>
    <w:rsid w:val="009832F8"/>
    <w:rsid w:val="009839DA"/>
    <w:rsid w:val="00984A90"/>
    <w:rsid w:val="00985E49"/>
    <w:rsid w:val="00991418"/>
    <w:rsid w:val="00994476"/>
    <w:rsid w:val="00994B0E"/>
    <w:rsid w:val="0099700D"/>
    <w:rsid w:val="00997347"/>
    <w:rsid w:val="009A012A"/>
    <w:rsid w:val="009A1663"/>
    <w:rsid w:val="009A1A8E"/>
    <w:rsid w:val="009A1CD3"/>
    <w:rsid w:val="009A2B39"/>
    <w:rsid w:val="009A2D98"/>
    <w:rsid w:val="009A44A4"/>
    <w:rsid w:val="009A4A5D"/>
    <w:rsid w:val="009A5EEF"/>
    <w:rsid w:val="009B18EB"/>
    <w:rsid w:val="009B39B7"/>
    <w:rsid w:val="009B5D1A"/>
    <w:rsid w:val="009B6658"/>
    <w:rsid w:val="009C0F21"/>
    <w:rsid w:val="009C153E"/>
    <w:rsid w:val="009C2012"/>
    <w:rsid w:val="009C28DE"/>
    <w:rsid w:val="009C2C5E"/>
    <w:rsid w:val="009C338A"/>
    <w:rsid w:val="009C4610"/>
    <w:rsid w:val="009D0838"/>
    <w:rsid w:val="009D0C9F"/>
    <w:rsid w:val="009D10B2"/>
    <w:rsid w:val="009D2543"/>
    <w:rsid w:val="009D64E4"/>
    <w:rsid w:val="009E20F1"/>
    <w:rsid w:val="009E38EA"/>
    <w:rsid w:val="009E5594"/>
    <w:rsid w:val="009E593B"/>
    <w:rsid w:val="009E5D07"/>
    <w:rsid w:val="009F517D"/>
    <w:rsid w:val="009F6554"/>
    <w:rsid w:val="009F7F98"/>
    <w:rsid w:val="00A016C8"/>
    <w:rsid w:val="00A02C49"/>
    <w:rsid w:val="00A02F58"/>
    <w:rsid w:val="00A032AE"/>
    <w:rsid w:val="00A10DAC"/>
    <w:rsid w:val="00A13F41"/>
    <w:rsid w:val="00A15AB2"/>
    <w:rsid w:val="00A3013B"/>
    <w:rsid w:val="00A31988"/>
    <w:rsid w:val="00A3281F"/>
    <w:rsid w:val="00A34FE2"/>
    <w:rsid w:val="00A35FDA"/>
    <w:rsid w:val="00A360E8"/>
    <w:rsid w:val="00A37F0E"/>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29"/>
    <w:rsid w:val="00A6017D"/>
    <w:rsid w:val="00A64309"/>
    <w:rsid w:val="00A64A02"/>
    <w:rsid w:val="00A656C0"/>
    <w:rsid w:val="00A65EE0"/>
    <w:rsid w:val="00A66688"/>
    <w:rsid w:val="00A72F32"/>
    <w:rsid w:val="00A77540"/>
    <w:rsid w:val="00A811B4"/>
    <w:rsid w:val="00A81DF0"/>
    <w:rsid w:val="00A8266F"/>
    <w:rsid w:val="00A82F5C"/>
    <w:rsid w:val="00A843B5"/>
    <w:rsid w:val="00A855EA"/>
    <w:rsid w:val="00A86B3F"/>
    <w:rsid w:val="00A86F4D"/>
    <w:rsid w:val="00A87AD8"/>
    <w:rsid w:val="00A9067B"/>
    <w:rsid w:val="00A90E80"/>
    <w:rsid w:val="00A91FCD"/>
    <w:rsid w:val="00A96579"/>
    <w:rsid w:val="00A9791E"/>
    <w:rsid w:val="00AA1DFA"/>
    <w:rsid w:val="00AA363D"/>
    <w:rsid w:val="00AA7C77"/>
    <w:rsid w:val="00AB1368"/>
    <w:rsid w:val="00AB37F4"/>
    <w:rsid w:val="00AB6561"/>
    <w:rsid w:val="00AB6BAD"/>
    <w:rsid w:val="00AC0433"/>
    <w:rsid w:val="00AC07BF"/>
    <w:rsid w:val="00AC30A8"/>
    <w:rsid w:val="00AC433F"/>
    <w:rsid w:val="00AC4B04"/>
    <w:rsid w:val="00AC4E5A"/>
    <w:rsid w:val="00AC5D55"/>
    <w:rsid w:val="00AD0A31"/>
    <w:rsid w:val="00AD1B06"/>
    <w:rsid w:val="00AD6104"/>
    <w:rsid w:val="00AD6C55"/>
    <w:rsid w:val="00AD6D46"/>
    <w:rsid w:val="00AD73D3"/>
    <w:rsid w:val="00AD74C5"/>
    <w:rsid w:val="00AE0D84"/>
    <w:rsid w:val="00AE47B4"/>
    <w:rsid w:val="00AE67CC"/>
    <w:rsid w:val="00AF2D89"/>
    <w:rsid w:val="00AF40A1"/>
    <w:rsid w:val="00AF7DA4"/>
    <w:rsid w:val="00B004A2"/>
    <w:rsid w:val="00B00EBD"/>
    <w:rsid w:val="00B02FAD"/>
    <w:rsid w:val="00B0370E"/>
    <w:rsid w:val="00B03E68"/>
    <w:rsid w:val="00B05E35"/>
    <w:rsid w:val="00B10932"/>
    <w:rsid w:val="00B124BD"/>
    <w:rsid w:val="00B12FB8"/>
    <w:rsid w:val="00B22390"/>
    <w:rsid w:val="00B234E9"/>
    <w:rsid w:val="00B244A1"/>
    <w:rsid w:val="00B24F72"/>
    <w:rsid w:val="00B27419"/>
    <w:rsid w:val="00B27AE2"/>
    <w:rsid w:val="00B3065D"/>
    <w:rsid w:val="00B329B9"/>
    <w:rsid w:val="00B36A26"/>
    <w:rsid w:val="00B37406"/>
    <w:rsid w:val="00B404DF"/>
    <w:rsid w:val="00B41721"/>
    <w:rsid w:val="00B419C8"/>
    <w:rsid w:val="00B4227A"/>
    <w:rsid w:val="00B43B8D"/>
    <w:rsid w:val="00B43EEA"/>
    <w:rsid w:val="00B43F6D"/>
    <w:rsid w:val="00B442A2"/>
    <w:rsid w:val="00B463C6"/>
    <w:rsid w:val="00B46712"/>
    <w:rsid w:val="00B6401E"/>
    <w:rsid w:val="00B652A1"/>
    <w:rsid w:val="00B667AC"/>
    <w:rsid w:val="00B67FBB"/>
    <w:rsid w:val="00B702C0"/>
    <w:rsid w:val="00B735DD"/>
    <w:rsid w:val="00B737D1"/>
    <w:rsid w:val="00B7459B"/>
    <w:rsid w:val="00B749E2"/>
    <w:rsid w:val="00B74CE9"/>
    <w:rsid w:val="00B7553C"/>
    <w:rsid w:val="00B75C20"/>
    <w:rsid w:val="00B82635"/>
    <w:rsid w:val="00B82C51"/>
    <w:rsid w:val="00B83670"/>
    <w:rsid w:val="00B83D43"/>
    <w:rsid w:val="00B91F39"/>
    <w:rsid w:val="00BA4F96"/>
    <w:rsid w:val="00BA5D85"/>
    <w:rsid w:val="00BA6688"/>
    <w:rsid w:val="00BA6F4B"/>
    <w:rsid w:val="00BB6DED"/>
    <w:rsid w:val="00BC09D3"/>
    <w:rsid w:val="00BC1A5D"/>
    <w:rsid w:val="00BC2E52"/>
    <w:rsid w:val="00BC34D3"/>
    <w:rsid w:val="00BC6808"/>
    <w:rsid w:val="00BC71E1"/>
    <w:rsid w:val="00BD12E7"/>
    <w:rsid w:val="00BD234F"/>
    <w:rsid w:val="00BD2962"/>
    <w:rsid w:val="00BD5D49"/>
    <w:rsid w:val="00BD643D"/>
    <w:rsid w:val="00BE1A70"/>
    <w:rsid w:val="00BE22BE"/>
    <w:rsid w:val="00BE28AA"/>
    <w:rsid w:val="00BE39EC"/>
    <w:rsid w:val="00BE41D3"/>
    <w:rsid w:val="00BE64D7"/>
    <w:rsid w:val="00BE720A"/>
    <w:rsid w:val="00BE7698"/>
    <w:rsid w:val="00BF1AAA"/>
    <w:rsid w:val="00BF1BFB"/>
    <w:rsid w:val="00BF41E2"/>
    <w:rsid w:val="00BF43F8"/>
    <w:rsid w:val="00C0067C"/>
    <w:rsid w:val="00C078A8"/>
    <w:rsid w:val="00C07A0C"/>
    <w:rsid w:val="00C107F6"/>
    <w:rsid w:val="00C11A7F"/>
    <w:rsid w:val="00C11F1D"/>
    <w:rsid w:val="00C12D6A"/>
    <w:rsid w:val="00C13590"/>
    <w:rsid w:val="00C145CF"/>
    <w:rsid w:val="00C14B28"/>
    <w:rsid w:val="00C221D7"/>
    <w:rsid w:val="00C2331C"/>
    <w:rsid w:val="00C25CCA"/>
    <w:rsid w:val="00C26CCC"/>
    <w:rsid w:val="00C27302"/>
    <w:rsid w:val="00C30188"/>
    <w:rsid w:val="00C30F72"/>
    <w:rsid w:val="00C312C0"/>
    <w:rsid w:val="00C41926"/>
    <w:rsid w:val="00C42FB9"/>
    <w:rsid w:val="00C43702"/>
    <w:rsid w:val="00C452ED"/>
    <w:rsid w:val="00C4622B"/>
    <w:rsid w:val="00C47EF6"/>
    <w:rsid w:val="00C51B86"/>
    <w:rsid w:val="00C52BDA"/>
    <w:rsid w:val="00C52C6F"/>
    <w:rsid w:val="00C55E8E"/>
    <w:rsid w:val="00C578BE"/>
    <w:rsid w:val="00C6098D"/>
    <w:rsid w:val="00C60F26"/>
    <w:rsid w:val="00C61129"/>
    <w:rsid w:val="00C640B2"/>
    <w:rsid w:val="00C66797"/>
    <w:rsid w:val="00C7023B"/>
    <w:rsid w:val="00C70E7A"/>
    <w:rsid w:val="00C72CF8"/>
    <w:rsid w:val="00C7398E"/>
    <w:rsid w:val="00C74E37"/>
    <w:rsid w:val="00C75EFB"/>
    <w:rsid w:val="00C7703E"/>
    <w:rsid w:val="00C772C7"/>
    <w:rsid w:val="00C80758"/>
    <w:rsid w:val="00C8172E"/>
    <w:rsid w:val="00C83960"/>
    <w:rsid w:val="00C846A4"/>
    <w:rsid w:val="00C847EE"/>
    <w:rsid w:val="00C853D5"/>
    <w:rsid w:val="00C8542B"/>
    <w:rsid w:val="00C86363"/>
    <w:rsid w:val="00C924E2"/>
    <w:rsid w:val="00C9327B"/>
    <w:rsid w:val="00C96336"/>
    <w:rsid w:val="00CA18AB"/>
    <w:rsid w:val="00CA1B43"/>
    <w:rsid w:val="00CA4008"/>
    <w:rsid w:val="00CA6AF0"/>
    <w:rsid w:val="00CA6C99"/>
    <w:rsid w:val="00CB02F7"/>
    <w:rsid w:val="00CB1DEB"/>
    <w:rsid w:val="00CB25A2"/>
    <w:rsid w:val="00CB4B5C"/>
    <w:rsid w:val="00CC2015"/>
    <w:rsid w:val="00CC26EB"/>
    <w:rsid w:val="00CC59E5"/>
    <w:rsid w:val="00CD02B1"/>
    <w:rsid w:val="00CD2F67"/>
    <w:rsid w:val="00CD3754"/>
    <w:rsid w:val="00CD5E04"/>
    <w:rsid w:val="00CD5E74"/>
    <w:rsid w:val="00CE0239"/>
    <w:rsid w:val="00CE132D"/>
    <w:rsid w:val="00CE3BEA"/>
    <w:rsid w:val="00CE499C"/>
    <w:rsid w:val="00CE4CE0"/>
    <w:rsid w:val="00CF04AE"/>
    <w:rsid w:val="00CF073D"/>
    <w:rsid w:val="00CF7016"/>
    <w:rsid w:val="00D03D06"/>
    <w:rsid w:val="00D06A43"/>
    <w:rsid w:val="00D07024"/>
    <w:rsid w:val="00D07362"/>
    <w:rsid w:val="00D079BC"/>
    <w:rsid w:val="00D07BF2"/>
    <w:rsid w:val="00D11F50"/>
    <w:rsid w:val="00D12CC9"/>
    <w:rsid w:val="00D12E51"/>
    <w:rsid w:val="00D13348"/>
    <w:rsid w:val="00D13792"/>
    <w:rsid w:val="00D147CD"/>
    <w:rsid w:val="00D21E2D"/>
    <w:rsid w:val="00D22824"/>
    <w:rsid w:val="00D22B42"/>
    <w:rsid w:val="00D26972"/>
    <w:rsid w:val="00D30647"/>
    <w:rsid w:val="00D319A9"/>
    <w:rsid w:val="00D31F5B"/>
    <w:rsid w:val="00D3351A"/>
    <w:rsid w:val="00D34147"/>
    <w:rsid w:val="00D36AF6"/>
    <w:rsid w:val="00D36E09"/>
    <w:rsid w:val="00D41969"/>
    <w:rsid w:val="00D44632"/>
    <w:rsid w:val="00D53E2F"/>
    <w:rsid w:val="00D5552B"/>
    <w:rsid w:val="00D557FD"/>
    <w:rsid w:val="00D569A1"/>
    <w:rsid w:val="00D632A3"/>
    <w:rsid w:val="00D65589"/>
    <w:rsid w:val="00D65BB5"/>
    <w:rsid w:val="00D6788F"/>
    <w:rsid w:val="00D70EC5"/>
    <w:rsid w:val="00D73B54"/>
    <w:rsid w:val="00D7504F"/>
    <w:rsid w:val="00D755D9"/>
    <w:rsid w:val="00D76947"/>
    <w:rsid w:val="00D82C29"/>
    <w:rsid w:val="00D84A39"/>
    <w:rsid w:val="00D85131"/>
    <w:rsid w:val="00D96B91"/>
    <w:rsid w:val="00DA064C"/>
    <w:rsid w:val="00DA2795"/>
    <w:rsid w:val="00DA2CD8"/>
    <w:rsid w:val="00DA41AF"/>
    <w:rsid w:val="00DA506B"/>
    <w:rsid w:val="00DA5914"/>
    <w:rsid w:val="00DA6D11"/>
    <w:rsid w:val="00DA7B93"/>
    <w:rsid w:val="00DB1613"/>
    <w:rsid w:val="00DB6BBF"/>
    <w:rsid w:val="00DC1151"/>
    <w:rsid w:val="00DC3579"/>
    <w:rsid w:val="00DC3612"/>
    <w:rsid w:val="00DC4D0A"/>
    <w:rsid w:val="00DC5066"/>
    <w:rsid w:val="00DE2383"/>
    <w:rsid w:val="00DE5E8F"/>
    <w:rsid w:val="00DE7799"/>
    <w:rsid w:val="00DF3624"/>
    <w:rsid w:val="00DF5EB7"/>
    <w:rsid w:val="00DF5FD1"/>
    <w:rsid w:val="00DF6A23"/>
    <w:rsid w:val="00E021C1"/>
    <w:rsid w:val="00E02715"/>
    <w:rsid w:val="00E04A24"/>
    <w:rsid w:val="00E0564D"/>
    <w:rsid w:val="00E07987"/>
    <w:rsid w:val="00E10926"/>
    <w:rsid w:val="00E13590"/>
    <w:rsid w:val="00E169B8"/>
    <w:rsid w:val="00E1742E"/>
    <w:rsid w:val="00E249A2"/>
    <w:rsid w:val="00E2663C"/>
    <w:rsid w:val="00E27DA6"/>
    <w:rsid w:val="00E31B37"/>
    <w:rsid w:val="00E33CB7"/>
    <w:rsid w:val="00E34912"/>
    <w:rsid w:val="00E34A53"/>
    <w:rsid w:val="00E3564C"/>
    <w:rsid w:val="00E35D48"/>
    <w:rsid w:val="00E35E72"/>
    <w:rsid w:val="00E41079"/>
    <w:rsid w:val="00E42721"/>
    <w:rsid w:val="00E43490"/>
    <w:rsid w:val="00E4409C"/>
    <w:rsid w:val="00E44163"/>
    <w:rsid w:val="00E44799"/>
    <w:rsid w:val="00E4491B"/>
    <w:rsid w:val="00E44AF0"/>
    <w:rsid w:val="00E5082E"/>
    <w:rsid w:val="00E513CC"/>
    <w:rsid w:val="00E51A66"/>
    <w:rsid w:val="00E5415A"/>
    <w:rsid w:val="00E5487E"/>
    <w:rsid w:val="00E54C30"/>
    <w:rsid w:val="00E55349"/>
    <w:rsid w:val="00E55557"/>
    <w:rsid w:val="00E56BC6"/>
    <w:rsid w:val="00E56DFC"/>
    <w:rsid w:val="00E576A1"/>
    <w:rsid w:val="00E62ED2"/>
    <w:rsid w:val="00E658A1"/>
    <w:rsid w:val="00E671FC"/>
    <w:rsid w:val="00E7434C"/>
    <w:rsid w:val="00E75D3B"/>
    <w:rsid w:val="00E76BB5"/>
    <w:rsid w:val="00E76CA1"/>
    <w:rsid w:val="00E76F75"/>
    <w:rsid w:val="00E83A40"/>
    <w:rsid w:val="00E84726"/>
    <w:rsid w:val="00E84BB9"/>
    <w:rsid w:val="00E84FA2"/>
    <w:rsid w:val="00E876A0"/>
    <w:rsid w:val="00E877CA"/>
    <w:rsid w:val="00E928D7"/>
    <w:rsid w:val="00E97C4A"/>
    <w:rsid w:val="00EA0448"/>
    <w:rsid w:val="00EA3C1E"/>
    <w:rsid w:val="00EB07BD"/>
    <w:rsid w:val="00EB1536"/>
    <w:rsid w:val="00EB1C20"/>
    <w:rsid w:val="00EB2B6A"/>
    <w:rsid w:val="00EB4C46"/>
    <w:rsid w:val="00EB560D"/>
    <w:rsid w:val="00EC18C3"/>
    <w:rsid w:val="00EC19E1"/>
    <w:rsid w:val="00EC1BC8"/>
    <w:rsid w:val="00EC3396"/>
    <w:rsid w:val="00EC5F32"/>
    <w:rsid w:val="00EC5F36"/>
    <w:rsid w:val="00EC6493"/>
    <w:rsid w:val="00EC6E52"/>
    <w:rsid w:val="00ED1554"/>
    <w:rsid w:val="00ED2CF7"/>
    <w:rsid w:val="00ED6399"/>
    <w:rsid w:val="00ED7365"/>
    <w:rsid w:val="00ED7FBD"/>
    <w:rsid w:val="00EE0A91"/>
    <w:rsid w:val="00EE28CD"/>
    <w:rsid w:val="00EE45FD"/>
    <w:rsid w:val="00EE5DF0"/>
    <w:rsid w:val="00EE6B58"/>
    <w:rsid w:val="00EF10E8"/>
    <w:rsid w:val="00EF34F7"/>
    <w:rsid w:val="00EF3746"/>
    <w:rsid w:val="00EF6647"/>
    <w:rsid w:val="00EF6CC0"/>
    <w:rsid w:val="00F02BBE"/>
    <w:rsid w:val="00F0320A"/>
    <w:rsid w:val="00F05682"/>
    <w:rsid w:val="00F065BD"/>
    <w:rsid w:val="00F06F4F"/>
    <w:rsid w:val="00F17161"/>
    <w:rsid w:val="00F177AC"/>
    <w:rsid w:val="00F17EAD"/>
    <w:rsid w:val="00F20F55"/>
    <w:rsid w:val="00F2227D"/>
    <w:rsid w:val="00F2233A"/>
    <w:rsid w:val="00F23D0F"/>
    <w:rsid w:val="00F2629E"/>
    <w:rsid w:val="00F32725"/>
    <w:rsid w:val="00F33BE2"/>
    <w:rsid w:val="00F34857"/>
    <w:rsid w:val="00F3653F"/>
    <w:rsid w:val="00F36B57"/>
    <w:rsid w:val="00F40ABE"/>
    <w:rsid w:val="00F40DDA"/>
    <w:rsid w:val="00F43449"/>
    <w:rsid w:val="00F434C7"/>
    <w:rsid w:val="00F53F3C"/>
    <w:rsid w:val="00F5504F"/>
    <w:rsid w:val="00F5541F"/>
    <w:rsid w:val="00F5578A"/>
    <w:rsid w:val="00F56657"/>
    <w:rsid w:val="00F56D8D"/>
    <w:rsid w:val="00F57DF5"/>
    <w:rsid w:val="00F62AF7"/>
    <w:rsid w:val="00F63023"/>
    <w:rsid w:val="00F63B1C"/>
    <w:rsid w:val="00F63FBE"/>
    <w:rsid w:val="00F65BAC"/>
    <w:rsid w:val="00F6768B"/>
    <w:rsid w:val="00F713D3"/>
    <w:rsid w:val="00F71684"/>
    <w:rsid w:val="00F74261"/>
    <w:rsid w:val="00F744ED"/>
    <w:rsid w:val="00F75EBF"/>
    <w:rsid w:val="00F76C54"/>
    <w:rsid w:val="00F76F11"/>
    <w:rsid w:val="00F773B2"/>
    <w:rsid w:val="00F778FE"/>
    <w:rsid w:val="00F80B98"/>
    <w:rsid w:val="00F81B93"/>
    <w:rsid w:val="00F84319"/>
    <w:rsid w:val="00F858BA"/>
    <w:rsid w:val="00F86077"/>
    <w:rsid w:val="00F86697"/>
    <w:rsid w:val="00F866F4"/>
    <w:rsid w:val="00F90494"/>
    <w:rsid w:val="00F9092C"/>
    <w:rsid w:val="00F90BC0"/>
    <w:rsid w:val="00F92DC8"/>
    <w:rsid w:val="00F97972"/>
    <w:rsid w:val="00FA0393"/>
    <w:rsid w:val="00FA1F56"/>
    <w:rsid w:val="00FA2ECD"/>
    <w:rsid w:val="00FA460E"/>
    <w:rsid w:val="00FA49A7"/>
    <w:rsid w:val="00FA633B"/>
    <w:rsid w:val="00FA6519"/>
    <w:rsid w:val="00FA703B"/>
    <w:rsid w:val="00FB1CB1"/>
    <w:rsid w:val="00FB27F5"/>
    <w:rsid w:val="00FB3CDE"/>
    <w:rsid w:val="00FB5C17"/>
    <w:rsid w:val="00FB614E"/>
    <w:rsid w:val="00FB6F3C"/>
    <w:rsid w:val="00FB7D79"/>
    <w:rsid w:val="00FC14D4"/>
    <w:rsid w:val="00FC1C72"/>
    <w:rsid w:val="00FC2AD7"/>
    <w:rsid w:val="00FC30DE"/>
    <w:rsid w:val="00FC5060"/>
    <w:rsid w:val="00FC7475"/>
    <w:rsid w:val="00FD00AA"/>
    <w:rsid w:val="00FD0A21"/>
    <w:rsid w:val="00FD0B1C"/>
    <w:rsid w:val="00FD2745"/>
    <w:rsid w:val="00FD2CE6"/>
    <w:rsid w:val="00FD7A4A"/>
    <w:rsid w:val="00FE2242"/>
    <w:rsid w:val="00FE2323"/>
    <w:rsid w:val="00FE2581"/>
    <w:rsid w:val="00FE41B0"/>
    <w:rsid w:val="00FE63C1"/>
    <w:rsid w:val="00FE70E2"/>
    <w:rsid w:val="00FF3E30"/>
    <w:rsid w:val="00FF425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25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2CBE3C20521B22458D040FD24DE8974E00879A694D9FC0034ABE909197003DDEF2" ma:contentTypeVersion="10" ma:contentTypeDescription="" ma:contentTypeScope="" ma:versionID="a8a6b8e5e25923d688cc58600a824264">
  <xsd:schema xmlns:xsd="http://www.w3.org/2001/XMLSchema" xmlns:xs="http://www.w3.org/2001/XMLSchema" xmlns:p="http://schemas.microsoft.com/office/2006/metadata/properties" xmlns:ns2="http://schemas.microsoft.com/sharepoint/v3/fields" xmlns:ns3="b82c8b7b-8483-4e5a-8a49-74fa68bfec33" targetNamespace="http://schemas.microsoft.com/office/2006/metadata/properties" ma:root="true" ma:fieldsID="68e727035743ce208c832f40a78f8ec6" ns2:_="" ns3:_="">
    <xsd:import namespace="http://schemas.microsoft.com/sharepoint/v3/fields"/>
    <xsd:import namespace="b82c8b7b-8483-4e5a-8a49-74fa68bfec33"/>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8b7b-8483-4e5a-8a49-74fa68bfec33"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251efb38-64c2-4973-b611-18bbedde1704}" ma:internalName="TaxCatchAll" ma:readOnly="false" ma:showField="CatchAllData"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51efb38-64c2-4973-b611-18bbedde1704}" ma:internalName="TaxCatchAllLabel" ma:readOnly="true" ma:showField="CatchAllDataLabel"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Format xmlns="b82c8b7b-8483-4e5a-8a49-74fa68bfec33" xsi:nil="true"/>
    <UndpIsTemplate xmlns="b82c8b7b-8483-4e5a-8a49-74fa68bfec33">No</UndpIsTemplate>
    <UNDPPublishedDate xmlns="b82c8b7b-8483-4e5a-8a49-74fa68bfec33" xsi:nil="true"/>
    <UNDPPOPPFunctionalArea xmlns="b82c8b7b-8483-4e5a-8a49-74fa68bfec33" xsi:nil="true"/>
    <c4e2ab2cc9354bbf9064eeb465a566ea xmlns="b82c8b7b-8483-4e5a-8a49-74fa68bfec33">
      <Terms xmlns="http://schemas.microsoft.com/office/infopath/2007/PartnerControls"/>
    </c4e2ab2cc9354bbf9064eeb465a566ea>
    <_Publisher xmlns="http://schemas.microsoft.com/sharepoint/v3/fields" xsi:nil="true"/>
    <UNDPCountryTaxHTField0 xmlns="b82c8b7b-8483-4e5a-8a49-74fa68bfec33">
      <Terms xmlns="http://schemas.microsoft.com/office/infopath/2007/PartnerControls"/>
    </UNDPCountryTaxHTField0>
    <UndpDocTypeMMTaxHTField0 xmlns="b82c8b7b-8483-4e5a-8a49-74fa68bfec33">
      <Terms xmlns="http://schemas.microsoft.com/office/infopath/2007/PartnerControls"/>
    </UndpDocTypeMMTaxHTField0>
    <b6db62fdefd74bd188b0c1cc54de5bcf xmlns="b82c8b7b-8483-4e5a-8a49-74fa68bfec33">
      <Terms xmlns="http://schemas.microsoft.com/office/infopath/2007/PartnerControls"/>
    </b6db62fdefd74bd188b0c1cc54de5bcf>
    <UndpDocID xmlns="b82c8b7b-8483-4e5a-8a49-74fa68bfec33" xsi:nil="true"/>
    <UNDPSummary xmlns="b82c8b7b-8483-4e5a-8a49-74fa68bfec33" xsi:nil="true"/>
    <UndpClassificationLevel xmlns="b82c8b7b-8483-4e5a-8a49-74fa68bfec33">Internal Use Only</UndpClassificationLevel>
    <UndpProjectNo xmlns="b82c8b7b-8483-4e5a-8a49-74fa68bfec33" xsi:nil="true"/>
    <UndpDocStatus xmlns="b82c8b7b-8483-4e5a-8a49-74fa68bfec33">Draft</UndpDocStatus>
    <UN_x0020_LanguagesTaxHTField0 xmlns="b82c8b7b-8483-4e5a-8a49-74fa68bfec3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FocusAreasTaxHTField0 xmlns="b82c8b7b-8483-4e5a-8a49-74fa68bfec33">
      <Terms xmlns="http://schemas.microsoft.com/office/infopath/2007/PartnerControls"/>
    </UNDPFocusAreasTaxHTField0>
    <UndpOUCode xmlns="b82c8b7b-8483-4e5a-8a49-74fa68bfec33" xsi:nil="true"/>
    <UNDPDocumentCategoryTaxHTField0 xmlns="b82c8b7b-8483-4e5a-8a49-74fa68bfec33">
      <Terms xmlns="http://schemas.microsoft.com/office/infopath/2007/PartnerControls"/>
    </UNDPDocumentCategoryTaxHTField0>
    <TaxCatchAll xmlns="b82c8b7b-8483-4e5a-8a49-74fa68bfec33">
      <Value>-1</Value>
    </TaxCatchAl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AC444E-7EED-4987-8581-D4623762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82c8b7b-8483-4e5a-8a49-74fa68bfe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b82c8b7b-8483-4e5a-8a49-74fa68bfec33"/>
    <ds:schemaRef ds:uri="http://schemas.microsoft.com/sharepoint/v3/field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Zacheaus Arabon</cp:lastModifiedBy>
  <cp:revision>2</cp:revision>
  <cp:lastPrinted>2014-02-10T17:12:00Z</cp:lastPrinted>
  <dcterms:created xsi:type="dcterms:W3CDTF">2022-01-23T22:45:00Z</dcterms:created>
  <dcterms:modified xsi:type="dcterms:W3CDTF">2022-01-23T22:45:00Z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0x0101002CBE3C20521B22458D040FD24DE8974E00879A694D9FC0034ABE909197003DDEF2</vt:lpwstr>
  </property>
</Properties>
</file>