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720C1207" w:rsidR="00E76CA1" w:rsidRPr="000D6ACA" w:rsidRDefault="00527E52" w:rsidP="007C288F">
      <w:pPr>
        <w:rPr>
          <w:b/>
        </w:rPr>
      </w:pPr>
      <w:bookmarkStart w:id="0" w:name="_GoBack"/>
      <w:bookmarkEnd w:id="0"/>
      <w:r w:rsidRPr="000D6ACA">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54">
        <w:rPr>
          <w:b/>
        </w:rPr>
        <w:t xml:space="preserve"> </w:t>
      </w:r>
      <w:r w:rsidR="00E97C4A" w:rsidRPr="000D6ACA">
        <w:rPr>
          <w:b/>
        </w:rPr>
        <w:tab/>
      </w:r>
    </w:p>
    <w:p w14:paraId="0C2587EF" w14:textId="4593B4B9" w:rsidR="00CB02F7" w:rsidRPr="000D6ACA" w:rsidRDefault="00793DE6" w:rsidP="00BE1D29">
      <w:pPr>
        <w:numPr>
          <w:ilvl w:val="12"/>
          <w:numId w:val="0"/>
        </w:numPr>
        <w:tabs>
          <w:tab w:val="left" w:pos="0"/>
        </w:tabs>
        <w:suppressAutoHyphens/>
        <w:jc w:val="center"/>
        <w:rPr>
          <w:b/>
          <w:bCs/>
          <w:caps/>
        </w:rPr>
      </w:pPr>
      <w:r w:rsidRPr="000D6ACA">
        <w:rPr>
          <w:b/>
        </w:rPr>
        <w:t>PBF</w:t>
      </w:r>
      <w:r w:rsidR="008640A5" w:rsidRPr="000D6ACA">
        <w:rPr>
          <w:b/>
        </w:rPr>
        <w:t xml:space="preserve"> </w:t>
      </w:r>
      <w:r w:rsidR="00CB02F7" w:rsidRPr="000D6ACA">
        <w:rPr>
          <w:b/>
          <w:bCs/>
          <w:caps/>
        </w:rPr>
        <w:t>PROJECT progress report</w:t>
      </w:r>
    </w:p>
    <w:p w14:paraId="16DC9E23" w14:textId="7ECF6D5E" w:rsidR="00CB02F7" w:rsidRPr="000D6ACA" w:rsidRDefault="00CB02F7" w:rsidP="00BE1D29">
      <w:pPr>
        <w:jc w:val="center"/>
        <w:rPr>
          <w:b/>
          <w:bCs/>
          <w:caps/>
        </w:rPr>
      </w:pPr>
      <w:r w:rsidRPr="000D6ACA">
        <w:rPr>
          <w:b/>
          <w:bCs/>
          <w:caps/>
        </w:rPr>
        <w:t>COUNTRY:</w:t>
      </w:r>
      <w:r w:rsidR="00BE1D29" w:rsidRPr="000D6ACA">
        <w:rPr>
          <w:bCs/>
          <w:iCs/>
          <w:snapToGrid w:val="0"/>
        </w:rPr>
        <w:t xml:space="preserve"> THE KYRGYZ REPUBLIC</w:t>
      </w:r>
    </w:p>
    <w:p w14:paraId="28AB750A" w14:textId="68F18A88" w:rsidR="008640A5" w:rsidRPr="000D6ACA" w:rsidRDefault="008640A5" w:rsidP="00BE1D29">
      <w:pPr>
        <w:jc w:val="center"/>
        <w:rPr>
          <w:b/>
          <w:bCs/>
          <w:caps/>
        </w:rPr>
      </w:pPr>
      <w:r w:rsidRPr="000D6ACA">
        <w:rPr>
          <w:b/>
          <w:bCs/>
          <w:caps/>
        </w:rPr>
        <w:t>TYPE OF REPORT:</w:t>
      </w:r>
      <w:r w:rsidR="00793DE6" w:rsidRPr="000D6ACA">
        <w:rPr>
          <w:b/>
          <w:bCs/>
          <w:caps/>
        </w:rPr>
        <w:t xml:space="preserve"> </w:t>
      </w:r>
      <w:r w:rsidR="00922038">
        <w:rPr>
          <w:caps/>
        </w:rPr>
        <w:t>FINAL</w:t>
      </w:r>
    </w:p>
    <w:p w14:paraId="54B5CFAE" w14:textId="155C7B12" w:rsidR="00CB02F7" w:rsidRPr="000D6ACA" w:rsidRDefault="007C288F" w:rsidP="00BE1D29">
      <w:pPr>
        <w:jc w:val="center"/>
        <w:rPr>
          <w:b/>
          <w:bCs/>
          <w:caps/>
        </w:rPr>
      </w:pPr>
      <w:r w:rsidRPr="000D6ACA">
        <w:rPr>
          <w:b/>
          <w:bCs/>
          <w:caps/>
        </w:rPr>
        <w:t>YEAR</w:t>
      </w:r>
      <w:r w:rsidR="00793DE6" w:rsidRPr="000D6ACA">
        <w:rPr>
          <w:b/>
          <w:bCs/>
          <w:caps/>
        </w:rPr>
        <w:t xml:space="preserve"> of report</w:t>
      </w:r>
      <w:r w:rsidR="00F05682" w:rsidRPr="000D6ACA">
        <w:rPr>
          <w:b/>
          <w:bCs/>
          <w:caps/>
        </w:rPr>
        <w:t xml:space="preserve">: </w:t>
      </w:r>
      <w:r w:rsidR="00922038" w:rsidRPr="000D6ACA">
        <w:rPr>
          <w:caps/>
        </w:rPr>
        <w:t>202</w:t>
      </w:r>
      <w:r w:rsidR="00922038">
        <w:rPr>
          <w:caps/>
        </w:rPr>
        <w:t>1</w:t>
      </w:r>
    </w:p>
    <w:p w14:paraId="5DED3840" w14:textId="77777777" w:rsidR="000554F8" w:rsidRPr="000D6ACA"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D6ACA" w14:paraId="1CD9355A" w14:textId="77777777" w:rsidTr="00F23D0F">
        <w:trPr>
          <w:trHeight w:val="422"/>
        </w:trPr>
        <w:tc>
          <w:tcPr>
            <w:tcW w:w="10080" w:type="dxa"/>
            <w:gridSpan w:val="2"/>
          </w:tcPr>
          <w:p w14:paraId="7093DA9F" w14:textId="12144EB0" w:rsidR="00793DE6" w:rsidRPr="000D6ACA"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rPr>
            </w:pPr>
            <w:r w:rsidRPr="000D6ACA">
              <w:rPr>
                <w:rFonts w:ascii="Times New Roman" w:hAnsi="Times New Roman" w:cs="Times New Roman"/>
                <w:b/>
                <w:sz w:val="24"/>
                <w:szCs w:val="24"/>
              </w:rPr>
              <w:t xml:space="preserve">Project Title: </w:t>
            </w:r>
            <w:r w:rsidR="00BE1D29" w:rsidRPr="000D6ACA">
              <w:rPr>
                <w:rFonts w:ascii="Times New Roman" w:hAnsi="Times New Roman" w:cs="Times New Roman"/>
                <w:sz w:val="24"/>
                <w:szCs w:val="24"/>
              </w:rPr>
              <w:t xml:space="preserve">Support to the prevention of </w:t>
            </w:r>
            <w:r w:rsidR="002F4BA2" w:rsidRPr="000D6ACA">
              <w:rPr>
                <w:rFonts w:ascii="Times New Roman" w:hAnsi="Times New Roman" w:cs="Times New Roman"/>
                <w:sz w:val="24"/>
                <w:szCs w:val="24"/>
              </w:rPr>
              <w:t>radicalisation</w:t>
            </w:r>
            <w:r w:rsidR="00BE1D29" w:rsidRPr="000D6ACA">
              <w:rPr>
                <w:rFonts w:ascii="Times New Roman" w:hAnsi="Times New Roman" w:cs="Times New Roman"/>
                <w:sz w:val="24"/>
                <w:szCs w:val="24"/>
              </w:rPr>
              <w:t xml:space="preserve"> to violence in prisons and probation settings in the Kyrgyz Republic</w:t>
            </w:r>
          </w:p>
          <w:p w14:paraId="7336EAC3" w14:textId="04041491" w:rsidR="00793DE6" w:rsidRPr="000D6ACA" w:rsidRDefault="00793DE6" w:rsidP="00793DE6">
            <w:pPr>
              <w:rPr>
                <w:b/>
              </w:rPr>
            </w:pPr>
            <w:r w:rsidRPr="000D6ACA">
              <w:rPr>
                <w:b/>
              </w:rPr>
              <w:t xml:space="preserve">Project Number from MPTF-O Gateway: </w:t>
            </w:r>
            <w:r w:rsidR="00620F1D" w:rsidRPr="00620F1D">
              <w:rPr>
                <w:bCs/>
              </w:rPr>
              <w:t>PRF</w:t>
            </w:r>
            <w:r w:rsidR="00620F1D">
              <w:t xml:space="preserve">, </w:t>
            </w:r>
            <w:r w:rsidR="00BE1D29" w:rsidRPr="000D6ACA">
              <w:t>00108336</w:t>
            </w:r>
          </w:p>
        </w:tc>
      </w:tr>
      <w:tr w:rsidR="00A43B9C" w:rsidRPr="000D6ACA" w14:paraId="23080537" w14:textId="77777777" w:rsidTr="00A43B9C">
        <w:trPr>
          <w:trHeight w:val="422"/>
        </w:trPr>
        <w:tc>
          <w:tcPr>
            <w:tcW w:w="4163" w:type="dxa"/>
          </w:tcPr>
          <w:p w14:paraId="53E07092" w14:textId="77777777" w:rsidR="00A43B9C" w:rsidRPr="000D6ACA"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b/>
                <w:sz w:val="24"/>
                <w:szCs w:val="24"/>
              </w:rPr>
              <w:t xml:space="preserve">If funding is disbursed into a national or regional trust fund: </w:t>
            </w:r>
          </w:p>
          <w:p w14:paraId="644B77B0" w14:textId="1BC54A19" w:rsidR="00A43B9C" w:rsidRPr="000D6ACA" w:rsidRDefault="00C44EEA" w:rsidP="00F23D0F">
            <w:pPr>
              <w:tabs>
                <w:tab w:val="left" w:pos="0"/>
              </w:tabs>
              <w:suppressAutoHyphens/>
              <w:jc w:val="both"/>
              <w:rPr>
                <w:b/>
                <w:spacing w:val="-3"/>
              </w:rPr>
            </w:pPr>
            <w:r w:rsidRPr="000D6ACA">
              <w:fldChar w:fldCharType="begin">
                <w:ffData>
                  <w:name w:val="Check1"/>
                  <w:enabled/>
                  <w:calcOnExit w:val="0"/>
                  <w:checkBox>
                    <w:sizeAuto/>
                    <w:default w:val="0"/>
                  </w:checkBox>
                </w:ffData>
              </w:fldChar>
            </w:r>
            <w:bookmarkStart w:id="1" w:name="Check1"/>
            <w:r w:rsidRPr="000D6ACA">
              <w:instrText xml:space="preserve"> FORMCHECKBOX </w:instrText>
            </w:r>
            <w:r w:rsidR="00F17F94">
              <w:fldChar w:fldCharType="separate"/>
            </w:r>
            <w:r w:rsidRPr="000D6ACA">
              <w:fldChar w:fldCharType="end"/>
            </w:r>
            <w:bookmarkEnd w:id="1"/>
            <w:r w:rsidR="00A43B9C" w:rsidRPr="000D6ACA">
              <w:tab/>
            </w:r>
            <w:r w:rsidR="00A43B9C" w:rsidRPr="000D6ACA">
              <w:tab/>
            </w:r>
            <w:r w:rsidR="00A43B9C" w:rsidRPr="000D6ACA">
              <w:rPr>
                <w:spacing w:val="-3"/>
              </w:rPr>
              <w:t>Country Trust Fund</w:t>
            </w:r>
            <w:r w:rsidR="00A43B9C" w:rsidRPr="000D6ACA">
              <w:rPr>
                <w:b/>
                <w:spacing w:val="-3"/>
              </w:rPr>
              <w:t xml:space="preserve"> </w:t>
            </w:r>
          </w:p>
          <w:p w14:paraId="3E3B954C" w14:textId="77777777" w:rsidR="00A43B9C" w:rsidRPr="000D6ACA" w:rsidRDefault="00A43B9C" w:rsidP="00F23D0F">
            <w:pPr>
              <w:tabs>
                <w:tab w:val="left" w:pos="0"/>
              </w:tabs>
              <w:suppressAutoHyphens/>
              <w:jc w:val="both"/>
              <w:rPr>
                <w:b/>
              </w:rPr>
            </w:pPr>
            <w:r w:rsidRPr="000D6ACA">
              <w:fldChar w:fldCharType="begin">
                <w:ffData>
                  <w:name w:val="Check1"/>
                  <w:enabled/>
                  <w:calcOnExit w:val="0"/>
                  <w:checkBox>
                    <w:sizeAuto/>
                    <w:default w:val="0"/>
                  </w:checkBox>
                </w:ffData>
              </w:fldChar>
            </w:r>
            <w:r w:rsidRPr="000D6ACA">
              <w:instrText xml:space="preserve"> FORMCHECKBOX </w:instrText>
            </w:r>
            <w:r w:rsidR="00F17F94">
              <w:fldChar w:fldCharType="separate"/>
            </w:r>
            <w:r w:rsidRPr="000D6ACA">
              <w:fldChar w:fldCharType="end"/>
            </w:r>
            <w:r w:rsidRPr="000D6ACA">
              <w:tab/>
            </w:r>
            <w:r w:rsidRPr="000D6ACA">
              <w:tab/>
              <w:t>Regional Trust Fund</w:t>
            </w:r>
            <w:r w:rsidRPr="000D6ACA">
              <w:rPr>
                <w:b/>
              </w:rPr>
              <w:t xml:space="preserve"> </w:t>
            </w:r>
          </w:p>
          <w:p w14:paraId="0EDB4FD7" w14:textId="77777777" w:rsidR="00A43B9C" w:rsidRPr="000D6ACA" w:rsidRDefault="00A43B9C" w:rsidP="00F23D0F">
            <w:pPr>
              <w:tabs>
                <w:tab w:val="left" w:pos="0"/>
              </w:tabs>
              <w:suppressAutoHyphens/>
              <w:jc w:val="both"/>
              <w:rPr>
                <w:b/>
              </w:rPr>
            </w:pPr>
          </w:p>
          <w:p w14:paraId="7FB77C6C" w14:textId="77777777" w:rsidR="00BE1D29" w:rsidRPr="000D6ACA" w:rsidRDefault="00A43B9C" w:rsidP="00BE1D29">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b/>
                <w:sz w:val="24"/>
                <w:szCs w:val="24"/>
              </w:rPr>
              <w:t xml:space="preserve">Name of Recipient Fund: </w:t>
            </w:r>
          </w:p>
          <w:p w14:paraId="739F552A" w14:textId="77777777" w:rsidR="00BE1D29" w:rsidRPr="000D6ACA" w:rsidRDefault="00BE1D29" w:rsidP="00BE1D29">
            <w:pPr>
              <w:pStyle w:val="BalloonText"/>
              <w:numPr>
                <w:ilvl w:val="12"/>
                <w:numId w:val="0"/>
              </w:numPr>
              <w:tabs>
                <w:tab w:val="left" w:pos="-720"/>
                <w:tab w:val="left" w:pos="4500"/>
              </w:tabs>
              <w:rPr>
                <w:rFonts w:ascii="Times New Roman" w:hAnsi="Times New Roman" w:cs="Times New Roman"/>
                <w:sz w:val="24"/>
                <w:szCs w:val="24"/>
              </w:rPr>
            </w:pPr>
            <w:r w:rsidRPr="000D6ACA">
              <w:rPr>
                <w:rFonts w:ascii="Times New Roman" w:hAnsi="Times New Roman" w:cs="Times New Roman"/>
                <w:sz w:val="24"/>
                <w:szCs w:val="24"/>
              </w:rPr>
              <w:t>United Nations Office on Drugs and Crime (UNODC)</w:t>
            </w:r>
          </w:p>
          <w:p w14:paraId="216B7012" w14:textId="77777777" w:rsidR="00BE1D29" w:rsidRPr="000D6ACA" w:rsidRDefault="00BE1D29" w:rsidP="00BE1D29">
            <w:pPr>
              <w:pStyle w:val="BalloonText"/>
              <w:numPr>
                <w:ilvl w:val="12"/>
                <w:numId w:val="0"/>
              </w:numPr>
              <w:tabs>
                <w:tab w:val="left" w:pos="-720"/>
                <w:tab w:val="left" w:pos="4500"/>
              </w:tabs>
              <w:rPr>
                <w:rFonts w:ascii="Times New Roman" w:hAnsi="Times New Roman" w:cs="Times New Roman"/>
                <w:sz w:val="24"/>
                <w:szCs w:val="24"/>
              </w:rPr>
            </w:pPr>
          </w:p>
          <w:p w14:paraId="5F8F8283" w14:textId="42932125" w:rsidR="00BE1D29" w:rsidRPr="000D6ACA" w:rsidRDefault="00BE1D29" w:rsidP="00BE1D29">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sz w:val="24"/>
                <w:szCs w:val="24"/>
              </w:rPr>
              <w:t>United Nations Development Programme (UNDP)</w:t>
            </w:r>
          </w:p>
          <w:p w14:paraId="0E92ACAC" w14:textId="6AF1F6A2" w:rsidR="00A43B9C" w:rsidRPr="000D6ACA"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p w14:paraId="2BF6F37D" w14:textId="77777777" w:rsidR="00A43B9C" w:rsidRPr="000D6ACA" w:rsidRDefault="00A43B9C" w:rsidP="00F23D0F">
            <w:pPr>
              <w:tabs>
                <w:tab w:val="left" w:pos="0"/>
              </w:tabs>
              <w:suppressAutoHyphens/>
              <w:jc w:val="both"/>
              <w:rPr>
                <w:b/>
              </w:rPr>
            </w:pPr>
          </w:p>
        </w:tc>
        <w:tc>
          <w:tcPr>
            <w:tcW w:w="5917" w:type="dxa"/>
          </w:tcPr>
          <w:p w14:paraId="3BE7D44F" w14:textId="2726537E" w:rsidR="00A43B9C" w:rsidRPr="000D6ACA" w:rsidRDefault="00A43B9C" w:rsidP="00A43B9C">
            <w:pPr>
              <w:rPr>
                <w:b/>
                <w:bCs/>
                <w:iCs/>
              </w:rPr>
            </w:pPr>
            <w:r w:rsidRPr="000D6ACA">
              <w:rPr>
                <w:b/>
                <w:bCs/>
                <w:iCs/>
              </w:rPr>
              <w:t xml:space="preserve">Type and name of recipient </w:t>
            </w:r>
            <w:r w:rsidR="002F4BA2" w:rsidRPr="000D6ACA">
              <w:rPr>
                <w:b/>
                <w:bCs/>
                <w:iCs/>
              </w:rPr>
              <w:t>organisations</w:t>
            </w:r>
            <w:r w:rsidRPr="000D6ACA">
              <w:rPr>
                <w:b/>
                <w:bCs/>
                <w:iCs/>
              </w:rPr>
              <w:t xml:space="preserve">: </w:t>
            </w:r>
          </w:p>
          <w:p w14:paraId="47C8A2A1" w14:textId="77777777" w:rsidR="00A43B9C" w:rsidRPr="000D6ACA" w:rsidRDefault="00A43B9C" w:rsidP="00A43B9C">
            <w:pPr>
              <w:rPr>
                <w:b/>
                <w:bCs/>
                <w:iCs/>
              </w:rPr>
            </w:pPr>
          </w:p>
          <w:p w14:paraId="2F1498C6" w14:textId="77777777" w:rsidR="00BE1D29" w:rsidRPr="000D6ACA" w:rsidRDefault="00BE1D29" w:rsidP="00BE1D29">
            <w:pPr>
              <w:pStyle w:val="BalloonText"/>
              <w:numPr>
                <w:ilvl w:val="12"/>
                <w:numId w:val="0"/>
              </w:numPr>
              <w:tabs>
                <w:tab w:val="left" w:pos="-720"/>
                <w:tab w:val="left" w:pos="4500"/>
              </w:tabs>
              <w:rPr>
                <w:rFonts w:ascii="Times New Roman" w:hAnsi="Times New Roman" w:cs="Times New Roman"/>
                <w:bCs/>
                <w:sz w:val="24"/>
                <w:szCs w:val="24"/>
              </w:rPr>
            </w:pPr>
            <w:r w:rsidRPr="000D6ACA">
              <w:rPr>
                <w:rFonts w:ascii="Times New Roman" w:hAnsi="Times New Roman" w:cs="Times New Roman"/>
                <w:bCs/>
                <w:sz w:val="24"/>
                <w:szCs w:val="24"/>
              </w:rPr>
              <w:t xml:space="preserve">UNODC      </w:t>
            </w:r>
          </w:p>
          <w:p w14:paraId="1A375177" w14:textId="746A5A3C" w:rsidR="00BE1D29" w:rsidRPr="000D6ACA" w:rsidRDefault="00BE1D29" w:rsidP="00BE1D29">
            <w:pPr>
              <w:pStyle w:val="BalloonText"/>
              <w:numPr>
                <w:ilvl w:val="12"/>
                <w:numId w:val="0"/>
              </w:numPr>
              <w:tabs>
                <w:tab w:val="left" w:pos="-720"/>
                <w:tab w:val="left" w:pos="4500"/>
              </w:tabs>
              <w:rPr>
                <w:rFonts w:ascii="Times New Roman" w:hAnsi="Times New Roman" w:cs="Times New Roman"/>
                <w:bCs/>
                <w:sz w:val="24"/>
                <w:szCs w:val="24"/>
              </w:rPr>
            </w:pPr>
            <w:r w:rsidRPr="000D6ACA">
              <w:rPr>
                <w:rFonts w:ascii="Times New Roman" w:hAnsi="Times New Roman" w:cs="Times New Roman"/>
                <w:bCs/>
                <w:sz w:val="24"/>
                <w:szCs w:val="24"/>
              </w:rPr>
              <w:t>UNDP</w:t>
            </w:r>
          </w:p>
          <w:p w14:paraId="3BA0CDE8" w14:textId="4435A9D6" w:rsidR="00A43B9C" w:rsidRPr="000D6ACA"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b/>
                <w:sz w:val="24"/>
                <w:szCs w:val="24"/>
              </w:rPr>
              <w:t xml:space="preserve"> </w:t>
            </w:r>
          </w:p>
        </w:tc>
      </w:tr>
      <w:tr w:rsidR="00793DE6" w:rsidRPr="000D6ACA" w14:paraId="3B6DAA11" w14:textId="77777777" w:rsidTr="00F23D0F">
        <w:trPr>
          <w:trHeight w:val="368"/>
        </w:trPr>
        <w:tc>
          <w:tcPr>
            <w:tcW w:w="10080" w:type="dxa"/>
            <w:gridSpan w:val="2"/>
          </w:tcPr>
          <w:p w14:paraId="05BCD0D9" w14:textId="22400C51" w:rsidR="00793DE6" w:rsidRPr="000D6ACA" w:rsidRDefault="0025220B" w:rsidP="00F23D0F">
            <w:pPr>
              <w:rPr>
                <w:b/>
                <w:bCs/>
                <w:iCs/>
              </w:rPr>
            </w:pPr>
            <w:r w:rsidRPr="000D6ACA">
              <w:rPr>
                <w:b/>
                <w:bCs/>
                <w:iCs/>
              </w:rPr>
              <w:t>D</w:t>
            </w:r>
            <w:r w:rsidR="00793DE6" w:rsidRPr="000D6ACA">
              <w:rPr>
                <w:b/>
                <w:bCs/>
                <w:iCs/>
              </w:rPr>
              <w:t>ate</w:t>
            </w:r>
            <w:r w:rsidRPr="000D6ACA">
              <w:rPr>
                <w:b/>
                <w:bCs/>
                <w:iCs/>
              </w:rPr>
              <w:t xml:space="preserve"> of first transfer</w:t>
            </w:r>
            <w:r w:rsidR="00793DE6" w:rsidRPr="000D6ACA">
              <w:rPr>
                <w:b/>
                <w:bCs/>
                <w:iCs/>
              </w:rPr>
              <w:t xml:space="preserve">: </w:t>
            </w:r>
            <w:bookmarkStart w:id="2" w:name="_Hlk25094503"/>
            <w:r w:rsidR="00BE1D29" w:rsidRPr="000D6ACA">
              <w:t>January 11, 2018</w:t>
            </w:r>
            <w:bookmarkEnd w:id="2"/>
          </w:p>
          <w:p w14:paraId="37A4BB59" w14:textId="0242DC65" w:rsidR="004D141E" w:rsidRPr="000D6ACA" w:rsidRDefault="00793DE6" w:rsidP="00F23D0F">
            <w:pPr>
              <w:rPr>
                <w:bCs/>
                <w:iCs/>
                <w:snapToGrid w:val="0"/>
              </w:rPr>
            </w:pPr>
            <w:r w:rsidRPr="000D6ACA">
              <w:rPr>
                <w:b/>
                <w:bCs/>
                <w:iCs/>
              </w:rPr>
              <w:t xml:space="preserve">Project </w:t>
            </w:r>
            <w:r w:rsidR="001C56B8" w:rsidRPr="000D6ACA">
              <w:rPr>
                <w:b/>
                <w:bCs/>
                <w:iCs/>
              </w:rPr>
              <w:t>end date</w:t>
            </w:r>
            <w:r w:rsidRPr="000D6ACA">
              <w:rPr>
                <w:b/>
                <w:bCs/>
                <w:iCs/>
              </w:rPr>
              <w:t xml:space="preserve">: </w:t>
            </w:r>
            <w:r w:rsidR="00C44EEA" w:rsidRPr="000D6ACA">
              <w:rPr>
                <w:iCs/>
              </w:rPr>
              <w:t>July 11,</w:t>
            </w:r>
            <w:r w:rsidR="00C44EEA" w:rsidRPr="000D6ACA">
              <w:rPr>
                <w:b/>
                <w:bCs/>
                <w:iCs/>
              </w:rPr>
              <w:t xml:space="preserve"> </w:t>
            </w:r>
            <w:r w:rsidR="00C44EEA" w:rsidRPr="000D6ACA">
              <w:rPr>
                <w:bCs/>
                <w:iCs/>
                <w:snapToGrid w:val="0"/>
              </w:rPr>
              <w:t>2021</w:t>
            </w:r>
            <w:r w:rsidR="0025220B" w:rsidRPr="000D6ACA">
              <w:rPr>
                <w:bCs/>
                <w:iCs/>
                <w:snapToGrid w:val="0"/>
              </w:rPr>
              <w:t xml:space="preserve">  </w:t>
            </w:r>
          </w:p>
          <w:p w14:paraId="45B406BF" w14:textId="0AAAE6D4" w:rsidR="00793DE6" w:rsidRPr="000D6ACA" w:rsidRDefault="0025220B" w:rsidP="00F23D0F">
            <w:pPr>
              <w:rPr>
                <w:b/>
                <w:bCs/>
                <w:iCs/>
              </w:rPr>
            </w:pPr>
            <w:r w:rsidRPr="000D6ACA">
              <w:rPr>
                <w:b/>
                <w:iCs/>
                <w:snapToGrid w:val="0"/>
              </w:rPr>
              <w:t>Is the current project end date within 6 months?</w:t>
            </w:r>
            <w:r w:rsidRPr="000D6ACA">
              <w:rPr>
                <w:bCs/>
                <w:iCs/>
                <w:snapToGrid w:val="0"/>
              </w:rPr>
              <w:t xml:space="preserve"> </w:t>
            </w:r>
            <w:r w:rsidR="005C1B6D">
              <w:rPr>
                <w:bCs/>
                <w:iCs/>
                <w:snapToGrid w:val="0"/>
              </w:rPr>
              <w:t>yes</w:t>
            </w:r>
          </w:p>
          <w:p w14:paraId="267396D1" w14:textId="77777777" w:rsidR="00793DE6" w:rsidRPr="000D6ACA" w:rsidRDefault="00793DE6" w:rsidP="00793DE6">
            <w:pPr>
              <w:rPr>
                <w:b/>
                <w:bCs/>
                <w:iCs/>
              </w:rPr>
            </w:pPr>
          </w:p>
        </w:tc>
      </w:tr>
      <w:tr w:rsidR="00793DE6" w:rsidRPr="000D6ACA" w14:paraId="0A32218D" w14:textId="77777777" w:rsidTr="00F23D0F">
        <w:trPr>
          <w:trHeight w:val="368"/>
        </w:trPr>
        <w:tc>
          <w:tcPr>
            <w:tcW w:w="10080" w:type="dxa"/>
            <w:gridSpan w:val="2"/>
          </w:tcPr>
          <w:p w14:paraId="7922155B" w14:textId="77777777" w:rsidR="00793DE6" w:rsidRPr="000D6ACA" w:rsidRDefault="004D141E" w:rsidP="00F23D0F">
            <w:pPr>
              <w:rPr>
                <w:b/>
                <w:bCs/>
                <w:iCs/>
              </w:rPr>
            </w:pPr>
            <w:r w:rsidRPr="000D6ACA">
              <w:rPr>
                <w:b/>
                <w:bCs/>
                <w:iCs/>
              </w:rPr>
              <w:t>Check if the</w:t>
            </w:r>
            <w:r w:rsidR="00793DE6" w:rsidRPr="000D6ACA">
              <w:rPr>
                <w:b/>
                <w:bCs/>
                <w:iCs/>
              </w:rPr>
              <w:t xml:space="preserve"> project fall</w:t>
            </w:r>
            <w:r w:rsidRPr="000D6ACA">
              <w:rPr>
                <w:b/>
                <w:bCs/>
                <w:iCs/>
              </w:rPr>
              <w:t>s</w:t>
            </w:r>
            <w:r w:rsidR="00793DE6" w:rsidRPr="000D6ACA">
              <w:rPr>
                <w:b/>
                <w:bCs/>
                <w:iCs/>
              </w:rPr>
              <w:t xml:space="preserve"> under one</w:t>
            </w:r>
            <w:r w:rsidR="00BC71E1" w:rsidRPr="000D6ACA">
              <w:rPr>
                <w:b/>
                <w:bCs/>
                <w:iCs/>
              </w:rPr>
              <w:t xml:space="preserve"> or more</w:t>
            </w:r>
            <w:r w:rsidR="00793DE6" w:rsidRPr="000D6ACA">
              <w:rPr>
                <w:b/>
                <w:bCs/>
                <w:iCs/>
              </w:rPr>
              <w:t xml:space="preserve"> PBF priority window</w:t>
            </w:r>
            <w:r w:rsidRPr="000D6ACA">
              <w:rPr>
                <w:b/>
                <w:bCs/>
                <w:iCs/>
              </w:rPr>
              <w:t>s</w:t>
            </w:r>
            <w:r w:rsidR="00793DE6" w:rsidRPr="000D6ACA">
              <w:rPr>
                <w:b/>
                <w:bCs/>
                <w:iCs/>
              </w:rPr>
              <w:t>:</w:t>
            </w:r>
          </w:p>
          <w:p w14:paraId="2B9A3354"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F17F94">
              <w:fldChar w:fldCharType="separate"/>
            </w:r>
            <w:r w:rsidRPr="000D6ACA">
              <w:fldChar w:fldCharType="end"/>
            </w:r>
            <w:r w:rsidRPr="000D6ACA">
              <w:t xml:space="preserve"> Gender promotion initiative</w:t>
            </w:r>
          </w:p>
          <w:p w14:paraId="55AFED50"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F17F94">
              <w:fldChar w:fldCharType="separate"/>
            </w:r>
            <w:r w:rsidRPr="000D6ACA">
              <w:fldChar w:fldCharType="end"/>
            </w:r>
            <w:r w:rsidRPr="000D6ACA">
              <w:t xml:space="preserve"> Youth promotion initiative</w:t>
            </w:r>
          </w:p>
          <w:p w14:paraId="5930010F"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F17F94">
              <w:fldChar w:fldCharType="separate"/>
            </w:r>
            <w:r w:rsidRPr="000D6ACA">
              <w:fldChar w:fldCharType="end"/>
            </w:r>
            <w:r w:rsidRPr="000D6ACA">
              <w:t xml:space="preserve"> Transition from UN or regional peacekeeping or special political missions</w:t>
            </w:r>
          </w:p>
          <w:p w14:paraId="21A584FA"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F17F94">
              <w:fldChar w:fldCharType="separate"/>
            </w:r>
            <w:r w:rsidRPr="000D6ACA">
              <w:fldChar w:fldCharType="end"/>
            </w:r>
            <w:r w:rsidRPr="000D6ACA">
              <w:t xml:space="preserve"> Cross-border or regional project</w:t>
            </w:r>
          </w:p>
          <w:p w14:paraId="65EB2D34" w14:textId="77777777" w:rsidR="00793DE6" w:rsidRPr="000D6ACA" w:rsidRDefault="00793DE6" w:rsidP="00F23D0F">
            <w:pPr>
              <w:rPr>
                <w:b/>
                <w:bCs/>
                <w:iCs/>
              </w:rPr>
            </w:pPr>
          </w:p>
        </w:tc>
      </w:tr>
      <w:tr w:rsidR="00793DE6" w:rsidRPr="000D6ACA" w14:paraId="481DE647" w14:textId="77777777" w:rsidTr="00EF3313">
        <w:trPr>
          <w:trHeight w:val="710"/>
        </w:trPr>
        <w:tc>
          <w:tcPr>
            <w:tcW w:w="10080" w:type="dxa"/>
            <w:gridSpan w:val="2"/>
          </w:tcPr>
          <w:p w14:paraId="3CC55EDC" w14:textId="1C8CE398" w:rsidR="00EF3313" w:rsidRPr="000D6ACA" w:rsidRDefault="00EF3313" w:rsidP="00EF3313">
            <w:pPr>
              <w:rPr>
                <w:b/>
                <w:bCs/>
                <w:iCs/>
              </w:rPr>
            </w:pPr>
            <w:r w:rsidRPr="000D6ACA">
              <w:rPr>
                <w:b/>
                <w:bCs/>
                <w:iCs/>
              </w:rPr>
              <w:t xml:space="preserve">Total PBF approved project budget (by recipient </w:t>
            </w:r>
            <w:r w:rsidR="002F4BA2" w:rsidRPr="000D6ACA">
              <w:rPr>
                <w:b/>
                <w:bCs/>
                <w:iCs/>
              </w:rPr>
              <w:t>organisation</w:t>
            </w:r>
            <w:r w:rsidRPr="000D6ACA">
              <w:rPr>
                <w:b/>
                <w:bCs/>
                <w:iCs/>
              </w:rPr>
              <w:t xml:space="preserve">): </w:t>
            </w:r>
          </w:p>
          <w:p w14:paraId="7AD504B8" w14:textId="09C5E406" w:rsidR="00EF3313" w:rsidRPr="000D6ACA" w:rsidRDefault="00EF3313" w:rsidP="00EF3313">
            <w:pPr>
              <w:rPr>
                <w:b/>
                <w:iCs/>
                <w:snapToGrid w:val="0"/>
              </w:rPr>
            </w:pPr>
            <w:bookmarkStart w:id="3" w:name="_Hlk39507683"/>
            <w:r w:rsidRPr="000D6ACA">
              <w:rPr>
                <w:b/>
                <w:iCs/>
                <w:snapToGrid w:val="0"/>
              </w:rPr>
              <w:t xml:space="preserve">Recipient </w:t>
            </w:r>
            <w:r w:rsidR="002F4BA2" w:rsidRPr="000D6ACA">
              <w:rPr>
                <w:b/>
                <w:iCs/>
                <w:snapToGrid w:val="0"/>
              </w:rPr>
              <w:t xml:space="preserve">Organisation </w:t>
            </w:r>
            <w:r w:rsidRPr="000D6ACA">
              <w:rPr>
                <w:b/>
                <w:iCs/>
                <w:snapToGrid w:val="0"/>
              </w:rPr>
              <w:t xml:space="preserve">Amount  </w:t>
            </w:r>
          </w:p>
          <w:p w14:paraId="59230F23" w14:textId="77777777" w:rsidR="00EF3313" w:rsidRPr="000D6ACA" w:rsidRDefault="00EF3313" w:rsidP="00EF3313">
            <w:pPr>
              <w:rPr>
                <w:bCs/>
                <w:iCs/>
                <w:snapToGrid w:val="0"/>
              </w:rPr>
            </w:pPr>
          </w:p>
          <w:p w14:paraId="31089B24" w14:textId="347D38CC" w:rsidR="00EF3313" w:rsidRPr="000D6ACA" w:rsidRDefault="00EF3313" w:rsidP="00EF3313">
            <w:pPr>
              <w:rPr>
                <w:iCs/>
              </w:rPr>
            </w:pPr>
            <w:r w:rsidRPr="000D6ACA">
              <w:rPr>
                <w:b/>
                <w:bCs/>
                <w:iCs/>
              </w:rPr>
              <w:t xml:space="preserve">UNODC:                                      </w:t>
            </w:r>
            <w:r w:rsidRPr="000D6ACA">
              <w:rPr>
                <w:iCs/>
              </w:rPr>
              <w:t>$ 1 408 000</w:t>
            </w:r>
          </w:p>
          <w:bookmarkEnd w:id="3"/>
          <w:p w14:paraId="32347D5C" w14:textId="117B8905"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sz w:val="24"/>
                <w:szCs w:val="24"/>
              </w:rPr>
            </w:pPr>
            <w:r w:rsidRPr="000D6ACA">
              <w:rPr>
                <w:rFonts w:ascii="Times New Roman" w:hAnsi="Times New Roman" w:cs="Times New Roman"/>
                <w:b/>
                <w:bCs/>
                <w:sz w:val="24"/>
                <w:szCs w:val="24"/>
              </w:rPr>
              <w:t>UNDP</w:t>
            </w:r>
            <w:r w:rsidRPr="000D6ACA">
              <w:rPr>
                <w:rFonts w:ascii="Times New Roman" w:hAnsi="Times New Roman" w:cs="Times New Roman"/>
                <w:sz w:val="24"/>
                <w:szCs w:val="24"/>
              </w:rPr>
              <w:t>:                                          $ 350 000</w:t>
            </w:r>
          </w:p>
          <w:p w14:paraId="12DA2ACD"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sz w:val="24"/>
                <w:szCs w:val="24"/>
              </w:rPr>
            </w:pPr>
          </w:p>
          <w:p w14:paraId="22B9FEA0" w14:textId="58D86716"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D6ACA">
              <w:rPr>
                <w:rFonts w:ascii="Times New Roman" w:hAnsi="Times New Roman" w:cs="Times New Roman"/>
                <w:sz w:val="24"/>
                <w:szCs w:val="24"/>
              </w:rPr>
              <w:t xml:space="preserve">Total:                                             $ </w:t>
            </w:r>
            <w:r w:rsidRPr="000D6ACA">
              <w:rPr>
                <w:rFonts w:ascii="Times New Roman" w:hAnsi="Times New Roman" w:cs="Times New Roman"/>
                <w:iCs/>
                <w:sz w:val="24"/>
                <w:szCs w:val="24"/>
              </w:rPr>
              <w:t>1 758 000</w:t>
            </w:r>
            <w:r w:rsidRPr="000D6ACA">
              <w:rPr>
                <w:rFonts w:ascii="Times New Roman" w:hAnsi="Times New Roman" w:cs="Times New Roman"/>
                <w:bCs/>
                <w:iCs/>
                <w:snapToGrid w:val="0"/>
                <w:sz w:val="24"/>
                <w:szCs w:val="24"/>
              </w:rPr>
              <w:t xml:space="preserve"> </w:t>
            </w:r>
          </w:p>
          <w:p w14:paraId="3830A260"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546A0F8C" w14:textId="0876777A"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D6ACA">
              <w:rPr>
                <w:rFonts w:ascii="Times New Roman" w:hAnsi="Times New Roman" w:cs="Times New Roman"/>
                <w:bCs/>
                <w:iCs/>
                <w:snapToGrid w:val="0"/>
                <w:sz w:val="24"/>
                <w:szCs w:val="24"/>
              </w:rPr>
              <w:t xml:space="preserve">Approximate implementation rate as percentage of total project budget: </w:t>
            </w:r>
            <w:r w:rsidR="00453874">
              <w:rPr>
                <w:rFonts w:ascii="Times New Roman" w:hAnsi="Times New Roman" w:cs="Times New Roman"/>
                <w:bCs/>
                <w:iCs/>
                <w:snapToGrid w:val="0"/>
                <w:sz w:val="24"/>
                <w:szCs w:val="24"/>
              </w:rPr>
              <w:t>100</w:t>
            </w:r>
            <w:r w:rsidRPr="000D6ACA">
              <w:rPr>
                <w:rFonts w:ascii="Times New Roman" w:hAnsi="Times New Roman" w:cs="Times New Roman"/>
                <w:bCs/>
                <w:iCs/>
                <w:snapToGrid w:val="0"/>
                <w:sz w:val="24"/>
                <w:szCs w:val="24"/>
              </w:rPr>
              <w:t>%</w:t>
            </w:r>
          </w:p>
          <w:p w14:paraId="03E35C62"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bookmarkStart w:id="4" w:name="_Hlk42783080"/>
            <w:r w:rsidRPr="000D6ACA">
              <w:rPr>
                <w:rFonts w:ascii="Times New Roman" w:hAnsi="Times New Roman" w:cs="Times New Roman"/>
                <w:bCs/>
                <w:iCs/>
                <w:snapToGrid w:val="0"/>
                <w:sz w:val="23"/>
                <w:szCs w:val="23"/>
              </w:rPr>
              <w:t>*ATTACH PROJECT EXCEL BUDGET SHOWING CURRENT APPROXIMATE EXPENDITURE*</w:t>
            </w:r>
          </w:p>
          <w:bookmarkEnd w:id="4"/>
          <w:p w14:paraId="445BCC01"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sz w:val="24"/>
                <w:szCs w:val="24"/>
              </w:rPr>
            </w:pPr>
          </w:p>
          <w:p w14:paraId="10AE293E"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
                <w:bCs/>
                <w:sz w:val="24"/>
                <w:szCs w:val="24"/>
              </w:rPr>
            </w:pPr>
            <w:r w:rsidRPr="000D6ACA">
              <w:rPr>
                <w:rFonts w:ascii="Times New Roman" w:hAnsi="Times New Roman" w:cs="Times New Roman"/>
                <w:b/>
                <w:bCs/>
                <w:sz w:val="24"/>
                <w:szCs w:val="24"/>
              </w:rPr>
              <w:t>Gender-responsive Budgeting:</w:t>
            </w:r>
          </w:p>
          <w:p w14:paraId="0470F210"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C030EAD" w14:textId="2A94E5BE" w:rsidR="00EF3313" w:rsidRPr="002B0787" w:rsidRDefault="00EF3313" w:rsidP="00EF3313">
            <w:r w:rsidRPr="000D6ACA">
              <w:t xml:space="preserve">Indicate dollar amount from the project document to be allocated to activities focussed on gender equality or </w:t>
            </w:r>
            <w:r w:rsidR="002F4BA2" w:rsidRPr="000D6ACA">
              <w:t>women’s</w:t>
            </w:r>
            <w:r w:rsidRPr="000D6ACA">
              <w:t xml:space="preserve"> empowerment: </w:t>
            </w:r>
            <w:r w:rsidR="002B0787" w:rsidRPr="002B0787">
              <w:t>$</w:t>
            </w:r>
            <w:r w:rsidRPr="002B0787">
              <w:t xml:space="preserve">527,200 </w:t>
            </w:r>
          </w:p>
          <w:p w14:paraId="5296FE98" w14:textId="77777777" w:rsidR="00EF3313" w:rsidRPr="002B0787" w:rsidRDefault="00EF3313" w:rsidP="00EF3313">
            <w:bookmarkStart w:id="5" w:name="_Hlk42869319"/>
          </w:p>
          <w:p w14:paraId="2CEAD5EE" w14:textId="50ED83D5" w:rsidR="00952DE4" w:rsidRPr="000D6ACA" w:rsidRDefault="00EF3313" w:rsidP="00F741FC">
            <w:r w:rsidRPr="002B0787">
              <w:lastRenderedPageBreak/>
              <w:t xml:space="preserve">Amount expended to date on activities focussed on gender equality or </w:t>
            </w:r>
            <w:r w:rsidR="002F4BA2" w:rsidRPr="002B0787">
              <w:t>women’s</w:t>
            </w:r>
            <w:r w:rsidRPr="002B0787">
              <w:t xml:space="preserve"> empowerment</w:t>
            </w:r>
            <w:bookmarkEnd w:id="5"/>
            <w:r w:rsidRPr="002B0787">
              <w:t>: $</w:t>
            </w:r>
            <w:r w:rsidR="002B0787" w:rsidRPr="002B0787">
              <w:t>525,552</w:t>
            </w:r>
          </w:p>
        </w:tc>
      </w:tr>
      <w:tr w:rsidR="009B18EB" w:rsidRPr="000D6ACA" w14:paraId="5ACD9B9B" w14:textId="77777777" w:rsidTr="00F23D0F">
        <w:trPr>
          <w:trHeight w:val="1124"/>
        </w:trPr>
        <w:tc>
          <w:tcPr>
            <w:tcW w:w="10080" w:type="dxa"/>
            <w:gridSpan w:val="2"/>
          </w:tcPr>
          <w:p w14:paraId="3E1801F7" w14:textId="4113D30D" w:rsidR="009B18EB" w:rsidRPr="000D6ACA" w:rsidRDefault="009B18EB" w:rsidP="00F23D0F">
            <w:pPr>
              <w:rPr>
                <w:b/>
                <w:bCs/>
                <w:iCs/>
              </w:rPr>
            </w:pPr>
            <w:r w:rsidRPr="000D6ACA">
              <w:rPr>
                <w:b/>
                <w:bCs/>
                <w:iCs/>
              </w:rPr>
              <w:lastRenderedPageBreak/>
              <w:t xml:space="preserve">Project Gender Marker: </w:t>
            </w:r>
            <w:r w:rsidR="00EF3313" w:rsidRPr="000D6ACA">
              <w:t>Score 2</w:t>
            </w:r>
            <w:r w:rsidR="00EF3313" w:rsidRPr="000D6ACA">
              <w:rPr>
                <w:rStyle w:val="FootnoteReference"/>
              </w:rPr>
              <w:footnoteReference w:id="1"/>
            </w:r>
            <w:r w:rsidR="00EF3313" w:rsidRPr="000D6ACA">
              <w:t xml:space="preserve"> </w:t>
            </w:r>
            <w:r w:rsidR="00EF3313" w:rsidRPr="000D6ACA">
              <w:rPr>
                <w:iCs/>
              </w:rPr>
              <w:t xml:space="preserve">More than 30 % of </w:t>
            </w:r>
            <w:r w:rsidR="00AF6F94" w:rsidRPr="000D6ACA">
              <w:rPr>
                <w:iCs/>
              </w:rPr>
              <w:t xml:space="preserve">the </w:t>
            </w:r>
            <w:r w:rsidR="00EF3313" w:rsidRPr="000D6ACA">
              <w:rPr>
                <w:iCs/>
              </w:rPr>
              <w:t xml:space="preserve">total project budget allocated to activities in direct pursuit of gender equality and </w:t>
            </w:r>
            <w:r w:rsidR="002F4BA2" w:rsidRPr="000D6ACA">
              <w:rPr>
                <w:iCs/>
              </w:rPr>
              <w:t>women’s</w:t>
            </w:r>
            <w:r w:rsidR="00EF3313" w:rsidRPr="000D6ACA">
              <w:rPr>
                <w:iCs/>
              </w:rPr>
              <w:t xml:space="preserve"> empowerment.</w:t>
            </w:r>
          </w:p>
          <w:p w14:paraId="3A104835" w14:textId="4D5586AA" w:rsidR="009B18EB" w:rsidRPr="000D6ACA" w:rsidRDefault="009B18EB" w:rsidP="00F23D0F">
            <w:pPr>
              <w:rPr>
                <w:b/>
                <w:bCs/>
                <w:iCs/>
              </w:rPr>
            </w:pPr>
            <w:r w:rsidRPr="000D6ACA">
              <w:rPr>
                <w:b/>
                <w:bCs/>
                <w:iCs/>
              </w:rPr>
              <w:t xml:space="preserve">Project Risk Marker: </w:t>
            </w:r>
            <w:r w:rsidR="00EF3313" w:rsidRPr="000D6ACA">
              <w:rPr>
                <w:rFonts w:cs="Calibri"/>
              </w:rPr>
              <w:t>Risk marker 1</w:t>
            </w:r>
            <w:r w:rsidR="00EF3313" w:rsidRPr="000D6ACA">
              <w:rPr>
                <w:rStyle w:val="FootnoteReference"/>
                <w:rFonts w:cs="Calibri"/>
              </w:rPr>
              <w:footnoteReference w:id="2"/>
            </w:r>
            <w:r w:rsidR="00EF3313" w:rsidRPr="000D6ACA">
              <w:rPr>
                <w:rFonts w:cs="Calibri"/>
                <w:sz w:val="20"/>
              </w:rPr>
              <w:t xml:space="preserve"> </w:t>
            </w:r>
          </w:p>
          <w:p w14:paraId="23C1B84D" w14:textId="77777777" w:rsidR="00600C72" w:rsidRPr="000D6ACA" w:rsidRDefault="009B18EB" w:rsidP="00600C72">
            <w:pPr>
              <w:pStyle w:val="Header"/>
              <w:rPr>
                <w:bCs/>
                <w:szCs w:val="22"/>
              </w:rPr>
            </w:pPr>
            <w:r w:rsidRPr="000D6ACA">
              <w:rPr>
                <w:b/>
                <w:bCs/>
                <w:iCs/>
              </w:rPr>
              <w:t xml:space="preserve">Project PBF focus area: </w:t>
            </w:r>
            <w:r w:rsidR="00600C72" w:rsidRPr="000D6ACA">
              <w:t>Priority Area 1</w:t>
            </w:r>
            <w:r w:rsidR="00600C72" w:rsidRPr="000D6ACA">
              <w:rPr>
                <w:bCs/>
              </w:rPr>
              <w:t xml:space="preserve">: Support the implementation of peace agreements and political dialogue (1.2. </w:t>
            </w:r>
            <w:proofErr w:type="spellStart"/>
            <w:r w:rsidR="00600C72" w:rsidRPr="000D6ACA">
              <w:rPr>
                <w:bCs/>
              </w:rPr>
              <w:t>RoL</w:t>
            </w:r>
            <w:proofErr w:type="spellEnd"/>
            <w:r w:rsidR="00600C72" w:rsidRPr="000D6ACA">
              <w:rPr>
                <w:bCs/>
              </w:rPr>
              <w:t>)</w:t>
            </w:r>
            <w:r w:rsidR="00600C72" w:rsidRPr="000D6ACA">
              <w:rPr>
                <w:rStyle w:val="FootnoteReference"/>
                <w:bCs/>
                <w:szCs w:val="22"/>
              </w:rPr>
              <w:footnoteReference w:id="3"/>
            </w:r>
          </w:p>
          <w:p w14:paraId="29E4E5E8" w14:textId="3E798E25" w:rsidR="00600C72" w:rsidRPr="000D6ACA" w:rsidRDefault="00600C72" w:rsidP="00600C72">
            <w:pPr>
              <w:pStyle w:val="Header"/>
              <w:rPr>
                <w:bCs/>
                <w:szCs w:val="22"/>
              </w:rPr>
            </w:pPr>
            <w:r w:rsidRPr="000D6ACA">
              <w:rPr>
                <w:bCs/>
                <w:szCs w:val="22"/>
              </w:rPr>
              <w:t xml:space="preserve">If applicable, </w:t>
            </w:r>
            <w:r w:rsidRPr="000D6ACA">
              <w:rPr>
                <w:b/>
                <w:szCs w:val="22"/>
              </w:rPr>
              <w:t>UNDAF outcome(s)</w:t>
            </w:r>
            <w:r w:rsidRPr="000D6ACA">
              <w:rPr>
                <w:bCs/>
                <w:szCs w:val="22"/>
              </w:rPr>
              <w:t xml:space="preserve"> to which the project contributes: </w:t>
            </w:r>
            <w:r w:rsidRPr="000D6ACA">
              <w:t>Priority II</w:t>
            </w:r>
            <w:r w:rsidR="00AF6F94" w:rsidRPr="000D6ACA">
              <w:t xml:space="preserve">: </w:t>
            </w:r>
            <w:r w:rsidR="003E0208">
              <w:t>G</w:t>
            </w:r>
            <w:r w:rsidR="00AF6F94" w:rsidRPr="000D6ACA">
              <w:t>ood</w:t>
            </w:r>
            <w:r w:rsidRPr="000D6ACA">
              <w:t xml:space="preserve"> </w:t>
            </w:r>
            <w:r w:rsidR="003E0208">
              <w:t>g</w:t>
            </w:r>
            <w:r w:rsidRPr="000D6ACA">
              <w:t>overnance, rule of law, human rights</w:t>
            </w:r>
            <w:r w:rsidR="00AF6F94" w:rsidRPr="000D6ACA">
              <w:t>,</w:t>
            </w:r>
            <w:r w:rsidRPr="000D6ACA">
              <w:t xml:space="preserve"> and gender equality.</w:t>
            </w:r>
          </w:p>
          <w:p w14:paraId="53A72FD5" w14:textId="07883819" w:rsidR="00600C72" w:rsidRPr="000D6ACA" w:rsidRDefault="00600C72" w:rsidP="00600C72">
            <w:pPr>
              <w:pStyle w:val="Header"/>
            </w:pPr>
            <w:r w:rsidRPr="000D6ACA">
              <w:rPr>
                <w:bCs/>
                <w:szCs w:val="22"/>
              </w:rPr>
              <w:t xml:space="preserve">If applicable, </w:t>
            </w:r>
            <w:r w:rsidRPr="000D6ACA">
              <w:rPr>
                <w:b/>
                <w:szCs w:val="22"/>
              </w:rPr>
              <w:t>Sustainable Development Goal</w:t>
            </w:r>
            <w:r w:rsidRPr="000D6ACA">
              <w:rPr>
                <w:bCs/>
                <w:szCs w:val="22"/>
              </w:rPr>
              <w:t xml:space="preserve"> to which the project contributes: </w:t>
            </w:r>
            <w:r w:rsidRPr="000D6ACA">
              <w:rPr>
                <w:b/>
                <w:bCs/>
              </w:rPr>
              <w:t xml:space="preserve">SDG16 - </w:t>
            </w:r>
            <w:r w:rsidRPr="000D6ACA">
              <w:t>Promote peaceful and inclusive societies for sustainable development, provide access to justice for all</w:t>
            </w:r>
            <w:r w:rsidR="00AF6F94" w:rsidRPr="000D6ACA">
              <w:t>,</w:t>
            </w:r>
            <w:r w:rsidRPr="000D6ACA">
              <w:t xml:space="preserve"> and build effective, accountable</w:t>
            </w:r>
            <w:r w:rsidR="00AF6F94" w:rsidRPr="000D6ACA">
              <w:t>,</w:t>
            </w:r>
            <w:r w:rsidRPr="000D6ACA">
              <w:t xml:space="preserve"> and inclusive institutions at all levels. </w:t>
            </w:r>
            <w:r w:rsidRPr="000D6ACA">
              <w:rPr>
                <w:b/>
                <w:bCs/>
              </w:rPr>
              <w:t xml:space="preserve">SDG5- </w:t>
            </w:r>
            <w:r w:rsidRPr="000D6ACA">
              <w:t>Achieve gender equality and empower all women and girls.</w:t>
            </w:r>
          </w:p>
          <w:p w14:paraId="4FE2E062" w14:textId="77777777" w:rsidR="00600C72" w:rsidRPr="000D6ACA" w:rsidRDefault="00600C72" w:rsidP="00600C72">
            <w:pPr>
              <w:pStyle w:val="Header"/>
              <w:rPr>
                <w:bCs/>
                <w:szCs w:val="22"/>
              </w:rPr>
            </w:pPr>
            <w:r w:rsidRPr="000D6ACA">
              <w:rPr>
                <w:bCs/>
                <w:szCs w:val="22"/>
              </w:rPr>
              <w:t xml:space="preserve">If applicable, </w:t>
            </w:r>
            <w:r w:rsidRPr="000D6ACA">
              <w:rPr>
                <w:b/>
                <w:szCs w:val="22"/>
              </w:rPr>
              <w:t>National Strategic Goal</w:t>
            </w:r>
            <w:r w:rsidRPr="000D6ACA">
              <w:rPr>
                <w:bCs/>
                <w:szCs w:val="22"/>
              </w:rPr>
              <w:t xml:space="preserve"> to which the project contributes: National PVE Action Plan; Peacebuilding Priority Plan.</w:t>
            </w:r>
          </w:p>
          <w:p w14:paraId="1DAEED2D" w14:textId="114137D8" w:rsidR="009B18EB" w:rsidRPr="000D6ACA" w:rsidRDefault="009B18EB" w:rsidP="00F23D0F">
            <w:pPr>
              <w:rPr>
                <w:b/>
                <w:bCs/>
                <w:iCs/>
              </w:rPr>
            </w:pPr>
          </w:p>
        </w:tc>
      </w:tr>
      <w:tr w:rsidR="00793DE6" w:rsidRPr="000D6ACA" w14:paraId="277CF964" w14:textId="77777777" w:rsidTr="00F23D0F">
        <w:trPr>
          <w:trHeight w:val="1124"/>
        </w:trPr>
        <w:tc>
          <w:tcPr>
            <w:tcW w:w="10080" w:type="dxa"/>
            <w:gridSpan w:val="2"/>
          </w:tcPr>
          <w:p w14:paraId="1CD7755C" w14:textId="77777777" w:rsidR="00793DE6" w:rsidRPr="000D6ACA" w:rsidRDefault="00793DE6" w:rsidP="00793DE6">
            <w:pPr>
              <w:rPr>
                <w:b/>
                <w:bCs/>
              </w:rPr>
            </w:pPr>
            <w:r w:rsidRPr="000D6ACA">
              <w:rPr>
                <w:b/>
                <w:bCs/>
              </w:rPr>
              <w:t>Report preparation:</w:t>
            </w:r>
          </w:p>
          <w:p w14:paraId="10BDFB0E" w14:textId="29A34A10" w:rsidR="00793DE6" w:rsidRPr="000D6ACA" w:rsidRDefault="00793DE6" w:rsidP="005C1B6D">
            <w:r w:rsidRPr="000D6ACA">
              <w:t xml:space="preserve">Project report prepared by: </w:t>
            </w:r>
            <w:r w:rsidR="00600C72" w:rsidRPr="000D6ACA">
              <w:t xml:space="preserve">Mr. </w:t>
            </w:r>
            <w:r w:rsidR="00922038">
              <w:t>Kuban Ismailov</w:t>
            </w:r>
          </w:p>
          <w:p w14:paraId="6354F724" w14:textId="0ECB69B7" w:rsidR="00793DE6" w:rsidRPr="000D6ACA" w:rsidRDefault="00793DE6" w:rsidP="00793DE6">
            <w:r w:rsidRPr="000D6ACA">
              <w:t xml:space="preserve">Project report approved by: </w:t>
            </w:r>
            <w:r w:rsidR="00600C72" w:rsidRPr="000D6ACA">
              <w:t>Mr. Koen Marquering</w:t>
            </w:r>
          </w:p>
          <w:p w14:paraId="4D99FC9D" w14:textId="6852B0C5" w:rsidR="00793DE6" w:rsidRPr="000D6ACA" w:rsidRDefault="00793DE6" w:rsidP="001A3157">
            <w:r w:rsidRPr="000D6ACA">
              <w:t xml:space="preserve">Did PBF Secretariat </w:t>
            </w:r>
            <w:r w:rsidR="009B18EB" w:rsidRPr="000D6ACA">
              <w:t xml:space="preserve">review </w:t>
            </w:r>
            <w:r w:rsidRPr="000D6ACA">
              <w:t xml:space="preserve">the report: </w:t>
            </w:r>
            <w:r w:rsidR="00600C72" w:rsidRPr="000D6ACA">
              <w:t>Yes</w:t>
            </w:r>
          </w:p>
        </w:tc>
      </w:tr>
    </w:tbl>
    <w:p w14:paraId="00782974" w14:textId="77777777" w:rsidR="00272A58" w:rsidRPr="000D6ACA" w:rsidRDefault="00272A58" w:rsidP="00E76CA1">
      <w:pPr>
        <w:rPr>
          <w:b/>
        </w:rPr>
        <w:sectPr w:rsidR="00272A58" w:rsidRPr="000D6ACA" w:rsidSect="0078600B">
          <w:footerReference w:type="default" r:id="rId13"/>
          <w:pgSz w:w="11906" w:h="16838"/>
          <w:pgMar w:top="1440" w:right="1800" w:bottom="1440" w:left="1800" w:header="720" w:footer="720" w:gutter="0"/>
          <w:cols w:space="720"/>
          <w:docGrid w:linePitch="360"/>
        </w:sectPr>
      </w:pPr>
    </w:p>
    <w:p w14:paraId="1CDAFC7E" w14:textId="77777777" w:rsidR="004C4F3B" w:rsidRPr="000D6ACA" w:rsidRDefault="00793DE6" w:rsidP="00A47DDA">
      <w:pPr>
        <w:ind w:hanging="810"/>
        <w:jc w:val="both"/>
        <w:rPr>
          <w:b/>
          <w:i/>
          <w:iCs/>
        </w:rPr>
      </w:pPr>
      <w:r w:rsidRPr="000D6ACA">
        <w:rPr>
          <w:b/>
          <w:i/>
          <w:iCs/>
        </w:rPr>
        <w:lastRenderedPageBreak/>
        <w:t>NOTES</w:t>
      </w:r>
      <w:r w:rsidR="004C4F3B" w:rsidRPr="000D6ACA">
        <w:rPr>
          <w:b/>
          <w:i/>
          <w:iCs/>
        </w:rPr>
        <w:t xml:space="preserve"> FOR COMPLETING THE REPORT:</w:t>
      </w:r>
    </w:p>
    <w:p w14:paraId="18152DD7" w14:textId="77777777" w:rsidR="004C4F3B" w:rsidRPr="000D6ACA" w:rsidRDefault="001A1E86" w:rsidP="00825A9E">
      <w:pPr>
        <w:numPr>
          <w:ilvl w:val="0"/>
          <w:numId w:val="1"/>
        </w:numPr>
        <w:ind w:left="-540"/>
        <w:jc w:val="both"/>
        <w:rPr>
          <w:i/>
          <w:iCs/>
        </w:rPr>
      </w:pPr>
      <w:r w:rsidRPr="000D6ACA">
        <w:rPr>
          <w:i/>
          <w:iCs/>
        </w:rPr>
        <w:t>Avoid acronyms and UN jargon, use genera</w:t>
      </w:r>
      <w:r w:rsidR="00013D36" w:rsidRPr="000D6ACA">
        <w:rPr>
          <w:i/>
          <w:iCs/>
        </w:rPr>
        <w:t>l</w:t>
      </w:r>
      <w:r w:rsidRPr="000D6ACA">
        <w:rPr>
          <w:i/>
          <w:iCs/>
        </w:rPr>
        <w:t xml:space="preserve"> /common language</w:t>
      </w:r>
      <w:r w:rsidR="004C4F3B" w:rsidRPr="000D6ACA">
        <w:rPr>
          <w:i/>
          <w:iCs/>
        </w:rPr>
        <w:t>.</w:t>
      </w:r>
    </w:p>
    <w:p w14:paraId="7F8C5BB1" w14:textId="77777777" w:rsidR="007B368E" w:rsidRPr="000D6ACA" w:rsidRDefault="007B368E" w:rsidP="00825A9E">
      <w:pPr>
        <w:numPr>
          <w:ilvl w:val="0"/>
          <w:numId w:val="1"/>
        </w:numPr>
        <w:ind w:left="-540"/>
        <w:jc w:val="both"/>
        <w:rPr>
          <w:i/>
          <w:iCs/>
        </w:rPr>
      </w:pPr>
      <w:r w:rsidRPr="000D6ACA">
        <w:rPr>
          <w:i/>
          <w:iCs/>
        </w:rPr>
        <w:t>Report on what has been achieved in the reporting period, not what the project aims to do.</w:t>
      </w:r>
    </w:p>
    <w:p w14:paraId="46A6A1E7" w14:textId="77777777" w:rsidR="004C4F3B" w:rsidRPr="000D6ACA" w:rsidRDefault="004C4F3B" w:rsidP="00825A9E">
      <w:pPr>
        <w:numPr>
          <w:ilvl w:val="0"/>
          <w:numId w:val="1"/>
        </w:numPr>
        <w:ind w:left="-540"/>
        <w:jc w:val="both"/>
        <w:rPr>
          <w:i/>
          <w:iCs/>
        </w:rPr>
      </w:pPr>
      <w:r w:rsidRPr="000D6ACA">
        <w:rPr>
          <w:i/>
          <w:iCs/>
        </w:rPr>
        <w:t>Be as concrete as possible. Avoid theoretical, vague or conceptual discourse.</w:t>
      </w:r>
    </w:p>
    <w:p w14:paraId="019E0240" w14:textId="4FE5996F" w:rsidR="004C4F3B" w:rsidRPr="000D6ACA" w:rsidRDefault="006A07CA" w:rsidP="00825A9E">
      <w:pPr>
        <w:numPr>
          <w:ilvl w:val="0"/>
          <w:numId w:val="1"/>
        </w:numPr>
        <w:ind w:left="-540"/>
        <w:jc w:val="both"/>
        <w:rPr>
          <w:i/>
          <w:iCs/>
        </w:rPr>
      </w:pPr>
      <w:r w:rsidRPr="000D6ACA">
        <w:rPr>
          <w:i/>
          <w:iCs/>
        </w:rPr>
        <w:t>Ensure the analysis and project progress assessment is gender and age sensitive.</w:t>
      </w:r>
    </w:p>
    <w:p w14:paraId="363C1C2E" w14:textId="61ABEEF4" w:rsidR="00E83A40" w:rsidRPr="000D6ACA" w:rsidRDefault="00E83A40" w:rsidP="00825A9E">
      <w:pPr>
        <w:numPr>
          <w:ilvl w:val="0"/>
          <w:numId w:val="1"/>
        </w:numPr>
        <w:ind w:left="-540"/>
        <w:jc w:val="both"/>
        <w:rPr>
          <w:i/>
          <w:iCs/>
        </w:rPr>
      </w:pPr>
      <w:r w:rsidRPr="000D6ACA">
        <w:rPr>
          <w:i/>
          <w:iCs/>
        </w:rPr>
        <w:t>Please include any COVID-19 related considerations, adjustments and results</w:t>
      </w:r>
      <w:r w:rsidR="00CF073D" w:rsidRPr="000D6ACA">
        <w:rPr>
          <w:i/>
          <w:iCs/>
        </w:rPr>
        <w:t xml:space="preserve"> and respond to section IV. </w:t>
      </w:r>
    </w:p>
    <w:p w14:paraId="25C8F0DF" w14:textId="77777777" w:rsidR="004C4F3B" w:rsidRPr="000D6ACA" w:rsidRDefault="004C4F3B" w:rsidP="00A47DDA">
      <w:pPr>
        <w:ind w:hanging="810"/>
        <w:jc w:val="both"/>
        <w:rPr>
          <w:b/>
        </w:rPr>
      </w:pPr>
    </w:p>
    <w:p w14:paraId="6B090363" w14:textId="77777777" w:rsidR="00E42721" w:rsidRPr="000D6ACA" w:rsidRDefault="00A47DDA" w:rsidP="00A47DDA">
      <w:pPr>
        <w:ind w:hanging="810"/>
        <w:jc w:val="both"/>
        <w:rPr>
          <w:b/>
          <w:u w:val="single"/>
        </w:rPr>
      </w:pPr>
      <w:r w:rsidRPr="000D6ACA">
        <w:rPr>
          <w:b/>
          <w:u w:val="single"/>
        </w:rPr>
        <w:t>PART 1</w:t>
      </w:r>
      <w:r w:rsidR="00B652A1" w:rsidRPr="000D6ACA">
        <w:rPr>
          <w:b/>
          <w:u w:val="single"/>
        </w:rPr>
        <w:t>:</w:t>
      </w:r>
      <w:r w:rsidR="00E42721" w:rsidRPr="000D6ACA">
        <w:rPr>
          <w:b/>
          <w:u w:val="single"/>
        </w:rPr>
        <w:t xml:space="preserve"> </w:t>
      </w:r>
      <w:r w:rsidR="00206D45" w:rsidRPr="000D6ACA">
        <w:rPr>
          <w:b/>
          <w:u w:val="single"/>
        </w:rPr>
        <w:t>OVERALL PROJECT</w:t>
      </w:r>
      <w:r w:rsidR="00E42721" w:rsidRPr="000D6ACA">
        <w:rPr>
          <w:b/>
          <w:u w:val="single"/>
        </w:rPr>
        <w:t xml:space="preserve"> PROGRESS</w:t>
      </w:r>
    </w:p>
    <w:p w14:paraId="53D3D9A6" w14:textId="77777777" w:rsidR="00A02F58" w:rsidRPr="000D6ACA" w:rsidRDefault="00A02F58" w:rsidP="00206D45">
      <w:pPr>
        <w:rPr>
          <w:b/>
        </w:rPr>
      </w:pPr>
    </w:p>
    <w:p w14:paraId="01518E19" w14:textId="77777777" w:rsidR="00D84A39" w:rsidRPr="000D6ACA" w:rsidRDefault="00411A5F" w:rsidP="007C304F">
      <w:pPr>
        <w:ind w:left="-810"/>
      </w:pPr>
      <w:r w:rsidRPr="000D6ACA">
        <w:t xml:space="preserve">Briefly </w:t>
      </w:r>
      <w:r w:rsidR="008364E5" w:rsidRPr="000D6ACA">
        <w:t>outline</w:t>
      </w:r>
      <w:r w:rsidR="007C304F" w:rsidRPr="000D6ACA">
        <w:t xml:space="preserve"> the</w:t>
      </w:r>
      <w:r w:rsidR="00F5504F" w:rsidRPr="000D6ACA">
        <w:t xml:space="preserve"> </w:t>
      </w:r>
      <w:r w:rsidR="00F5504F" w:rsidRPr="000D6ACA">
        <w:rPr>
          <w:b/>
          <w:bCs/>
        </w:rPr>
        <w:t>status of the</w:t>
      </w:r>
      <w:r w:rsidR="007C304F" w:rsidRPr="000D6ACA">
        <w:rPr>
          <w:b/>
          <w:bCs/>
        </w:rPr>
        <w:t xml:space="preserve"> project</w:t>
      </w:r>
      <w:r w:rsidR="007C304F" w:rsidRPr="000D6ACA">
        <w:t xml:space="preserve"> in terms of implementation cycle, including whether preliminary/preparatory activities have been completed</w:t>
      </w:r>
      <w:r w:rsidR="008364E5" w:rsidRPr="000D6ACA">
        <w:t xml:space="preserve"> (i.e. </w:t>
      </w:r>
      <w:r w:rsidR="009B18EB" w:rsidRPr="000D6ACA">
        <w:t>contracting of partners, staff recruitment</w:t>
      </w:r>
      <w:r w:rsidR="004D141E" w:rsidRPr="000D6ACA">
        <w:t>, etc.</w:t>
      </w:r>
      <w:r w:rsidR="008364E5" w:rsidRPr="000D6ACA">
        <w:t>)</w:t>
      </w:r>
      <w:r w:rsidR="004D141E" w:rsidRPr="000D6ACA">
        <w:t xml:space="preserve"> </w:t>
      </w:r>
      <w:r w:rsidR="006A07CA" w:rsidRPr="000D6ACA">
        <w:t>(</w:t>
      </w:r>
      <w:proofErr w:type="gramStart"/>
      <w:r w:rsidR="006A07CA" w:rsidRPr="000D6ACA">
        <w:t>1</w:t>
      </w:r>
      <w:r w:rsidR="00521468" w:rsidRPr="000D6ACA">
        <w:t>5</w:t>
      </w:r>
      <w:r w:rsidR="006A07CA" w:rsidRPr="000D6ACA">
        <w:t>00 character</w:t>
      </w:r>
      <w:proofErr w:type="gramEnd"/>
      <w:r w:rsidR="006A07CA" w:rsidRPr="000D6ACA">
        <w:t xml:space="preserve"> limit)</w:t>
      </w:r>
      <w:r w:rsidR="007C304F" w:rsidRPr="000D6ACA">
        <w:t xml:space="preserve">: </w:t>
      </w:r>
    </w:p>
    <w:p w14:paraId="79197C2D" w14:textId="77777777" w:rsidR="007F6890" w:rsidRPr="000D6ACA" w:rsidRDefault="007F6890" w:rsidP="007F6890">
      <w:pPr>
        <w:jc w:val="both"/>
      </w:pPr>
    </w:p>
    <w:p w14:paraId="6E99D056" w14:textId="33040B18" w:rsidR="001A16E3" w:rsidRDefault="001A16E3" w:rsidP="00F03A63">
      <w:pPr>
        <w:jc w:val="both"/>
      </w:pPr>
      <w:r>
        <w:t xml:space="preserve">Project implementation started </w:t>
      </w:r>
      <w:r w:rsidR="001E4EF3">
        <w:t>on 11</w:t>
      </w:r>
      <w:r>
        <w:t xml:space="preserve"> January 2018 and </w:t>
      </w:r>
      <w:r w:rsidR="001E4EF3">
        <w:t xml:space="preserve">ended </w:t>
      </w:r>
      <w:r w:rsidR="004E0AE3">
        <w:t>on 11 July 2021.</w:t>
      </w:r>
      <w:r w:rsidR="001D455B">
        <w:t xml:space="preserve"> </w:t>
      </w:r>
    </w:p>
    <w:p w14:paraId="6EFC410D" w14:textId="77777777" w:rsidR="00922038" w:rsidRDefault="00922038" w:rsidP="00F03A63">
      <w:pPr>
        <w:jc w:val="both"/>
      </w:pPr>
    </w:p>
    <w:p w14:paraId="0891451F" w14:textId="3A27E1A6" w:rsidR="001E4EF3" w:rsidRDefault="001E4EF3" w:rsidP="00F03A63">
      <w:pPr>
        <w:jc w:val="both"/>
      </w:pPr>
      <w:r>
        <w:t xml:space="preserve">The implementation period includes a </w:t>
      </w:r>
      <w:r w:rsidRPr="000D6ACA">
        <w:t xml:space="preserve">no-cost extension </w:t>
      </w:r>
      <w:r>
        <w:t xml:space="preserve">of </w:t>
      </w:r>
      <w:r w:rsidRPr="000D6ACA">
        <w:t>six</w:t>
      </w:r>
      <w:r>
        <w:t xml:space="preserve"> </w:t>
      </w:r>
      <w:r w:rsidRPr="000D6ACA">
        <w:t>months</w:t>
      </w:r>
      <w:r>
        <w:t xml:space="preserve"> </w:t>
      </w:r>
      <w:r w:rsidRPr="000D6ACA">
        <w:t>approved by the Peace</w:t>
      </w:r>
      <w:r>
        <w:t>b</w:t>
      </w:r>
      <w:r w:rsidRPr="000D6ACA">
        <w:t>uilding Fund (PBF)</w:t>
      </w:r>
      <w:r w:rsidR="002E2792">
        <w:t xml:space="preserve"> following the COVID-19 pandemic</w:t>
      </w:r>
      <w:r>
        <w:t>.</w:t>
      </w:r>
      <w:r w:rsidR="002E2792" w:rsidRPr="002E2792">
        <w:t xml:space="preserve"> </w:t>
      </w:r>
      <w:r w:rsidR="002E2792">
        <w:t>This allowed the project to complete all activities despite r</w:t>
      </w:r>
      <w:r w:rsidR="002E2792" w:rsidRPr="000D6ACA">
        <w:t>estrictive quarantine measures</w:t>
      </w:r>
      <w:r w:rsidR="002E2792">
        <w:t xml:space="preserve"> and challenges posed by</w:t>
      </w:r>
      <w:r w:rsidR="002E2792" w:rsidRPr="000D6ACA">
        <w:t xml:space="preserve"> political upheaval in 2020</w:t>
      </w:r>
      <w:r w:rsidR="002E2792">
        <w:t>.</w:t>
      </w:r>
      <w:r w:rsidR="002E2792" w:rsidRPr="000D6ACA">
        <w:t xml:space="preserve"> </w:t>
      </w:r>
    </w:p>
    <w:p w14:paraId="796F1EDA" w14:textId="77777777" w:rsidR="001E4EF3" w:rsidRDefault="001E4EF3" w:rsidP="00F03A63">
      <w:pPr>
        <w:jc w:val="both"/>
      </w:pPr>
    </w:p>
    <w:p w14:paraId="5651B629" w14:textId="77777777" w:rsidR="002E2792" w:rsidRDefault="001E4EF3" w:rsidP="00F03A63">
      <w:pPr>
        <w:jc w:val="both"/>
      </w:pPr>
      <w:r w:rsidRPr="000D6ACA">
        <w:t>Th</w:t>
      </w:r>
      <w:r>
        <w:t xml:space="preserve">is final report covers the main results achieved based on activity plans signed with the project beneficiaries on 25 May 2018 and 3 April 2019. </w:t>
      </w:r>
      <w:r w:rsidRPr="000D6ACA">
        <w:t xml:space="preserve"> </w:t>
      </w:r>
    </w:p>
    <w:p w14:paraId="298504B9" w14:textId="77777777" w:rsidR="002E2792" w:rsidRDefault="002E2792" w:rsidP="00F03A63">
      <w:pPr>
        <w:jc w:val="both"/>
      </w:pPr>
    </w:p>
    <w:p w14:paraId="6A70A7D2" w14:textId="02FF0856" w:rsidR="008C782A" w:rsidRPr="000D6ACA" w:rsidRDefault="008364E5" w:rsidP="0034204F">
      <w:pPr>
        <w:ind w:left="-810" w:right="-154"/>
      </w:pPr>
      <w:r w:rsidRPr="000D6ACA">
        <w:t xml:space="preserve">FOR PROJECTS WITHIN SIX MONTHS OF COMPLETION: </w:t>
      </w:r>
      <w:r w:rsidR="002F4BA2" w:rsidRPr="000D6ACA">
        <w:t>summarise</w:t>
      </w:r>
      <w:r w:rsidRPr="000D6ACA">
        <w:t xml:space="preserve"> </w:t>
      </w:r>
      <w:r w:rsidR="00A64A02" w:rsidRPr="000D6ACA">
        <w:rPr>
          <w:b/>
          <w:bCs/>
        </w:rPr>
        <w:t xml:space="preserve">the </w:t>
      </w:r>
      <w:r w:rsidR="001C56B8" w:rsidRPr="000D6ACA">
        <w:rPr>
          <w:b/>
          <w:bCs/>
        </w:rPr>
        <w:t xml:space="preserve">main </w:t>
      </w:r>
      <w:r w:rsidR="00A64A02" w:rsidRPr="000D6ACA">
        <w:rPr>
          <w:b/>
          <w:bCs/>
        </w:rPr>
        <w:t>structural, institutional or societal level change the project has contributed to</w:t>
      </w:r>
      <w:r w:rsidR="00A64A02" w:rsidRPr="000D6ACA">
        <w:t>. This is not anecdotal evidence</w:t>
      </w:r>
      <w:r w:rsidR="001B6DFD" w:rsidRPr="000D6ACA">
        <w:t xml:space="preserve"> or a list of individual outputs</w:t>
      </w:r>
      <w:r w:rsidR="00A64A02" w:rsidRPr="000D6ACA">
        <w:t xml:space="preserve">, but </w:t>
      </w:r>
      <w:r w:rsidRPr="000D6ACA">
        <w:t xml:space="preserve">a description of </w:t>
      </w:r>
      <w:r w:rsidR="00A64A02" w:rsidRPr="000D6ACA">
        <w:t xml:space="preserve">progress made toward the main purpose of the project. </w:t>
      </w:r>
      <w:r w:rsidR="008C782A" w:rsidRPr="000D6ACA">
        <w:t>(</w:t>
      </w:r>
      <w:proofErr w:type="gramStart"/>
      <w:r w:rsidR="008C782A" w:rsidRPr="000D6ACA">
        <w:t>1500 character</w:t>
      </w:r>
      <w:proofErr w:type="gramEnd"/>
      <w:r w:rsidR="008C782A" w:rsidRPr="000D6ACA">
        <w:t xml:space="preserve"> limit): </w:t>
      </w:r>
    </w:p>
    <w:p w14:paraId="708F3194" w14:textId="77777777" w:rsidR="00D25DFB" w:rsidRPr="000D6ACA" w:rsidRDefault="00D25DFB" w:rsidP="00D25DFB">
      <w:pPr>
        <w:ind w:left="-810"/>
      </w:pPr>
    </w:p>
    <w:p w14:paraId="49011D22" w14:textId="746377C9" w:rsidR="00843B35" w:rsidRDefault="00843B35" w:rsidP="00843B35">
      <w:pPr>
        <w:autoSpaceDE w:val="0"/>
        <w:autoSpaceDN w:val="0"/>
        <w:jc w:val="both"/>
      </w:pPr>
      <w:r>
        <w:t xml:space="preserve">The project started its work at a time when the </w:t>
      </w:r>
      <w:r w:rsidR="0029086A">
        <w:t xml:space="preserve">country had just adopted </w:t>
      </w:r>
      <w:r>
        <w:t>new criminal legislation, including a new Criminal Code, Criminal Procedure Code, Criminal Executive Code, Law on Probation and a Law on Changes to Regulatory Acts on Introduction of the Probation Institute</w:t>
      </w:r>
      <w:r w:rsidR="0029086A">
        <w:t xml:space="preserve"> (</w:t>
      </w:r>
      <w:r>
        <w:t>in 2017</w:t>
      </w:r>
      <w:r w:rsidR="0029086A">
        <w:t>)</w:t>
      </w:r>
      <w:r>
        <w:t xml:space="preserve">. This was </w:t>
      </w:r>
      <w:r w:rsidR="0029086A">
        <w:t xml:space="preserve">the </w:t>
      </w:r>
      <w:r>
        <w:t>result of an ongoing process of judicial reform and a major step forward in terms of humanization of criminal policy and application of alternatives to incarceration with important implications for the management of violent extremist offenders.</w:t>
      </w:r>
    </w:p>
    <w:p w14:paraId="63186999" w14:textId="033D3D66" w:rsidR="00843B35" w:rsidRPr="000D6ACA" w:rsidRDefault="00843B35" w:rsidP="00843B35">
      <w:pPr>
        <w:spacing w:before="120"/>
        <w:jc w:val="both"/>
        <w:rPr>
          <w:rFonts w:asciiTheme="majorBidi" w:hAnsiTheme="majorBidi" w:cstheme="majorBidi"/>
        </w:rPr>
      </w:pPr>
      <w:r>
        <w:t xml:space="preserve">A period of preparation ensued for the authorities to get ready for entry into force from January 2019 onwards. The project was implemented during this preparatory period and covered the initial stages for the introduction of probation in Kyrgyzstan. This required the project </w:t>
      </w:r>
      <w:r w:rsidR="0029086A">
        <w:t xml:space="preserve">to focus </w:t>
      </w:r>
      <w:r>
        <w:t xml:space="preserve">on institutional reforms and assistance to the new probation service in parallel with specific interventions aimed at facilitating </w:t>
      </w:r>
      <w:r w:rsidRPr="00373B06">
        <w:t>social reintegration of violent extremist offenders into the community and promot</w:t>
      </w:r>
      <w:r w:rsidR="00D74F03">
        <w:t>ing</w:t>
      </w:r>
      <w:r w:rsidRPr="00373B06">
        <w:t xml:space="preserve"> community partnerships to prevent violent extremism</w:t>
      </w:r>
      <w:r>
        <w:t>.</w:t>
      </w:r>
      <w:r w:rsidRPr="00843B35">
        <w:rPr>
          <w:rFonts w:asciiTheme="majorBidi" w:hAnsiTheme="majorBidi" w:cstheme="majorBidi"/>
          <w:lang w:eastAsia="en-US"/>
        </w:rPr>
        <w:t xml:space="preserve"> </w:t>
      </w:r>
    </w:p>
    <w:p w14:paraId="5C065EBD" w14:textId="77777777" w:rsidR="00843B35" w:rsidRDefault="00843B35" w:rsidP="007A0633">
      <w:pPr>
        <w:jc w:val="both"/>
      </w:pPr>
    </w:p>
    <w:p w14:paraId="477C696B" w14:textId="3F0FF00D" w:rsidR="00CD2D2D" w:rsidRDefault="0029086A" w:rsidP="00CD2D2D">
      <w:pPr>
        <w:jc w:val="both"/>
      </w:pPr>
      <w:r>
        <w:t xml:space="preserve"> Based on the project’s strategic engagement, t</w:t>
      </w:r>
      <w:r w:rsidR="00CD2D2D" w:rsidRPr="006D71CD">
        <w:t xml:space="preserve">he Government made a decision to place the probation service under the Ministry of Justice, an unprecedented step for probation management in Central Asia </w:t>
      </w:r>
      <w:r>
        <w:t xml:space="preserve">(where </w:t>
      </w:r>
      <w:r w:rsidR="00FF6933">
        <w:t xml:space="preserve">probation is </w:t>
      </w:r>
      <w:r>
        <w:t>often embedded in law enforcement rather than set up as a civil institution</w:t>
      </w:r>
      <w:r w:rsidR="00FF6933">
        <w:t xml:space="preserve"> </w:t>
      </w:r>
      <w:r w:rsidR="00CD2D2D" w:rsidRPr="006D71CD">
        <w:t xml:space="preserve"> in line with international standards and best practice</w:t>
      </w:r>
      <w:r w:rsidR="00EA7CEC">
        <w:t>)</w:t>
      </w:r>
      <w:r w:rsidR="00CD2D2D" w:rsidRPr="006D71CD">
        <w:t xml:space="preserve">. </w:t>
      </w:r>
    </w:p>
    <w:p w14:paraId="30B72E5C" w14:textId="77777777" w:rsidR="00EA7CEC" w:rsidRDefault="00EA7CEC" w:rsidP="00EA7CEC">
      <w:pPr>
        <w:jc w:val="both"/>
      </w:pPr>
    </w:p>
    <w:p w14:paraId="14797374" w14:textId="04E7549A" w:rsidR="00A132C2" w:rsidRDefault="00A132C2" w:rsidP="00A132C2">
      <w:pPr>
        <w:jc w:val="both"/>
      </w:pPr>
      <w:r>
        <w:lastRenderedPageBreak/>
        <w:t xml:space="preserve">The project supported the development of the normative framework to guide probation services, with 9 regulatory acts developed and adopted during the lifetime of the project to support implementation of the new Law on Probation. These include guidelines for the development of probation reports; establishment of rehabilitation centres (social dormitories); support to probation units and probation clients by local self-government bodies; probation procedures and multiagency coordination on probation at the community level. </w:t>
      </w:r>
    </w:p>
    <w:p w14:paraId="7524FA12" w14:textId="77777777" w:rsidR="00A132C2" w:rsidRDefault="00A132C2" w:rsidP="00EA7CEC">
      <w:pPr>
        <w:jc w:val="both"/>
      </w:pPr>
    </w:p>
    <w:p w14:paraId="40BE9A12" w14:textId="65B54F75" w:rsidR="00EA7CEC" w:rsidRPr="006D71CD" w:rsidRDefault="00EA7CEC" w:rsidP="00EA7CEC">
      <w:pPr>
        <w:jc w:val="both"/>
      </w:pPr>
      <w:r>
        <w:t xml:space="preserve">The project helped the authorities map </w:t>
      </w:r>
      <w:r w:rsidR="00A132C2">
        <w:t xml:space="preserve">technical </w:t>
      </w:r>
      <w:r>
        <w:t xml:space="preserve">needs for </w:t>
      </w:r>
      <w:r w:rsidR="00A132C2">
        <w:t xml:space="preserve">the provision of </w:t>
      </w:r>
      <w:r>
        <w:t xml:space="preserve">probation services at the community level. Based on this engagement, </w:t>
      </w:r>
      <w:r w:rsidR="003A5E72">
        <w:t xml:space="preserve">the government allocated </w:t>
      </w:r>
      <w:r>
        <w:t xml:space="preserve">premises and funding for the establishment of probation offices. 139 probation staff were recruited and started working. </w:t>
      </w:r>
      <w:r w:rsidRPr="006D71CD">
        <w:t xml:space="preserve">The </w:t>
      </w:r>
      <w:r w:rsidR="00A132C2">
        <w:t xml:space="preserve">project further boosted this effort with technical assistance to </w:t>
      </w:r>
      <w:r w:rsidRPr="006D71CD">
        <w:t xml:space="preserve">open eight probation offices </w:t>
      </w:r>
      <w:r w:rsidR="00A132C2">
        <w:t xml:space="preserve">employing </w:t>
      </w:r>
      <w:r w:rsidR="00A132C2" w:rsidRPr="006D71CD">
        <w:t xml:space="preserve">48 probation officers (31 women) </w:t>
      </w:r>
      <w:r w:rsidRPr="006D71CD">
        <w:t xml:space="preserve">in Chui, Osh, Jalal-Abad and </w:t>
      </w:r>
      <w:proofErr w:type="spellStart"/>
      <w:r w:rsidRPr="006D71CD">
        <w:t>Batken</w:t>
      </w:r>
      <w:proofErr w:type="spellEnd"/>
      <w:r w:rsidRPr="006D71CD">
        <w:t xml:space="preserve"> oblasts.</w:t>
      </w:r>
      <w:r>
        <w:t xml:space="preserve"> </w:t>
      </w:r>
    </w:p>
    <w:p w14:paraId="6E199F55" w14:textId="125F6D67" w:rsidR="003A5E72" w:rsidRPr="000D6ACA" w:rsidRDefault="003A5E72" w:rsidP="003A5E72">
      <w:pPr>
        <w:spacing w:before="120"/>
        <w:jc w:val="both"/>
      </w:pPr>
      <w:r>
        <w:t xml:space="preserve">The project trained over </w:t>
      </w:r>
      <w:r w:rsidR="008B55C0">
        <w:t>8</w:t>
      </w:r>
      <w:r>
        <w:t>00</w:t>
      </w:r>
      <w:r w:rsidRPr="000D6ACA">
        <w:t xml:space="preserve"> prison staff (</w:t>
      </w:r>
      <w:r w:rsidR="008B55C0">
        <w:t xml:space="preserve">over </w:t>
      </w:r>
      <w:r w:rsidRPr="000D6ACA">
        <w:t>3</w:t>
      </w:r>
      <w:r w:rsidR="008B55C0">
        <w:t>0</w:t>
      </w:r>
      <w:r w:rsidRPr="000D6ACA">
        <w:t xml:space="preserve">0 women) and 128 probation officers (42 women)  to work with </w:t>
      </w:r>
      <w:r w:rsidR="007D745B">
        <w:t xml:space="preserve">violent extremist and other </w:t>
      </w:r>
      <w:r w:rsidRPr="000D6ACA">
        <w:t>prisoners and probation clients, based on international standards and norms, including the UN Minimum Rules on Treatment</w:t>
      </w:r>
      <w:r>
        <w:t xml:space="preserve"> </w:t>
      </w:r>
      <w:r w:rsidRPr="000D6ACA">
        <w:t xml:space="preserve">of Prisoners (Nelson Mandela Rules) and Treatment of Women Prisoners and Non-custodial Measures for Women Offenders (Bangkok Rules). </w:t>
      </w:r>
    </w:p>
    <w:p w14:paraId="3D395940" w14:textId="1F9D8902" w:rsidR="00FF6933" w:rsidRDefault="00A84F6B" w:rsidP="00A84F6B">
      <w:pPr>
        <w:spacing w:before="120"/>
        <w:jc w:val="both"/>
      </w:pPr>
      <w:r w:rsidRPr="006D71CD">
        <w:t>For the first time, the Prison Service made a significant investment in the capacity of its Training Centre, with the recruitment of new teaching staff, raising the number from 3</w:t>
      </w:r>
      <w:r w:rsidR="00D17538">
        <w:t xml:space="preserve"> </w:t>
      </w:r>
      <w:r w:rsidRPr="006D71CD">
        <w:t>to 15</w:t>
      </w:r>
      <w:r w:rsidR="00D17538" w:rsidRPr="00D17538">
        <w:t xml:space="preserve"> </w:t>
      </w:r>
      <w:r w:rsidR="00D17538">
        <w:t>staff</w:t>
      </w:r>
      <w:r w:rsidRPr="006D71CD">
        <w:t>.</w:t>
      </w:r>
      <w:r w:rsidRPr="00214618">
        <w:t xml:space="preserve"> </w:t>
      </w:r>
      <w:r w:rsidR="00D17538">
        <w:t xml:space="preserve">The project has increased the </w:t>
      </w:r>
      <w:r w:rsidR="005211BB">
        <w:t xml:space="preserve">professional </w:t>
      </w:r>
      <w:r w:rsidR="00D17538">
        <w:t>capacity of the training staff on the new novels of the criminal legislation, including the legislative provisions on management of violent extremist prisoners.</w:t>
      </w:r>
    </w:p>
    <w:p w14:paraId="3DCB4BA8" w14:textId="77777777" w:rsidR="00A84F6B" w:rsidRDefault="00A84F6B" w:rsidP="007A0633">
      <w:pPr>
        <w:jc w:val="both"/>
      </w:pPr>
    </w:p>
    <w:p w14:paraId="0BC594EB" w14:textId="67BDF1F0" w:rsidR="007A0633" w:rsidRDefault="003A5E72" w:rsidP="005211BB">
      <w:pPr>
        <w:spacing w:before="120"/>
        <w:jc w:val="both"/>
      </w:pPr>
      <w:r>
        <w:t xml:space="preserve">Under the project’s guidance, </w:t>
      </w:r>
      <w:r w:rsidRPr="00CE0D63">
        <w:t xml:space="preserve">Kyrgyzstan’s prison </w:t>
      </w:r>
      <w:r>
        <w:t>service introduced</w:t>
      </w:r>
      <w:r w:rsidRPr="00CE0D63">
        <w:t xml:space="preserve"> a </w:t>
      </w:r>
      <w:r>
        <w:t xml:space="preserve">new </w:t>
      </w:r>
      <w:r w:rsidRPr="00CE0D63">
        <w:t>prison risk assessment and classification system (PRACS)</w:t>
      </w:r>
      <w:r>
        <w:t>,</w:t>
      </w:r>
      <w:r w:rsidRPr="00CE0D63">
        <w:t xml:space="preserve"> based on international </w:t>
      </w:r>
      <w:r>
        <w:t>good practice</w:t>
      </w:r>
      <w:r w:rsidRPr="00CE0D63">
        <w:t xml:space="preserve">, to enable development of individualized rehabilitation sentence plans for prisoners, including those convicted of violent extremism. </w:t>
      </w:r>
      <w:r>
        <w:t xml:space="preserve">In this context, the project facilitated better </w:t>
      </w:r>
      <w:r w:rsidR="00A84F6B">
        <w:t>conditions</w:t>
      </w:r>
      <w:r w:rsidR="007A0633" w:rsidRPr="006D71CD">
        <w:t xml:space="preserve"> and </w:t>
      </w:r>
      <w:r>
        <w:t xml:space="preserve">opportunities for </w:t>
      </w:r>
      <w:r w:rsidR="007A0633" w:rsidRPr="006D71CD">
        <w:t xml:space="preserve">vocational training and employment for </w:t>
      </w:r>
      <w:r w:rsidR="00A84F6B" w:rsidRPr="00CD05C3">
        <w:t xml:space="preserve">over 400 </w:t>
      </w:r>
      <w:r w:rsidR="007A0633" w:rsidRPr="006D71CD">
        <w:t xml:space="preserve">prisoners and ex-prisoners </w:t>
      </w:r>
      <w:r w:rsidR="00A84F6B" w:rsidRPr="00CD05C3">
        <w:t>(</w:t>
      </w:r>
      <w:r w:rsidR="00A84F6B">
        <w:t xml:space="preserve">including </w:t>
      </w:r>
      <w:r w:rsidR="00A84F6B" w:rsidRPr="00CD05C3">
        <w:t>20 percent women</w:t>
      </w:r>
      <w:r w:rsidR="00A84F6B">
        <w:t>)</w:t>
      </w:r>
      <w:r w:rsidR="00A84F6B" w:rsidRPr="006D71CD">
        <w:t xml:space="preserve"> </w:t>
      </w:r>
      <w:r w:rsidR="007A0633" w:rsidRPr="006D71CD">
        <w:t xml:space="preserve">to obtain essential skills and knowledge to enable them to integrate better in their </w:t>
      </w:r>
      <w:r w:rsidR="007A0633" w:rsidRPr="00CD05C3">
        <w:t>communities.</w:t>
      </w:r>
    </w:p>
    <w:p w14:paraId="140DCD2A" w14:textId="2B77CE2A" w:rsidR="00A01881" w:rsidRDefault="00A01881" w:rsidP="00A01881">
      <w:pPr>
        <w:spacing w:before="120"/>
        <w:jc w:val="both"/>
      </w:pPr>
      <w:r w:rsidRPr="000D6ACA">
        <w:t xml:space="preserve">The project </w:t>
      </w:r>
      <w:r w:rsidR="007C655A">
        <w:t xml:space="preserve">also </w:t>
      </w:r>
      <w:r w:rsidRPr="000D6ACA">
        <w:t xml:space="preserve">facilitated the creation of a Psycholinguistic and Religious Expertise </w:t>
      </w:r>
      <w:r>
        <w:t>Unit</w:t>
      </w:r>
      <w:r w:rsidRPr="000D6ACA">
        <w:t xml:space="preserve"> at the State Forensic Service. Investment in the expert capacity and infrastructure for this new department </w:t>
      </w:r>
      <w:r w:rsidR="005211BB">
        <w:t>was</w:t>
      </w:r>
      <w:r w:rsidRPr="000D6ACA">
        <w:t xml:space="preserve"> </w:t>
      </w:r>
      <w:r w:rsidR="005211BB">
        <w:t xml:space="preserve">made </w:t>
      </w:r>
      <w:r w:rsidRPr="000D6ACA">
        <w:t>increas</w:t>
      </w:r>
      <w:r>
        <w:t>ing</w:t>
      </w:r>
      <w:r w:rsidRPr="000D6ACA">
        <w:t xml:space="preserve"> the </w:t>
      </w:r>
      <w:r w:rsidR="00CF6CA6">
        <w:t xml:space="preserve">number and the </w:t>
      </w:r>
      <w:r w:rsidRPr="000D6ACA">
        <w:t xml:space="preserve">quality of psycholinguistic and religious expertise to serve as a sound evidential basis for the </w:t>
      </w:r>
      <w:r w:rsidRPr="007874FE">
        <w:t>adjudication of terrorism and extremism related crimes in line with fair trial standards.</w:t>
      </w:r>
      <w:r>
        <w:t xml:space="preserve"> By mid-2021 the </w:t>
      </w:r>
      <w:r w:rsidR="00CF6CA6" w:rsidRPr="000D6ACA">
        <w:t xml:space="preserve">Psycholinguistic and Religious Expertise </w:t>
      </w:r>
      <w:r w:rsidR="00CF6CA6">
        <w:t>Unit</w:t>
      </w:r>
      <w:r w:rsidR="00CF6CA6" w:rsidRPr="000D6ACA">
        <w:t xml:space="preserve"> </w:t>
      </w:r>
      <w:r w:rsidR="00CF6CA6">
        <w:t xml:space="preserve">increased the number of forensic staff to 23 people (vs. 4 </w:t>
      </w:r>
      <w:r w:rsidR="005019E6">
        <w:t xml:space="preserve">staff </w:t>
      </w:r>
      <w:r w:rsidR="00CF6CA6">
        <w:t xml:space="preserve">in 2018) and the total </w:t>
      </w:r>
      <w:r>
        <w:t xml:space="preserve">number of </w:t>
      </w:r>
      <w:r w:rsidR="00CF6CA6">
        <w:t xml:space="preserve">conducted </w:t>
      </w:r>
      <w:r>
        <w:t>examinations in relation to terrorism and extremism crimes</w:t>
      </w:r>
      <w:r w:rsidRPr="005C5390">
        <w:t xml:space="preserve"> </w:t>
      </w:r>
      <w:r w:rsidR="00533C36">
        <w:t xml:space="preserve">that </w:t>
      </w:r>
      <w:r>
        <w:t xml:space="preserve">reached </w:t>
      </w:r>
      <w:r w:rsidRPr="005C5390">
        <w:t xml:space="preserve">over </w:t>
      </w:r>
      <w:r w:rsidR="00CF6CA6">
        <w:t>80</w:t>
      </w:r>
      <w:r w:rsidRPr="005C5390">
        <w:t>0</w:t>
      </w:r>
      <w:r>
        <w:t xml:space="preserve"> </w:t>
      </w:r>
      <w:r w:rsidR="00533C36">
        <w:t xml:space="preserve">examinations </w:t>
      </w:r>
      <w:r w:rsidR="007C655A">
        <w:t xml:space="preserve"> </w:t>
      </w:r>
      <w:r w:rsidR="00CF6CA6">
        <w:t xml:space="preserve">(for 2020-2021) </w:t>
      </w:r>
      <w:r w:rsidR="007C655A">
        <w:t>as compared to</w:t>
      </w:r>
      <w:r>
        <w:t xml:space="preserve"> less than </w:t>
      </w:r>
      <w:r w:rsidR="00533C36">
        <w:t>20</w:t>
      </w:r>
      <w:r>
        <w:t xml:space="preserve">0 </w:t>
      </w:r>
      <w:r w:rsidR="007C655A">
        <w:t>such</w:t>
      </w:r>
      <w:r>
        <w:t xml:space="preserve"> examinations </w:t>
      </w:r>
      <w:r w:rsidR="00533C36">
        <w:t>conducted</w:t>
      </w:r>
      <w:r>
        <w:t xml:space="preserve"> </w:t>
      </w:r>
      <w:r w:rsidR="007C655A">
        <w:t>in</w:t>
      </w:r>
      <w:r>
        <w:t xml:space="preserve"> </w:t>
      </w:r>
      <w:r w:rsidR="00533C36">
        <w:t>2017-</w:t>
      </w:r>
      <w:r>
        <w:t>2018.</w:t>
      </w:r>
    </w:p>
    <w:p w14:paraId="05635EC7" w14:textId="15801A93" w:rsidR="007C655A" w:rsidRDefault="007C655A" w:rsidP="007C655A">
      <w:pPr>
        <w:spacing w:before="120"/>
        <w:jc w:val="both"/>
        <w:rPr>
          <w:lang w:eastAsia="zh-CN"/>
        </w:rPr>
      </w:pPr>
      <w:r>
        <w:t>Finally, t</w:t>
      </w:r>
      <w:r w:rsidRPr="007874FE">
        <w:t xml:space="preserve">he project </w:t>
      </w:r>
      <w:r>
        <w:t>contributed to the review of the regulatory framework</w:t>
      </w:r>
      <w:r w:rsidRPr="007874FE">
        <w:t xml:space="preserve"> </w:t>
      </w:r>
      <w:r w:rsidR="00FF4E2D">
        <w:t xml:space="preserve">for the provision of forensic services in </w:t>
      </w:r>
      <w:r w:rsidRPr="007874FE">
        <w:t>terrorism</w:t>
      </w:r>
      <w:r w:rsidR="00FF4E2D">
        <w:t xml:space="preserve"> and extremism related cases</w:t>
      </w:r>
      <w:r w:rsidRPr="007874FE">
        <w:t>, so as to</w:t>
      </w:r>
      <w:r w:rsidR="00533C36">
        <w:t xml:space="preserve"> improve provisions related to forensics and to make those consistent with the related legislation, </w:t>
      </w:r>
      <w:r w:rsidRPr="007874FE">
        <w:t>increas</w:t>
      </w:r>
      <w:r w:rsidR="00533C36">
        <w:t>ing</w:t>
      </w:r>
      <w:r w:rsidRPr="007874FE">
        <w:t xml:space="preserve"> trust in the justice system and reduc</w:t>
      </w:r>
      <w:r w:rsidR="00533C36">
        <w:t>ing</w:t>
      </w:r>
      <w:r w:rsidRPr="007874FE">
        <w:t xml:space="preserve"> grievances towards the state</w:t>
      </w:r>
      <w:r w:rsidR="005211BB">
        <w:t>. The</w:t>
      </w:r>
      <w:r>
        <w:t xml:space="preserve"> relevant </w:t>
      </w:r>
      <w:r>
        <w:rPr>
          <w:lang w:eastAsia="zh-CN"/>
        </w:rPr>
        <w:t xml:space="preserve">amendments </w:t>
      </w:r>
      <w:r w:rsidR="005211BB">
        <w:rPr>
          <w:lang w:eastAsia="zh-CN"/>
        </w:rPr>
        <w:t xml:space="preserve">were </w:t>
      </w:r>
      <w:r>
        <w:rPr>
          <w:lang w:eastAsia="zh-CN"/>
        </w:rPr>
        <w:t>made to the Law "On Countering Extremist Activity", "On Freedom of Religion and Religious Organizations in the Kyrgyz Republic”, the Law “On Forensic Activities”, Criminal Procedure Code of and Civil Procedure Code of the Kyrgyz Republic.</w:t>
      </w:r>
    </w:p>
    <w:p w14:paraId="0D556FD2" w14:textId="6D82180D" w:rsidR="008C782A" w:rsidRDefault="008C782A" w:rsidP="005211BB">
      <w:pPr>
        <w:ind w:left="-810"/>
        <w:jc w:val="both"/>
      </w:pPr>
      <w:r w:rsidRPr="000D6ACA">
        <w:lastRenderedPageBreak/>
        <w:t xml:space="preserve">In a few sentences, explain </w:t>
      </w:r>
      <w:r w:rsidR="00A64A02" w:rsidRPr="000D6ACA">
        <w:t xml:space="preserve">whether </w:t>
      </w:r>
      <w:r w:rsidRPr="000D6ACA">
        <w:t xml:space="preserve">the project has </w:t>
      </w:r>
      <w:r w:rsidR="00A64A02" w:rsidRPr="000D6ACA">
        <w:t>had a positive</w:t>
      </w:r>
      <w:r w:rsidRPr="000D6ACA">
        <w:rPr>
          <w:b/>
          <w:bCs/>
        </w:rPr>
        <w:t xml:space="preserve"> human impact</w:t>
      </w:r>
      <w:r w:rsidR="00A64A02" w:rsidRPr="000D6ACA">
        <w:t>.</w:t>
      </w:r>
      <w:r w:rsidRPr="000D6ACA">
        <w:t xml:space="preserve"> </w:t>
      </w:r>
      <w:r w:rsidR="00A64A02" w:rsidRPr="000D6ACA">
        <w:t xml:space="preserve">May </w:t>
      </w:r>
      <w:r w:rsidR="00765D82">
        <w:t>i</w:t>
      </w:r>
      <w:r w:rsidR="00A64A02" w:rsidRPr="000D6ACA">
        <w:t xml:space="preserve">nclude anecdotal stories about the </w:t>
      </w:r>
      <w:r w:rsidR="002F4BA2" w:rsidRPr="000D6ACA">
        <w:t>project’s</w:t>
      </w:r>
      <w:r w:rsidR="00A64A02" w:rsidRPr="000D6ACA">
        <w:t xml:space="preserve"> positive effect on the</w:t>
      </w:r>
      <w:r w:rsidRPr="000D6ACA">
        <w:t xml:space="preserve"> </w:t>
      </w:r>
      <w:r w:rsidR="002F4BA2" w:rsidRPr="000D6ACA">
        <w:t>people’s</w:t>
      </w:r>
      <w:r w:rsidR="00A64A02" w:rsidRPr="000D6ACA">
        <w:t xml:space="preserve"> </w:t>
      </w:r>
      <w:r w:rsidRPr="000D6ACA">
        <w:t>lives</w:t>
      </w:r>
      <w:r w:rsidR="00A64A02" w:rsidRPr="000D6ACA">
        <w:t>. Include</w:t>
      </w:r>
      <w:r w:rsidRPr="000D6ACA">
        <w:t xml:space="preserve"> direct quotes</w:t>
      </w:r>
      <w:r w:rsidR="00793DE6" w:rsidRPr="000D6ACA">
        <w:t xml:space="preserve"> </w:t>
      </w:r>
      <w:r w:rsidR="00A64A02" w:rsidRPr="000D6ACA">
        <w:t>where possible</w:t>
      </w:r>
      <w:r w:rsidR="001B6DFD" w:rsidRPr="000D6ACA">
        <w:t xml:space="preserve"> or weblinks to strategic communications pieces</w:t>
      </w:r>
      <w:r w:rsidR="00A64A02" w:rsidRPr="000D6ACA">
        <w:t>.</w:t>
      </w:r>
      <w:r w:rsidRPr="000D6ACA">
        <w:t xml:space="preserve"> (</w:t>
      </w:r>
      <w:proofErr w:type="gramStart"/>
      <w:r w:rsidR="001A3157" w:rsidRPr="000D6ACA">
        <w:t>20</w:t>
      </w:r>
      <w:r w:rsidRPr="000D6ACA">
        <w:t>00 character</w:t>
      </w:r>
      <w:proofErr w:type="gramEnd"/>
      <w:r w:rsidRPr="000D6ACA">
        <w:t xml:space="preserve"> limit):</w:t>
      </w:r>
    </w:p>
    <w:p w14:paraId="6C3D2938" w14:textId="77777777" w:rsidR="00765D82" w:rsidRDefault="00765D82" w:rsidP="0019152F">
      <w:pPr>
        <w:jc w:val="both"/>
      </w:pPr>
      <w:bookmarkStart w:id="6" w:name="_Hlk25000109"/>
    </w:p>
    <w:p w14:paraId="4A50A01C" w14:textId="6B2A7047" w:rsidR="0019152F" w:rsidRDefault="00030398" w:rsidP="0019152F">
      <w:pPr>
        <w:jc w:val="both"/>
      </w:pPr>
      <w:r w:rsidRPr="000D6ACA">
        <w:t xml:space="preserve">The project has contributed to </w:t>
      </w:r>
      <w:r w:rsidR="002F42CA">
        <w:t xml:space="preserve">the </w:t>
      </w:r>
      <w:r w:rsidR="007154CB" w:rsidRPr="000D6ACA">
        <w:t xml:space="preserve">founding and development of </w:t>
      </w:r>
      <w:r w:rsidRPr="000D6ACA">
        <w:t xml:space="preserve">the probation service </w:t>
      </w:r>
      <w:r w:rsidR="007154CB" w:rsidRPr="000D6ACA">
        <w:t xml:space="preserve">in support to </w:t>
      </w:r>
      <w:r w:rsidRPr="000D6ACA">
        <w:t>alternative measure</w:t>
      </w:r>
      <w:r w:rsidR="00DF19B7" w:rsidRPr="000D6ACA">
        <w:t>s</w:t>
      </w:r>
      <w:r w:rsidRPr="000D6ACA">
        <w:t xml:space="preserve"> of incarceration and </w:t>
      </w:r>
      <w:r w:rsidR="002F4BA2" w:rsidRPr="000D6ACA">
        <w:t>humanisation</w:t>
      </w:r>
      <w:r w:rsidR="00720C50" w:rsidRPr="000D6ACA">
        <w:t xml:space="preserve"> of the </w:t>
      </w:r>
      <w:r w:rsidRPr="000D6ACA">
        <w:t xml:space="preserve">criminal </w:t>
      </w:r>
      <w:r w:rsidR="002F42CA">
        <w:t>sanctions</w:t>
      </w:r>
      <w:r w:rsidR="00FF4E2D">
        <w:t>. This has had positive human impact</w:t>
      </w:r>
      <w:r w:rsidRPr="000D6ACA">
        <w:t xml:space="preserve"> </w:t>
      </w:r>
      <w:r w:rsidR="00FF4E2D">
        <w:t xml:space="preserve">based on a reduction of </w:t>
      </w:r>
      <w:r w:rsidR="00720C50" w:rsidRPr="000D6ACA">
        <w:t>the</w:t>
      </w:r>
      <w:r w:rsidRPr="000D6ACA">
        <w:t xml:space="preserve"> prison population and promoti</w:t>
      </w:r>
      <w:r w:rsidR="00FF4E2D">
        <w:t>on of</w:t>
      </w:r>
      <w:r w:rsidRPr="000D6ACA">
        <w:t xml:space="preserve"> </w:t>
      </w:r>
      <w:r w:rsidR="00DF19B7" w:rsidRPr="000D6ACA">
        <w:t xml:space="preserve">effective </w:t>
      </w:r>
      <w:r w:rsidRPr="000D6ACA">
        <w:t xml:space="preserve">rehabilitation and social reintegration </w:t>
      </w:r>
      <w:r w:rsidR="00DF19B7" w:rsidRPr="000D6ACA">
        <w:t xml:space="preserve">processes </w:t>
      </w:r>
      <w:r w:rsidRPr="000D6ACA">
        <w:t xml:space="preserve">in the Kyrgyz Republic. The number of prisoners went down </w:t>
      </w:r>
      <w:r w:rsidR="00B51C64" w:rsidRPr="00CE0D63">
        <w:t>from 10,891 in January 2019 to 9,400 in September 2020</w:t>
      </w:r>
      <w:r w:rsidR="00B51C64">
        <w:t xml:space="preserve"> and 8635 in January 2021</w:t>
      </w:r>
      <w:r w:rsidR="00B51C64" w:rsidRPr="00CE0D63">
        <w:t>.</w:t>
      </w:r>
      <w:r w:rsidR="0019152F">
        <w:t xml:space="preserve"> Over </w:t>
      </w:r>
      <w:r w:rsidR="0019152F" w:rsidRPr="00950E8A">
        <w:t>55</w:t>
      </w:r>
      <w:r w:rsidR="0019152F">
        <w:t>0</w:t>
      </w:r>
      <w:r w:rsidR="0019152F" w:rsidRPr="00950E8A">
        <w:t xml:space="preserve"> probation clients (305 women), including 101 (41 women, 40%) sentenced for extremism/ terrorism related crimes </w:t>
      </w:r>
      <w:r w:rsidR="0019152F">
        <w:t xml:space="preserve">benefited from probation services, including </w:t>
      </w:r>
      <w:r w:rsidR="0019152F" w:rsidRPr="00950E8A">
        <w:t>legal aid</w:t>
      </w:r>
      <w:r w:rsidR="0019152F">
        <w:t xml:space="preserve">, placement </w:t>
      </w:r>
      <w:r w:rsidR="0019152F" w:rsidRPr="00950E8A">
        <w:t>in rehabilitation centres</w:t>
      </w:r>
      <w:r w:rsidR="0019152F">
        <w:t xml:space="preserve"> and support with access to identification documents, social benefits and employment</w:t>
      </w:r>
      <w:r w:rsidR="0019152F" w:rsidRPr="00950E8A">
        <w:t>.</w:t>
      </w:r>
      <w:r w:rsidR="0019152F">
        <w:t xml:space="preserve"> Recidivism among extremist offenders decreased by 40% (with an actual rate of 10% as of January 2021).</w:t>
      </w:r>
      <w:r w:rsidR="00A01881" w:rsidRPr="00A01881">
        <w:t xml:space="preserve"> </w:t>
      </w:r>
      <w:r w:rsidR="00A01881">
        <w:t xml:space="preserve">The recidivism rate among </w:t>
      </w:r>
      <w:r w:rsidR="00FF4E2D">
        <w:t xml:space="preserve">the </w:t>
      </w:r>
      <w:r w:rsidR="00A01881">
        <w:t>general prison population decreased by 30% (</w:t>
      </w:r>
      <w:r w:rsidR="00FF4E2D">
        <w:t xml:space="preserve">i.e. the </w:t>
      </w:r>
      <w:r w:rsidR="00A01881">
        <w:t xml:space="preserve">recidivism rate in 2018 </w:t>
      </w:r>
      <w:r w:rsidR="00E46348">
        <w:t>was</w:t>
      </w:r>
      <w:r w:rsidR="00A01881">
        <w:t xml:space="preserve"> 50% vs. 21% by Jan</w:t>
      </w:r>
      <w:r w:rsidR="00FF4E2D">
        <w:t xml:space="preserve">uary </w:t>
      </w:r>
      <w:r w:rsidR="00A01881">
        <w:t>2021).</w:t>
      </w:r>
    </w:p>
    <w:p w14:paraId="4097F3CC" w14:textId="77777777" w:rsidR="00BD4E48" w:rsidRDefault="00BD4E48" w:rsidP="00BD4E48">
      <w:pPr>
        <w:jc w:val="both"/>
      </w:pPr>
    </w:p>
    <w:p w14:paraId="7136DB32" w14:textId="61104D16" w:rsidR="00BD4E48" w:rsidRDefault="00FF4E2D" w:rsidP="00BD4E48">
      <w:pPr>
        <w:jc w:val="both"/>
      </w:pPr>
      <w:r>
        <w:t>The project supported d</w:t>
      </w:r>
      <w:r w:rsidR="00BD4E48" w:rsidRPr="000D6ACA">
        <w:t>evelopment and adoption of a new Law on Amnesty</w:t>
      </w:r>
      <w:r>
        <w:t>.</w:t>
      </w:r>
      <w:r w:rsidR="00BD4E48">
        <w:t xml:space="preserve"> </w:t>
      </w:r>
      <w:r>
        <w:t xml:space="preserve">This </w:t>
      </w:r>
      <w:r w:rsidR="005211BB">
        <w:t>proved a</w:t>
      </w:r>
      <w:r w:rsidR="00BD4E48">
        <w:t xml:space="preserve"> timely </w:t>
      </w:r>
      <w:r>
        <w:t>initiative</w:t>
      </w:r>
      <w:r w:rsidR="00BD4E48">
        <w:t xml:space="preserve"> </w:t>
      </w:r>
      <w:r>
        <w:t xml:space="preserve">during the </w:t>
      </w:r>
      <w:r w:rsidR="00BD4E48" w:rsidRPr="000D6ACA">
        <w:t>COVID-19</w:t>
      </w:r>
      <w:r>
        <w:t xml:space="preserve"> pandemic</w:t>
      </w:r>
      <w:r w:rsidR="00BD4E48" w:rsidRPr="000D6ACA">
        <w:t xml:space="preserve">. </w:t>
      </w:r>
      <w:r w:rsidR="00BD4E48">
        <w:t>Five hundred twenty-seven</w:t>
      </w:r>
      <w:r w:rsidR="00BD4E48" w:rsidRPr="000D6ACA">
        <w:t xml:space="preserve"> </w:t>
      </w:r>
      <w:r w:rsidR="00BD4E48">
        <w:t xml:space="preserve">(527) </w:t>
      </w:r>
      <w:r w:rsidR="00BD4E48" w:rsidRPr="000D6ACA">
        <w:t>prisoners</w:t>
      </w:r>
      <w:r w:rsidR="00BD4E48">
        <w:t>’ sentences</w:t>
      </w:r>
      <w:r w:rsidR="00BD4E48" w:rsidRPr="000D6ACA">
        <w:t xml:space="preserve"> </w:t>
      </w:r>
      <w:r>
        <w:t>were</w:t>
      </w:r>
      <w:r w:rsidR="00BD4E48" w:rsidRPr="000D6ACA">
        <w:t xml:space="preserve"> reconsidered and 44 prisoners convicted for less serious crimes </w:t>
      </w:r>
      <w:r>
        <w:t>were</w:t>
      </w:r>
      <w:r w:rsidR="00BD4E48" w:rsidRPr="000D6ACA">
        <w:t xml:space="preserve"> released under this law. Given that prisons are </w:t>
      </w:r>
      <w:r w:rsidR="00BD4E48">
        <w:t xml:space="preserve">a </w:t>
      </w:r>
      <w:r w:rsidR="00BD4E48" w:rsidRPr="000D6ACA">
        <w:t xml:space="preserve">high-risk environment for the spread of COVID-19, this </w:t>
      </w:r>
      <w:r>
        <w:t>was</w:t>
      </w:r>
      <w:r w:rsidR="00BD4E48" w:rsidRPr="000D6ACA">
        <w:t xml:space="preserve"> an important measure to reduce </w:t>
      </w:r>
      <w:r w:rsidR="00BD4E48">
        <w:t xml:space="preserve">related </w:t>
      </w:r>
      <w:r w:rsidR="00BD4E48" w:rsidRPr="000D6ACA">
        <w:t>risk</w:t>
      </w:r>
      <w:r w:rsidR="00BD4E48">
        <w:t>s and consequences</w:t>
      </w:r>
      <w:r w:rsidR="00BD4E48" w:rsidRPr="000D6ACA">
        <w:t xml:space="preserve"> in Kyrgyzstan’s prisons.</w:t>
      </w:r>
    </w:p>
    <w:p w14:paraId="411316A7" w14:textId="4E13EE31" w:rsidR="00DF19B7" w:rsidRPr="000D6ACA" w:rsidRDefault="00030398" w:rsidP="007A0633">
      <w:pPr>
        <w:spacing w:before="120"/>
        <w:jc w:val="both"/>
      </w:pPr>
      <w:r w:rsidRPr="000D6ACA">
        <w:t xml:space="preserve">Introduction of a risk assessment and classification system in prisons </w:t>
      </w:r>
      <w:r w:rsidR="00AA6738">
        <w:t xml:space="preserve">has </w:t>
      </w:r>
      <w:r w:rsidRPr="000D6ACA">
        <w:t>provide</w:t>
      </w:r>
      <w:r w:rsidR="00AA6738">
        <w:t>d</w:t>
      </w:r>
      <w:r w:rsidRPr="000D6ACA">
        <w:t xml:space="preserve"> an opportunity for prisoners to be treated individually depending on their level of risk, motivating them to participate in rehabilitation programs and acquir</w:t>
      </w:r>
      <w:r w:rsidR="00DF19B7" w:rsidRPr="000D6ACA">
        <w:t>ing</w:t>
      </w:r>
      <w:r w:rsidRPr="000D6ACA">
        <w:t xml:space="preserve"> new skills and knowledge that will be useful upon release when they return to their communities. </w:t>
      </w:r>
    </w:p>
    <w:p w14:paraId="5D3C4083" w14:textId="496A2281" w:rsidR="00DF19B7" w:rsidRPr="000D6ACA" w:rsidRDefault="00720C50" w:rsidP="00DF19B7">
      <w:pPr>
        <w:spacing w:before="120"/>
        <w:jc w:val="both"/>
      </w:pPr>
      <w:r w:rsidRPr="000D6ACA">
        <w:t xml:space="preserve">Access to information for the prisoners and their families has been increased </w:t>
      </w:r>
      <w:r w:rsidR="008B2779">
        <w:t>through</w:t>
      </w:r>
      <w:r w:rsidRPr="000D6ACA">
        <w:t xml:space="preserve"> the </w:t>
      </w:r>
      <w:r w:rsidR="005C1048">
        <w:t xml:space="preserve">establishment of a </w:t>
      </w:r>
      <w:r w:rsidRPr="000D6ACA">
        <w:t xml:space="preserve">Prison Service Call Centre. The Centre receives </w:t>
      </w:r>
      <w:r w:rsidR="006D12FA">
        <w:t>about</w:t>
      </w:r>
      <w:r w:rsidRPr="000D6ACA">
        <w:t xml:space="preserve"> 50 phone calls and </w:t>
      </w:r>
      <w:r w:rsidR="006D12FA">
        <w:t xml:space="preserve">about </w:t>
      </w:r>
      <w:r w:rsidRPr="000D6ACA">
        <w:t>20 visits every</w:t>
      </w:r>
      <w:r w:rsidR="005C1048">
        <w:t xml:space="preserve"> </w:t>
      </w:r>
      <w:r w:rsidRPr="000D6ACA">
        <w:t>day providing prison</w:t>
      </w:r>
      <w:r w:rsidR="005C1048">
        <w:t>-</w:t>
      </w:r>
      <w:r w:rsidRPr="000D6ACA">
        <w:t xml:space="preserve">related information </w:t>
      </w:r>
      <w:r w:rsidR="00FF641F" w:rsidRPr="000D6ACA">
        <w:t xml:space="preserve">and legal advice </w:t>
      </w:r>
      <w:r w:rsidR="007154CB" w:rsidRPr="000D6ACA">
        <w:t>to the public</w:t>
      </w:r>
      <w:r w:rsidR="00C010A0">
        <w:t xml:space="preserve"> (addressing questions of a total of </w:t>
      </w:r>
      <w:r w:rsidR="00C010A0" w:rsidRPr="00C010A0">
        <w:t>6000 prisoners, their families and other citizens</w:t>
      </w:r>
      <w:r w:rsidR="00C010A0">
        <w:t xml:space="preserve"> during the lifetime of the project)</w:t>
      </w:r>
      <w:r w:rsidR="00FF641F" w:rsidRPr="000D6ACA">
        <w:t>.</w:t>
      </w:r>
    </w:p>
    <w:bookmarkEnd w:id="6"/>
    <w:p w14:paraId="0413BF97" w14:textId="07BA7CB8" w:rsidR="005A20D8" w:rsidRDefault="005A20D8">
      <w:pPr>
        <w:rPr>
          <w:bCs/>
        </w:rPr>
      </w:pPr>
    </w:p>
    <w:p w14:paraId="15C1983C" w14:textId="722B5975" w:rsidR="00942AF9" w:rsidRPr="000D6ACA" w:rsidRDefault="00942AF9" w:rsidP="00942AF9">
      <w:pPr>
        <w:jc w:val="both"/>
        <w:rPr>
          <w:bCs/>
        </w:rPr>
      </w:pPr>
      <w:r w:rsidRPr="007874FE">
        <w:rPr>
          <w:bCs/>
        </w:rPr>
        <w:t>Beneficiary quotes:</w:t>
      </w:r>
    </w:p>
    <w:p w14:paraId="4DE4CA4B" w14:textId="77777777" w:rsidR="00C83EF5" w:rsidRPr="000D6ACA" w:rsidRDefault="00C83EF5" w:rsidP="00942AF9">
      <w:pPr>
        <w:jc w:val="both"/>
        <w:rPr>
          <w:bCs/>
        </w:rPr>
      </w:pPr>
    </w:p>
    <w:p w14:paraId="2E042635" w14:textId="5E7D9FAF" w:rsidR="007A0633" w:rsidRPr="000D6ACA" w:rsidRDefault="007A0633" w:rsidP="00A43802">
      <w:pPr>
        <w:jc w:val="both"/>
        <w:rPr>
          <w:i/>
          <w:iCs/>
          <w:sz w:val="22"/>
          <w:szCs w:val="22"/>
          <w:lang w:eastAsia="en-US"/>
        </w:rPr>
      </w:pPr>
      <w:r w:rsidRPr="000D6ACA">
        <w:rPr>
          <w:i/>
          <w:iCs/>
        </w:rPr>
        <w:t xml:space="preserve">“There are many prisoners, </w:t>
      </w:r>
      <w:r>
        <w:rPr>
          <w:i/>
          <w:iCs/>
        </w:rPr>
        <w:t>including</w:t>
      </w:r>
      <w:r w:rsidRPr="000D6ACA">
        <w:rPr>
          <w:i/>
          <w:iCs/>
        </w:rPr>
        <w:t xml:space="preserve"> those who have been convicted for extremism and terrorism</w:t>
      </w:r>
      <w:r>
        <w:rPr>
          <w:i/>
          <w:iCs/>
        </w:rPr>
        <w:t>,</w:t>
      </w:r>
      <w:r w:rsidRPr="000D6ACA">
        <w:rPr>
          <w:i/>
          <w:iCs/>
        </w:rPr>
        <w:t xml:space="preserve"> willing to gain knowledge, skills and work during their detention</w:t>
      </w:r>
      <w:r>
        <w:rPr>
          <w:i/>
          <w:iCs/>
        </w:rPr>
        <w:t>. U</w:t>
      </w:r>
      <w:r w:rsidRPr="000D6ACA">
        <w:rPr>
          <w:i/>
          <w:iCs/>
        </w:rPr>
        <w:t xml:space="preserve">nfortunately, the State Prison Service </w:t>
      </w:r>
      <w:r w:rsidR="007266EC">
        <w:rPr>
          <w:i/>
          <w:iCs/>
        </w:rPr>
        <w:t>does not have</w:t>
      </w:r>
      <w:r>
        <w:rPr>
          <w:i/>
          <w:iCs/>
        </w:rPr>
        <w:t xml:space="preserve"> </w:t>
      </w:r>
      <w:proofErr w:type="gramStart"/>
      <w:r>
        <w:rPr>
          <w:i/>
          <w:iCs/>
        </w:rPr>
        <w:t>sufficient</w:t>
      </w:r>
      <w:proofErr w:type="gramEnd"/>
      <w:r>
        <w:rPr>
          <w:i/>
          <w:iCs/>
        </w:rPr>
        <w:t xml:space="preserve"> capacity</w:t>
      </w:r>
      <w:r w:rsidRPr="000D6ACA">
        <w:rPr>
          <w:i/>
          <w:iCs/>
        </w:rPr>
        <w:t xml:space="preserve"> to ensure </w:t>
      </w:r>
      <w:r w:rsidR="007266EC">
        <w:rPr>
          <w:i/>
          <w:iCs/>
        </w:rPr>
        <w:t xml:space="preserve">their needs </w:t>
      </w:r>
      <w:r w:rsidRPr="000D6ACA">
        <w:rPr>
          <w:i/>
          <w:iCs/>
        </w:rPr>
        <w:t>fully at this moment. However, I believe that if we continue our cooperation</w:t>
      </w:r>
      <w:r>
        <w:rPr>
          <w:i/>
          <w:iCs/>
        </w:rPr>
        <w:t>,</w:t>
      </w:r>
      <w:r w:rsidRPr="000D6ACA">
        <w:rPr>
          <w:i/>
          <w:iCs/>
        </w:rPr>
        <w:t xml:space="preserve"> in the same way, we’ll be able to reach our goals and more prisoners will get opportunities to be engaged into rehabilitation programs and find their places in society after release”, stated Mr. Kadyrov </w:t>
      </w:r>
      <w:proofErr w:type="spellStart"/>
      <w:r w:rsidRPr="000D6ACA">
        <w:rPr>
          <w:i/>
          <w:iCs/>
        </w:rPr>
        <w:t>Aivaz</w:t>
      </w:r>
      <w:proofErr w:type="spellEnd"/>
      <w:r w:rsidRPr="000D6ACA">
        <w:rPr>
          <w:i/>
          <w:iCs/>
        </w:rPr>
        <w:t xml:space="preserve"> </w:t>
      </w:r>
      <w:proofErr w:type="spellStart"/>
      <w:r w:rsidRPr="000D6ACA">
        <w:rPr>
          <w:i/>
          <w:iCs/>
        </w:rPr>
        <w:t>Samatovich</w:t>
      </w:r>
      <w:proofErr w:type="spellEnd"/>
      <w:r w:rsidRPr="000D6ACA">
        <w:rPr>
          <w:i/>
          <w:iCs/>
        </w:rPr>
        <w:t>, Acting Chairman</w:t>
      </w:r>
      <w:r w:rsidRPr="000D6ACA">
        <w:t xml:space="preserve"> </w:t>
      </w:r>
      <w:r w:rsidRPr="000D6ACA">
        <w:rPr>
          <w:i/>
          <w:iCs/>
        </w:rPr>
        <w:t xml:space="preserve">of the State Prison Service under the Government of the Kyrgyz Republic. </w:t>
      </w:r>
    </w:p>
    <w:p w14:paraId="703A7C2B" w14:textId="77777777" w:rsidR="007A0633" w:rsidRPr="000D6ACA" w:rsidRDefault="007A0633" w:rsidP="00A43802">
      <w:pPr>
        <w:jc w:val="both"/>
        <w:rPr>
          <w:bCs/>
        </w:rPr>
      </w:pPr>
    </w:p>
    <w:p w14:paraId="2199CEEC" w14:textId="0014613B" w:rsidR="007A0633" w:rsidRPr="000D6ACA" w:rsidRDefault="007A0633" w:rsidP="00A43802">
      <w:pPr>
        <w:jc w:val="both"/>
        <w:rPr>
          <w:rFonts w:asciiTheme="majorBidi" w:hAnsiTheme="majorBidi" w:cstheme="majorBidi"/>
        </w:rPr>
      </w:pPr>
      <w:r w:rsidRPr="000D6ACA">
        <w:rPr>
          <w:rFonts w:asciiTheme="majorBidi" w:hAnsiTheme="majorBidi" w:cstheme="majorBidi"/>
          <w:i/>
          <w:iCs/>
          <w:color w:val="000000"/>
          <w:shd w:val="clear" w:color="auto" w:fill="FFFFFF"/>
        </w:rPr>
        <w:t xml:space="preserve">The Minister of Justice of the Kyrgyz Republic Mr. Marat </w:t>
      </w:r>
      <w:proofErr w:type="spellStart"/>
      <w:r w:rsidRPr="000D6ACA">
        <w:rPr>
          <w:rFonts w:asciiTheme="majorBidi" w:hAnsiTheme="majorBidi" w:cstheme="majorBidi"/>
          <w:i/>
          <w:iCs/>
          <w:color w:val="000000"/>
          <w:shd w:val="clear" w:color="auto" w:fill="FFFFFF"/>
        </w:rPr>
        <w:t>Dzhamankulov</w:t>
      </w:r>
      <w:proofErr w:type="spellEnd"/>
      <w:r w:rsidRPr="000D6ACA">
        <w:rPr>
          <w:rFonts w:asciiTheme="majorBidi" w:hAnsiTheme="majorBidi" w:cstheme="majorBidi"/>
          <w:i/>
          <w:iCs/>
          <w:color w:val="000000"/>
          <w:shd w:val="clear" w:color="auto" w:fill="FFFFFF"/>
        </w:rPr>
        <w:t xml:space="preserve">: </w:t>
      </w:r>
      <w:r>
        <w:rPr>
          <w:rFonts w:asciiTheme="majorBidi" w:hAnsiTheme="majorBidi" w:cstheme="majorBidi"/>
          <w:i/>
          <w:iCs/>
          <w:color w:val="000000"/>
          <w:shd w:val="clear" w:color="auto" w:fill="FFFFFF"/>
        </w:rPr>
        <w:t>“</w:t>
      </w:r>
      <w:r w:rsidRPr="000D6ACA">
        <w:rPr>
          <w:rFonts w:asciiTheme="majorBidi" w:hAnsiTheme="majorBidi" w:cstheme="majorBidi"/>
          <w:i/>
          <w:iCs/>
          <w:color w:val="000000"/>
          <w:shd w:val="clear" w:color="auto" w:fill="FFFFFF"/>
        </w:rPr>
        <w:t xml:space="preserve">Thanks to UNODC and UNDP for their support to </w:t>
      </w:r>
      <w:r>
        <w:rPr>
          <w:rFonts w:asciiTheme="majorBidi" w:hAnsiTheme="majorBidi" w:cstheme="majorBidi"/>
          <w:i/>
          <w:iCs/>
          <w:color w:val="000000"/>
          <w:shd w:val="clear" w:color="auto" w:fill="FFFFFF"/>
        </w:rPr>
        <w:t xml:space="preserve">the </w:t>
      </w:r>
      <w:r w:rsidRPr="000D6ACA">
        <w:rPr>
          <w:rFonts w:asciiTheme="majorBidi" w:hAnsiTheme="majorBidi" w:cstheme="majorBidi"/>
          <w:i/>
          <w:iCs/>
          <w:color w:val="000000"/>
          <w:shd w:val="clear" w:color="auto" w:fill="FFFFFF"/>
        </w:rPr>
        <w:t xml:space="preserve">development of the probation service in the Kyrgyz Republic as it helps in rehabilitation of probation clients without </w:t>
      </w:r>
      <w:r>
        <w:rPr>
          <w:rFonts w:asciiTheme="majorBidi" w:hAnsiTheme="majorBidi" w:cstheme="majorBidi"/>
          <w:i/>
          <w:iCs/>
          <w:color w:val="000000"/>
          <w:shd w:val="clear" w:color="auto" w:fill="FFFFFF"/>
        </w:rPr>
        <w:t>distancing</w:t>
      </w:r>
      <w:r w:rsidRPr="000D6ACA">
        <w:rPr>
          <w:rFonts w:asciiTheme="majorBidi" w:hAnsiTheme="majorBidi" w:cstheme="majorBidi"/>
          <w:i/>
          <w:iCs/>
          <w:color w:val="000000"/>
          <w:shd w:val="clear" w:color="auto" w:fill="FFFFFF"/>
        </w:rPr>
        <w:t xml:space="preserve"> them from their families and social </w:t>
      </w:r>
      <w:r>
        <w:rPr>
          <w:rFonts w:asciiTheme="majorBidi" w:hAnsiTheme="majorBidi" w:cstheme="majorBidi"/>
          <w:i/>
          <w:iCs/>
          <w:color w:val="000000"/>
          <w:shd w:val="clear" w:color="auto" w:fill="FFFFFF"/>
        </w:rPr>
        <w:t>environment</w:t>
      </w:r>
      <w:r w:rsidRPr="000D6ACA">
        <w:rPr>
          <w:rFonts w:asciiTheme="majorBidi" w:hAnsiTheme="majorBidi" w:cstheme="majorBidi"/>
          <w:i/>
          <w:iCs/>
          <w:color w:val="000000"/>
          <w:shd w:val="clear" w:color="auto" w:fill="FFFFFF"/>
        </w:rPr>
        <w:t xml:space="preserve"> which </w:t>
      </w:r>
      <w:r>
        <w:rPr>
          <w:rFonts w:asciiTheme="majorBidi" w:hAnsiTheme="majorBidi" w:cstheme="majorBidi"/>
          <w:i/>
          <w:iCs/>
          <w:color w:val="000000"/>
          <w:shd w:val="clear" w:color="auto" w:fill="FFFFFF"/>
        </w:rPr>
        <w:t>enhance their</w:t>
      </w:r>
      <w:r w:rsidRPr="000D6ACA">
        <w:rPr>
          <w:rFonts w:asciiTheme="majorBidi" w:hAnsiTheme="majorBidi" w:cstheme="majorBidi"/>
          <w:i/>
          <w:iCs/>
          <w:color w:val="000000"/>
          <w:shd w:val="clear" w:color="auto" w:fill="FFFFFF"/>
        </w:rPr>
        <w:t xml:space="preserve"> </w:t>
      </w:r>
      <w:r>
        <w:rPr>
          <w:rFonts w:asciiTheme="majorBidi" w:hAnsiTheme="majorBidi" w:cstheme="majorBidi"/>
          <w:i/>
          <w:iCs/>
          <w:color w:val="000000"/>
          <w:shd w:val="clear" w:color="auto" w:fill="FFFFFF"/>
        </w:rPr>
        <w:t>reintegration to society”</w:t>
      </w:r>
      <w:r w:rsidRPr="000D6ACA">
        <w:rPr>
          <w:rFonts w:asciiTheme="majorBidi" w:hAnsiTheme="majorBidi" w:cstheme="majorBidi"/>
          <w:i/>
          <w:iCs/>
          <w:color w:val="000000"/>
          <w:shd w:val="clear" w:color="auto" w:fill="FFFFFF"/>
        </w:rPr>
        <w:t xml:space="preserve">. </w:t>
      </w:r>
      <w:hyperlink r:id="rId14" w:history="1">
        <w:r w:rsidRPr="000D6ACA">
          <w:rPr>
            <w:rStyle w:val="Hyperlink"/>
            <w:i/>
            <w:iCs/>
          </w:rPr>
          <w:t>http://minjust.gov.kg/ru/news/view/id/2579/</w:t>
        </w:r>
      </w:hyperlink>
      <w:r w:rsidRPr="000D6ACA">
        <w:t xml:space="preserve"> </w:t>
      </w:r>
    </w:p>
    <w:p w14:paraId="24A40ACE" w14:textId="77777777" w:rsidR="007A0633" w:rsidRPr="000D6ACA" w:rsidRDefault="007A0633" w:rsidP="00A43802">
      <w:pPr>
        <w:jc w:val="both"/>
      </w:pPr>
    </w:p>
    <w:p w14:paraId="443F36DC" w14:textId="4CC0F58C" w:rsidR="007A0633" w:rsidRPr="00B9521D" w:rsidRDefault="00A43802" w:rsidP="00A43802">
      <w:pPr>
        <w:jc w:val="both"/>
        <w:rPr>
          <w:rFonts w:asciiTheme="majorBidi" w:hAnsiTheme="majorBidi" w:cstheme="majorBidi"/>
          <w:i/>
          <w:iCs/>
          <w:lang w:val="en-US"/>
        </w:rPr>
      </w:pPr>
      <w:r w:rsidRPr="00A43802">
        <w:rPr>
          <w:rFonts w:asciiTheme="majorBidi" w:hAnsiTheme="majorBidi" w:cstheme="majorBidi"/>
          <w:i/>
          <w:iCs/>
          <w:lang w:val="en-US"/>
        </w:rPr>
        <w:t>“In</w:t>
      </w:r>
      <w:r w:rsidR="007A0633" w:rsidRPr="00B9521D">
        <w:rPr>
          <w:rFonts w:asciiTheme="majorBidi" w:hAnsiTheme="majorBidi" w:cstheme="majorBidi"/>
          <w:i/>
          <w:iCs/>
          <w:lang w:val="en-US"/>
        </w:rPr>
        <w:t xml:space="preserve"> order to correctly identify </w:t>
      </w:r>
      <w:r w:rsidR="002D1556">
        <w:rPr>
          <w:rFonts w:asciiTheme="majorBidi" w:hAnsiTheme="majorBidi" w:cstheme="majorBidi"/>
          <w:i/>
          <w:iCs/>
          <w:lang w:val="en-US"/>
        </w:rPr>
        <w:t xml:space="preserve">racial, ethnic or religious </w:t>
      </w:r>
      <w:r w:rsidR="005C1048">
        <w:rPr>
          <w:rFonts w:asciiTheme="majorBidi" w:hAnsiTheme="majorBidi" w:cstheme="majorBidi"/>
          <w:i/>
          <w:iCs/>
          <w:lang w:val="en-US"/>
        </w:rPr>
        <w:t>incitement to hatred and violence</w:t>
      </w:r>
      <w:r w:rsidR="007A0633" w:rsidRPr="00B9521D">
        <w:rPr>
          <w:rFonts w:asciiTheme="majorBidi" w:hAnsiTheme="majorBidi" w:cstheme="majorBidi"/>
          <w:i/>
          <w:iCs/>
          <w:lang w:val="en-US"/>
        </w:rPr>
        <w:t xml:space="preserve">, the Handbook for law enforcement and judicial officials on conduct of forensic examination of cases related to extremism and terrorism was developed. This handbook hopefully will improve investigation, </w:t>
      </w:r>
      <w:r w:rsidR="007A0633" w:rsidRPr="005E2676">
        <w:rPr>
          <w:rFonts w:asciiTheme="majorBidi" w:hAnsiTheme="majorBidi" w:cstheme="majorBidi"/>
          <w:i/>
          <w:iCs/>
          <w:lang w:val="en-US"/>
        </w:rPr>
        <w:t>prosecution</w:t>
      </w:r>
      <w:r w:rsidR="007A0633" w:rsidRPr="00B9521D">
        <w:rPr>
          <w:rFonts w:asciiTheme="majorBidi" w:hAnsiTheme="majorBidi" w:cstheme="majorBidi"/>
          <w:i/>
          <w:iCs/>
          <w:lang w:val="en-US"/>
        </w:rPr>
        <w:t xml:space="preserve"> and adjudication of crimes on terrorism and extremism”, said Mr. </w:t>
      </w:r>
      <w:proofErr w:type="spellStart"/>
      <w:r w:rsidR="007A0633" w:rsidRPr="00B9521D">
        <w:rPr>
          <w:rFonts w:asciiTheme="majorBidi" w:hAnsiTheme="majorBidi" w:cstheme="majorBidi"/>
          <w:i/>
          <w:iCs/>
          <w:lang w:val="en-US"/>
        </w:rPr>
        <w:t>Tabyldy</w:t>
      </w:r>
      <w:proofErr w:type="spellEnd"/>
      <w:r w:rsidR="007A0633" w:rsidRPr="00B9521D">
        <w:rPr>
          <w:rFonts w:asciiTheme="majorBidi" w:hAnsiTheme="majorBidi" w:cstheme="majorBidi"/>
          <w:i/>
          <w:iCs/>
          <w:lang w:val="en-US"/>
        </w:rPr>
        <w:t xml:space="preserve"> </w:t>
      </w:r>
      <w:proofErr w:type="spellStart"/>
      <w:r w:rsidR="007A0633" w:rsidRPr="00B9521D">
        <w:rPr>
          <w:rFonts w:asciiTheme="majorBidi" w:hAnsiTheme="majorBidi" w:cstheme="majorBidi"/>
          <w:i/>
          <w:iCs/>
          <w:lang w:val="en-US"/>
        </w:rPr>
        <w:t>Matsakov</w:t>
      </w:r>
      <w:proofErr w:type="spellEnd"/>
      <w:r w:rsidR="007A0633" w:rsidRPr="00B9521D">
        <w:rPr>
          <w:rFonts w:asciiTheme="majorBidi" w:hAnsiTheme="majorBidi" w:cstheme="majorBidi"/>
          <w:i/>
          <w:iCs/>
          <w:lang w:val="en-US"/>
        </w:rPr>
        <w:t xml:space="preserve">, Deputy Chairman of the State Forensic Service of the Ministry of Justice of the Kyrgyz Republic. </w:t>
      </w:r>
    </w:p>
    <w:p w14:paraId="2369BF16" w14:textId="77777777" w:rsidR="00942AF9" w:rsidRPr="00056D72" w:rsidRDefault="00942AF9" w:rsidP="00030398">
      <w:pPr>
        <w:jc w:val="both"/>
        <w:rPr>
          <w:lang w:val="en-US"/>
        </w:rPr>
      </w:pPr>
    </w:p>
    <w:p w14:paraId="08773E50" w14:textId="77777777" w:rsidR="00206D45" w:rsidRPr="000D6ACA" w:rsidRDefault="00206D45" w:rsidP="00206D45">
      <w:pPr>
        <w:rPr>
          <w:b/>
        </w:rPr>
      </w:pPr>
    </w:p>
    <w:p w14:paraId="619E3770" w14:textId="77777777" w:rsidR="00F5504F" w:rsidRPr="000D6ACA" w:rsidRDefault="00206D45" w:rsidP="00206D45">
      <w:pPr>
        <w:ind w:hanging="810"/>
        <w:jc w:val="both"/>
        <w:rPr>
          <w:b/>
          <w:u w:val="single"/>
        </w:rPr>
      </w:pPr>
      <w:r w:rsidRPr="000D6ACA">
        <w:rPr>
          <w:b/>
          <w:u w:val="single"/>
        </w:rPr>
        <w:t xml:space="preserve">PART II: RESULT PROGRESS BY PROJECT OUTCOME </w:t>
      </w:r>
    </w:p>
    <w:p w14:paraId="0DC19C42" w14:textId="77777777" w:rsidR="00F5504F" w:rsidRPr="000D6ACA" w:rsidRDefault="00F5504F" w:rsidP="00323ABC">
      <w:pPr>
        <w:ind w:left="-720"/>
        <w:rPr>
          <w:b/>
          <w:u w:val="single"/>
        </w:rPr>
      </w:pPr>
    </w:p>
    <w:p w14:paraId="579437EA" w14:textId="77777777" w:rsidR="00287878" w:rsidRPr="000D6ACA" w:rsidRDefault="00287878" w:rsidP="003D4CD7">
      <w:pPr>
        <w:ind w:left="-810"/>
        <w:rPr>
          <w:i/>
        </w:rPr>
      </w:pPr>
      <w:r w:rsidRPr="000D6ACA">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0D6ACA">
        <w:rPr>
          <w:i/>
        </w:rPr>
        <w:t>make/has</w:t>
      </w:r>
      <w:proofErr w:type="gramEnd"/>
      <w:r w:rsidRPr="000D6ACA">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0D6ACA" w:rsidRDefault="008364E5" w:rsidP="003D4CD7">
      <w:pPr>
        <w:ind w:left="-810"/>
        <w:rPr>
          <w:i/>
        </w:rPr>
      </w:pPr>
    </w:p>
    <w:p w14:paraId="503A73CA" w14:textId="3DDFB3F5" w:rsidR="008364E5" w:rsidRPr="000D6ACA" w:rsidRDefault="002F4BA2" w:rsidP="00825A9E">
      <w:pPr>
        <w:numPr>
          <w:ilvl w:val="0"/>
          <w:numId w:val="2"/>
        </w:numPr>
        <w:rPr>
          <w:i/>
        </w:rPr>
      </w:pPr>
      <w:r w:rsidRPr="000D6ACA">
        <w:rPr>
          <w:i/>
        </w:rPr>
        <w:t>“</w:t>
      </w:r>
      <w:r w:rsidR="008364E5" w:rsidRPr="000D6ACA">
        <w:rPr>
          <w:i/>
        </w:rPr>
        <w:t>On track</w:t>
      </w:r>
      <w:r w:rsidRPr="000D6ACA">
        <w:rPr>
          <w:i/>
        </w:rPr>
        <w:t>”</w:t>
      </w:r>
      <w:r w:rsidR="008364E5" w:rsidRPr="000D6ACA">
        <w:rPr>
          <w:i/>
        </w:rPr>
        <w:t xml:space="preserve"> refers to </w:t>
      </w:r>
      <w:r w:rsidR="007118F5" w:rsidRPr="000D6ACA">
        <w:rPr>
          <w:i/>
        </w:rPr>
        <w:t xml:space="preserve">the timely completion of outputs as indicated in the workplan. </w:t>
      </w:r>
    </w:p>
    <w:p w14:paraId="6D78EDB6" w14:textId="16A90562" w:rsidR="007118F5" w:rsidRPr="000D6ACA" w:rsidRDefault="002F4BA2" w:rsidP="00825A9E">
      <w:pPr>
        <w:numPr>
          <w:ilvl w:val="0"/>
          <w:numId w:val="2"/>
        </w:numPr>
        <w:rPr>
          <w:i/>
        </w:rPr>
      </w:pPr>
      <w:r w:rsidRPr="000D6ACA">
        <w:rPr>
          <w:i/>
        </w:rPr>
        <w:t>“</w:t>
      </w:r>
      <w:r w:rsidR="007118F5" w:rsidRPr="000D6ACA">
        <w:rPr>
          <w:i/>
        </w:rPr>
        <w:t>On track with peacebuilding results</w:t>
      </w:r>
      <w:r w:rsidRPr="000D6ACA">
        <w:rPr>
          <w:i/>
        </w:rPr>
        <w:t>”</w:t>
      </w:r>
      <w:r w:rsidR="007118F5" w:rsidRPr="000D6ACA">
        <w:rPr>
          <w:i/>
        </w:rPr>
        <w:t xml:space="preserve"> refers to higher-level changes in the conflict or peace factors that the project is meant to contribute to. These effects are more likely in mature projects than in newer ones. </w:t>
      </w:r>
    </w:p>
    <w:p w14:paraId="53445D72" w14:textId="77777777" w:rsidR="00287878" w:rsidRPr="000D6ACA" w:rsidRDefault="00287878" w:rsidP="008364E5">
      <w:pPr>
        <w:rPr>
          <w:i/>
        </w:rPr>
      </w:pPr>
    </w:p>
    <w:p w14:paraId="00C1C1D9" w14:textId="77777777" w:rsidR="003D4CD7" w:rsidRPr="000D6ACA" w:rsidRDefault="00BA5D85" w:rsidP="003D4CD7">
      <w:pPr>
        <w:ind w:left="-810"/>
        <w:rPr>
          <w:i/>
          <w:iCs/>
        </w:rPr>
      </w:pPr>
      <w:r w:rsidRPr="000D6ACA">
        <w:rPr>
          <w:i/>
          <w:iCs/>
        </w:rPr>
        <w:t xml:space="preserve">If your project has more </w:t>
      </w:r>
      <w:r w:rsidR="00287878" w:rsidRPr="000D6ACA">
        <w:rPr>
          <w:i/>
          <w:iCs/>
        </w:rPr>
        <w:t xml:space="preserve">than four </w:t>
      </w:r>
      <w:r w:rsidRPr="000D6ACA">
        <w:rPr>
          <w:i/>
          <w:iCs/>
        </w:rPr>
        <w:t>outcomes, contact PBSO for template modification.</w:t>
      </w:r>
    </w:p>
    <w:p w14:paraId="243656BC" w14:textId="77777777" w:rsidR="003D4CD7" w:rsidRPr="000D6ACA" w:rsidRDefault="003D4CD7" w:rsidP="0078600B">
      <w:pPr>
        <w:rPr>
          <w:b/>
          <w:u w:val="single"/>
        </w:rPr>
      </w:pPr>
    </w:p>
    <w:p w14:paraId="204B1568" w14:textId="20A7FCFC" w:rsidR="00720C50" w:rsidRPr="000D6ACA" w:rsidRDefault="007626C9" w:rsidP="00720C50">
      <w:pPr>
        <w:ind w:left="-720"/>
        <w:rPr>
          <w:b/>
        </w:rPr>
      </w:pPr>
      <w:r w:rsidRPr="000D6ACA">
        <w:rPr>
          <w:b/>
          <w:u w:val="single"/>
        </w:rPr>
        <w:t xml:space="preserve">Outcome </w:t>
      </w:r>
      <w:r w:rsidR="005216B2" w:rsidRPr="000D6ACA">
        <w:rPr>
          <w:b/>
          <w:u w:val="single"/>
        </w:rPr>
        <w:t>1:</w:t>
      </w:r>
      <w:r w:rsidR="005216B2" w:rsidRPr="000D6ACA">
        <w:rPr>
          <w:b/>
        </w:rPr>
        <w:t xml:space="preserve">  </w:t>
      </w:r>
      <w:r w:rsidR="00720C50" w:rsidRPr="000D6ACA">
        <w:t xml:space="preserve">Penitentiary and probation officers, as well as police and forensic experts effectively prevent and address </w:t>
      </w:r>
      <w:r w:rsidR="002F4BA2" w:rsidRPr="000D6ACA">
        <w:t>radicalisation</w:t>
      </w:r>
      <w:r w:rsidR="00720C50" w:rsidRPr="000D6ACA">
        <w:t xml:space="preserve"> to violence by ensuring adequate safeguards in compliance with national law and international standards.</w:t>
      </w:r>
    </w:p>
    <w:p w14:paraId="53AA26EA" w14:textId="1036C5B3" w:rsidR="005216B2" w:rsidRPr="000D6ACA" w:rsidRDefault="005216B2" w:rsidP="00323ABC">
      <w:pPr>
        <w:ind w:left="-720"/>
        <w:rPr>
          <w:b/>
        </w:rPr>
      </w:pPr>
    </w:p>
    <w:p w14:paraId="4262CE1B" w14:textId="6D292AC2" w:rsidR="002E1CED" w:rsidRPr="000D6ACA" w:rsidRDefault="002E1CED" w:rsidP="00323ABC">
      <w:pPr>
        <w:ind w:left="-720"/>
        <w:rPr>
          <w:b/>
        </w:rPr>
      </w:pPr>
      <w:r w:rsidRPr="000D6ACA">
        <w:rPr>
          <w:b/>
        </w:rPr>
        <w:t xml:space="preserve">Rate the </w:t>
      </w:r>
      <w:r w:rsidR="00A47DDA" w:rsidRPr="000D6ACA">
        <w:rPr>
          <w:b/>
        </w:rPr>
        <w:t xml:space="preserve">current </w:t>
      </w:r>
      <w:r w:rsidRPr="000D6ACA">
        <w:rPr>
          <w:b/>
        </w:rPr>
        <w:t xml:space="preserve">status of the </w:t>
      </w:r>
      <w:r w:rsidR="00323ABC" w:rsidRPr="000D6ACA">
        <w:rPr>
          <w:b/>
        </w:rPr>
        <w:t>outcome</w:t>
      </w:r>
      <w:r w:rsidR="00764773" w:rsidRPr="000D6ACA">
        <w:rPr>
          <w:b/>
        </w:rPr>
        <w:t xml:space="preserve"> progress</w:t>
      </w:r>
      <w:r w:rsidRPr="000D6ACA">
        <w:rPr>
          <w:b/>
        </w:rPr>
        <w:t xml:space="preserve">: </w:t>
      </w:r>
      <w:r w:rsidR="00AA6738" w:rsidRPr="009C5452">
        <w:rPr>
          <w:bCs/>
        </w:rPr>
        <w:t>completed</w:t>
      </w:r>
      <w:r w:rsidR="00FF641F" w:rsidRPr="009C5452">
        <w:rPr>
          <w:bCs/>
        </w:rPr>
        <w:t xml:space="preserve"> </w:t>
      </w:r>
    </w:p>
    <w:p w14:paraId="37B6CC8B" w14:textId="77777777" w:rsidR="005216B2" w:rsidRPr="000D6ACA" w:rsidRDefault="003235DF" w:rsidP="00C07A0C">
      <w:pPr>
        <w:ind w:left="-720"/>
        <w:jc w:val="both"/>
        <w:rPr>
          <w:i/>
        </w:rPr>
      </w:pPr>
      <w:r w:rsidRPr="000D6ACA">
        <w:rPr>
          <w:b/>
        </w:rPr>
        <w:t xml:space="preserve">Progress summary: </w:t>
      </w:r>
      <w:r w:rsidRPr="000D6ACA">
        <w:rPr>
          <w:i/>
        </w:rPr>
        <w:t>(</w:t>
      </w:r>
      <w:proofErr w:type="gramStart"/>
      <w:r w:rsidR="00627A1C" w:rsidRPr="000D6ACA">
        <w:rPr>
          <w:i/>
        </w:rPr>
        <w:t>3</w:t>
      </w:r>
      <w:r w:rsidRPr="000D6ACA">
        <w:rPr>
          <w:i/>
        </w:rPr>
        <w:t>000 character</w:t>
      </w:r>
      <w:proofErr w:type="gramEnd"/>
      <w:r w:rsidRPr="000D6ACA">
        <w:rPr>
          <w:i/>
        </w:rPr>
        <w:t xml:space="preserve"> limit)</w:t>
      </w:r>
    </w:p>
    <w:p w14:paraId="3919C757" w14:textId="77777777" w:rsidR="00A26CF1" w:rsidRPr="000D6ACA" w:rsidRDefault="00A26CF1" w:rsidP="00720C50">
      <w:pPr>
        <w:autoSpaceDE w:val="0"/>
        <w:autoSpaceDN w:val="0"/>
        <w:adjustRightInd w:val="0"/>
        <w:jc w:val="both"/>
        <w:rPr>
          <w:u w:val="single"/>
        </w:rPr>
      </w:pPr>
    </w:p>
    <w:p w14:paraId="02D74B5D" w14:textId="721F62AF" w:rsidR="00720C50" w:rsidRPr="000D6ACA" w:rsidRDefault="00720C50" w:rsidP="00720C50">
      <w:pPr>
        <w:autoSpaceDE w:val="0"/>
        <w:autoSpaceDN w:val="0"/>
        <w:adjustRightInd w:val="0"/>
        <w:jc w:val="both"/>
        <w:rPr>
          <w:u w:val="single"/>
        </w:rPr>
      </w:pPr>
      <w:r w:rsidRPr="000D6ACA">
        <w:rPr>
          <w:u w:val="single"/>
        </w:rPr>
        <w:t>Output 1:</w:t>
      </w:r>
    </w:p>
    <w:p w14:paraId="2777B839" w14:textId="173EC5E2" w:rsidR="0099300B" w:rsidRPr="009934C9" w:rsidRDefault="0099300B" w:rsidP="0099300B">
      <w:pPr>
        <w:pStyle w:val="ListParagraph"/>
        <w:numPr>
          <w:ilvl w:val="0"/>
          <w:numId w:val="1"/>
        </w:numPr>
        <w:spacing w:before="120"/>
        <w:ind w:left="450"/>
        <w:jc w:val="both"/>
        <w:rPr>
          <w:rFonts w:asciiTheme="majorBidi" w:hAnsiTheme="majorBidi" w:cstheme="majorBidi"/>
          <w:lang w:eastAsia="en-US"/>
        </w:rPr>
      </w:pPr>
      <w:r>
        <w:t>Two h</w:t>
      </w:r>
      <w:r w:rsidRPr="00127DD2">
        <w:t>igh-level dialogue platforms</w:t>
      </w:r>
      <w:r w:rsidR="009934C9">
        <w:t xml:space="preserve">, engaging </w:t>
      </w:r>
      <w:r w:rsidR="006C6504">
        <w:t xml:space="preserve">over 100 </w:t>
      </w:r>
      <w:r w:rsidR="005A20D8">
        <w:t>government sector professionals and independent experts,</w:t>
      </w:r>
      <w:r w:rsidRPr="00127DD2">
        <w:t xml:space="preserve"> </w:t>
      </w:r>
      <w:r>
        <w:t xml:space="preserve">facilitated </w:t>
      </w:r>
      <w:r w:rsidRPr="00127DD2">
        <w:t xml:space="preserve">to share promising practices for the prevention of radicalization to violence in prisons </w:t>
      </w:r>
      <w:r>
        <w:t xml:space="preserve">and to promote </w:t>
      </w:r>
      <w:r w:rsidR="005C1048">
        <w:t>criminal justice</w:t>
      </w:r>
      <w:r w:rsidRPr="00127DD2">
        <w:t xml:space="preserve"> reform with a focus on alternatives to imprisonment and </w:t>
      </w:r>
      <w:r w:rsidR="005C1048">
        <w:t>effective management</w:t>
      </w:r>
      <w:r w:rsidRPr="00127DD2">
        <w:t xml:space="preserve"> of violent extremist offenders.</w:t>
      </w:r>
    </w:p>
    <w:p w14:paraId="207BF31C" w14:textId="77777777" w:rsidR="009934C9" w:rsidRPr="009934C9" w:rsidRDefault="009934C9" w:rsidP="009934C9">
      <w:pPr>
        <w:pStyle w:val="ListParagraph"/>
        <w:spacing w:before="120"/>
        <w:ind w:left="450"/>
        <w:jc w:val="both"/>
        <w:rPr>
          <w:rFonts w:asciiTheme="majorBidi" w:hAnsiTheme="majorBidi" w:cstheme="majorBidi"/>
          <w:lang w:eastAsia="en-US"/>
        </w:rPr>
      </w:pPr>
    </w:p>
    <w:p w14:paraId="766ABABE" w14:textId="11365CA9" w:rsidR="009934C9" w:rsidRPr="00D17538" w:rsidRDefault="0099300B" w:rsidP="009934C9">
      <w:pPr>
        <w:pStyle w:val="ListParagraph"/>
        <w:numPr>
          <w:ilvl w:val="0"/>
          <w:numId w:val="1"/>
        </w:numPr>
        <w:spacing w:before="120"/>
        <w:ind w:left="450"/>
        <w:jc w:val="both"/>
        <w:rPr>
          <w:rFonts w:asciiTheme="majorBidi" w:hAnsiTheme="majorBidi" w:cstheme="majorBidi"/>
          <w:lang w:eastAsia="en-US"/>
        </w:rPr>
      </w:pPr>
      <w:r w:rsidRPr="00127DD2">
        <w:t>Capacity of 839 prison staff (</w:t>
      </w:r>
      <w:r w:rsidR="008B55C0">
        <w:t>377</w:t>
      </w:r>
      <w:r w:rsidR="008B55C0" w:rsidRPr="00127DD2">
        <w:t xml:space="preserve"> </w:t>
      </w:r>
      <w:r w:rsidRPr="00127DD2">
        <w:t xml:space="preserve">women) </w:t>
      </w:r>
      <w:r w:rsidR="009934C9" w:rsidRPr="00127DD2">
        <w:t xml:space="preserve">enhanced via a series of trainings </w:t>
      </w:r>
      <w:r w:rsidRPr="00127DD2">
        <w:t xml:space="preserve">on implementation of </w:t>
      </w:r>
      <w:r w:rsidR="009934C9">
        <w:t xml:space="preserve"> </w:t>
      </w:r>
      <w:r w:rsidRPr="00127DD2">
        <w:t>new criminal legislation (</w:t>
      </w:r>
      <w:r w:rsidR="005C1048">
        <w:t xml:space="preserve">which </w:t>
      </w:r>
      <w:r w:rsidRPr="00127DD2">
        <w:t>c</w:t>
      </w:r>
      <w:r w:rsidR="009934C9">
        <w:t>a</w:t>
      </w:r>
      <w:r w:rsidRPr="00127DD2">
        <w:t xml:space="preserve">me into force in January 2019), </w:t>
      </w:r>
      <w:r w:rsidR="009934C9">
        <w:t xml:space="preserve">with a focus on </w:t>
      </w:r>
      <w:r w:rsidR="009934C9" w:rsidRPr="00127DD2">
        <w:t xml:space="preserve">provisions </w:t>
      </w:r>
      <w:r w:rsidR="005C1048">
        <w:t>governing</w:t>
      </w:r>
      <w:r w:rsidR="009934C9">
        <w:t xml:space="preserve"> </w:t>
      </w:r>
      <w:r w:rsidR="009934C9" w:rsidRPr="00127DD2">
        <w:t>management of high risk prisoners,</w:t>
      </w:r>
      <w:r w:rsidR="009934C9">
        <w:t xml:space="preserve"> and based on </w:t>
      </w:r>
      <w:r w:rsidR="005C1048">
        <w:t>a</w:t>
      </w:r>
      <w:r w:rsidR="009934C9">
        <w:t xml:space="preserve"> n</w:t>
      </w:r>
      <w:r w:rsidR="009934C9" w:rsidRPr="00127DD2">
        <w:t xml:space="preserve">eeds assessment </w:t>
      </w:r>
      <w:r w:rsidR="005C1048">
        <w:t>of</w:t>
      </w:r>
      <w:r w:rsidR="009934C9" w:rsidRPr="00127DD2">
        <w:t xml:space="preserve"> prison </w:t>
      </w:r>
      <w:r w:rsidR="009934C9">
        <w:t>staff capacities</w:t>
      </w:r>
      <w:r w:rsidR="009934C9" w:rsidRPr="00127DD2">
        <w:t xml:space="preserve"> to recognize violent extremist behaviour (including its differentiation from religious practice), profile recruiters and vulnerable individuals and manage them safely within the prison setting.</w:t>
      </w:r>
    </w:p>
    <w:p w14:paraId="0311A4F9" w14:textId="77777777" w:rsidR="000B6CBD" w:rsidRPr="00D17538" w:rsidRDefault="000B6CBD" w:rsidP="00D17538">
      <w:pPr>
        <w:pStyle w:val="ListParagraph"/>
        <w:rPr>
          <w:rFonts w:asciiTheme="majorBidi" w:hAnsiTheme="majorBidi" w:cstheme="majorBidi"/>
          <w:lang w:eastAsia="en-US"/>
        </w:rPr>
      </w:pPr>
    </w:p>
    <w:p w14:paraId="072C2557" w14:textId="2052DE56" w:rsidR="000D7D0A" w:rsidRPr="001063AD" w:rsidRDefault="00D17538" w:rsidP="00A13A10">
      <w:pPr>
        <w:pStyle w:val="ListParagraph"/>
        <w:numPr>
          <w:ilvl w:val="0"/>
          <w:numId w:val="1"/>
        </w:numPr>
        <w:spacing w:before="120"/>
        <w:ind w:left="450"/>
        <w:jc w:val="both"/>
        <w:rPr>
          <w:rFonts w:asciiTheme="majorBidi" w:hAnsiTheme="majorBidi" w:cstheme="majorBidi"/>
          <w:lang w:eastAsia="en-US"/>
        </w:rPr>
      </w:pPr>
      <w:r>
        <w:t xml:space="preserve">The project supported </w:t>
      </w:r>
      <w:r w:rsidR="001063AD">
        <w:t>strengthening the</w:t>
      </w:r>
      <w:r w:rsidRPr="006D71CD">
        <w:t xml:space="preserve"> capacity of </w:t>
      </w:r>
      <w:r w:rsidR="007B4176">
        <w:t xml:space="preserve">the </w:t>
      </w:r>
      <w:r w:rsidR="006514B8">
        <w:t xml:space="preserve">Prison </w:t>
      </w:r>
      <w:r w:rsidRPr="006D71CD">
        <w:t xml:space="preserve">Training Centre </w:t>
      </w:r>
      <w:r w:rsidR="00E562DC">
        <w:t>(</w:t>
      </w:r>
      <w:r w:rsidRPr="006D71CD">
        <w:t xml:space="preserve">raising the </w:t>
      </w:r>
      <w:r w:rsidR="006514B8" w:rsidRPr="006D71CD">
        <w:t>teaching staff</w:t>
      </w:r>
      <w:r w:rsidR="006514B8">
        <w:t xml:space="preserve"> </w:t>
      </w:r>
      <w:r w:rsidRPr="006D71CD">
        <w:t>number from 3</w:t>
      </w:r>
      <w:r>
        <w:t xml:space="preserve"> </w:t>
      </w:r>
      <w:r w:rsidRPr="006D71CD">
        <w:t>to 15</w:t>
      </w:r>
      <w:r w:rsidRPr="00D17538">
        <w:t xml:space="preserve"> </w:t>
      </w:r>
      <w:r>
        <w:t>staff</w:t>
      </w:r>
      <w:r w:rsidR="00E562DC">
        <w:t xml:space="preserve">), </w:t>
      </w:r>
      <w:r w:rsidR="001063AD">
        <w:t xml:space="preserve">with a focus on </w:t>
      </w:r>
      <w:r>
        <w:t>increas</w:t>
      </w:r>
      <w:r w:rsidR="00E562DC">
        <w:t>ing</w:t>
      </w:r>
      <w:r>
        <w:t xml:space="preserve"> the professional capacity of the training staff on the new novels of the criminal legislation </w:t>
      </w:r>
      <w:r w:rsidR="006514B8">
        <w:t>(</w:t>
      </w:r>
      <w:r>
        <w:t>including the legislative provisions on management of violent extremist prisoners</w:t>
      </w:r>
      <w:r w:rsidR="006514B8">
        <w:t xml:space="preserve">), and on the </w:t>
      </w:r>
      <w:r w:rsidR="001063AD">
        <w:t>newly developed</w:t>
      </w:r>
      <w:r w:rsidR="006514B8">
        <w:t xml:space="preserve"> </w:t>
      </w:r>
      <w:r w:rsidR="006514B8">
        <w:rPr>
          <w:color w:val="000000"/>
        </w:rPr>
        <w:t>m</w:t>
      </w:r>
      <w:r w:rsidR="00FE0A7B" w:rsidRPr="006514B8">
        <w:rPr>
          <w:color w:val="000000"/>
        </w:rPr>
        <w:t>ethodological tools: a) forms</w:t>
      </w:r>
      <w:r w:rsidR="001063AD">
        <w:rPr>
          <w:color w:val="000000"/>
        </w:rPr>
        <w:t xml:space="preserve"> and </w:t>
      </w:r>
      <w:r w:rsidR="00FE0A7B" w:rsidRPr="006514B8">
        <w:rPr>
          <w:color w:val="000000"/>
        </w:rPr>
        <w:t xml:space="preserve">methods of </w:t>
      </w:r>
      <w:r w:rsidR="001063AD">
        <w:rPr>
          <w:color w:val="000000"/>
        </w:rPr>
        <w:t xml:space="preserve">prevention </w:t>
      </w:r>
      <w:r w:rsidR="001063AD">
        <w:rPr>
          <w:color w:val="000000"/>
        </w:rPr>
        <w:lastRenderedPageBreak/>
        <w:t>of terrorist and violent extremist recruitment in prisons</w:t>
      </w:r>
      <w:r w:rsidR="001063AD" w:rsidRPr="006514B8">
        <w:rPr>
          <w:color w:val="000000"/>
        </w:rPr>
        <w:t xml:space="preserve"> </w:t>
      </w:r>
      <w:r w:rsidR="00FE0A7B" w:rsidRPr="006514B8">
        <w:rPr>
          <w:color w:val="000000"/>
        </w:rPr>
        <w:t>b) socio-psychological diagnosis, psychiatric and psychotherapeutic work with VEPs.</w:t>
      </w:r>
    </w:p>
    <w:p w14:paraId="28A1379A" w14:textId="77777777" w:rsidR="001063AD" w:rsidRPr="001063AD" w:rsidRDefault="001063AD" w:rsidP="001063AD">
      <w:pPr>
        <w:pStyle w:val="ListParagraph"/>
        <w:rPr>
          <w:rFonts w:asciiTheme="majorBidi" w:hAnsiTheme="majorBidi" w:cstheme="majorBidi"/>
          <w:lang w:eastAsia="en-US"/>
        </w:rPr>
      </w:pPr>
    </w:p>
    <w:p w14:paraId="26F3092D" w14:textId="1F69DC5A" w:rsidR="001063AD" w:rsidRPr="001063AD" w:rsidRDefault="001063AD" w:rsidP="001063AD">
      <w:pPr>
        <w:pStyle w:val="ListParagraph"/>
        <w:numPr>
          <w:ilvl w:val="0"/>
          <w:numId w:val="1"/>
        </w:numPr>
        <w:spacing w:before="120"/>
        <w:ind w:left="450"/>
        <w:jc w:val="both"/>
        <w:rPr>
          <w:color w:val="000000"/>
        </w:rPr>
      </w:pPr>
      <w:r>
        <w:rPr>
          <w:color w:val="000000"/>
        </w:rPr>
        <w:t xml:space="preserve">Totally </w:t>
      </w:r>
      <w:r w:rsidRPr="001063AD">
        <w:rPr>
          <w:color w:val="000000"/>
        </w:rPr>
        <w:t xml:space="preserve">260 prison staff (97 women) working with VEPs </w:t>
      </w:r>
      <w:r>
        <w:rPr>
          <w:color w:val="000000"/>
        </w:rPr>
        <w:t xml:space="preserve">were capacitated on </w:t>
      </w:r>
      <w:r w:rsidRPr="001063AD">
        <w:rPr>
          <w:color w:val="000000"/>
        </w:rPr>
        <w:t>applying new criminal legislation, policies and procedures on VEPs management</w:t>
      </w:r>
      <w:r>
        <w:rPr>
          <w:color w:val="000000"/>
        </w:rPr>
        <w:t>, and the new</w:t>
      </w:r>
    </w:p>
    <w:p w14:paraId="30C79E61" w14:textId="110EB599" w:rsidR="000D7D0A" w:rsidRPr="000D7D0A" w:rsidRDefault="000D7D0A" w:rsidP="001063AD">
      <w:pPr>
        <w:pStyle w:val="ListParagraph"/>
        <w:spacing w:before="120"/>
        <w:ind w:left="450"/>
        <w:jc w:val="both"/>
        <w:rPr>
          <w:rFonts w:asciiTheme="majorBidi" w:hAnsiTheme="majorBidi" w:cstheme="majorBidi"/>
          <w:lang w:eastAsia="en-US"/>
        </w:rPr>
      </w:pPr>
      <w:r>
        <w:rPr>
          <w:color w:val="000000"/>
        </w:rPr>
        <w:t>tools on prevention of terrorist and violent extremist recruitment in prisons</w:t>
      </w:r>
      <w:r w:rsidR="001063AD">
        <w:rPr>
          <w:color w:val="000000"/>
        </w:rPr>
        <w:t>.</w:t>
      </w:r>
    </w:p>
    <w:p w14:paraId="140D0AD2" w14:textId="77777777" w:rsidR="000D7D0A" w:rsidRPr="000D7D0A" w:rsidRDefault="000D7D0A" w:rsidP="001063AD">
      <w:pPr>
        <w:pStyle w:val="ListParagraph"/>
        <w:spacing w:before="120"/>
        <w:ind w:left="450"/>
        <w:jc w:val="both"/>
        <w:rPr>
          <w:rFonts w:asciiTheme="majorBidi" w:hAnsiTheme="majorBidi" w:cstheme="majorBidi"/>
          <w:lang w:eastAsia="en-US"/>
        </w:rPr>
      </w:pPr>
    </w:p>
    <w:p w14:paraId="30B808F8" w14:textId="7513CF85" w:rsidR="00843B35" w:rsidRDefault="00C010A0" w:rsidP="00843B35">
      <w:pPr>
        <w:pStyle w:val="ListParagraph"/>
        <w:numPr>
          <w:ilvl w:val="0"/>
          <w:numId w:val="1"/>
        </w:numPr>
        <w:spacing w:before="120"/>
        <w:ind w:left="450"/>
        <w:jc w:val="both"/>
        <w:rPr>
          <w:rFonts w:asciiTheme="majorBidi" w:hAnsiTheme="majorBidi" w:cstheme="majorBidi"/>
          <w:lang w:eastAsia="en-US"/>
        </w:rPr>
      </w:pPr>
      <w:r>
        <w:t>P</w:t>
      </w:r>
      <w:r w:rsidR="00843B35" w:rsidRPr="00CE0D63">
        <w:t xml:space="preserve">rison risk assessment and classification system (PRACS) developed </w:t>
      </w:r>
      <w:r>
        <w:t>f</w:t>
      </w:r>
      <w:r w:rsidRPr="00CE0D63">
        <w:t>or the first time in Kyrgyzstan’s prison system</w:t>
      </w:r>
      <w:r>
        <w:t>,</w:t>
      </w:r>
      <w:r w:rsidRPr="00CE0D63">
        <w:t xml:space="preserve"> </w:t>
      </w:r>
      <w:r w:rsidR="00843B35" w:rsidRPr="00CE0D63">
        <w:t>based on international recommendations, to enable development of individualized rehabilitation sentence plans for prisoners, including those convicted of violent extremism.</w:t>
      </w:r>
      <w:r w:rsidR="00843B35" w:rsidRPr="00CE0D63">
        <w:rPr>
          <w:rFonts w:asciiTheme="majorBidi" w:hAnsiTheme="majorBidi" w:cstheme="majorBidi"/>
          <w:lang w:eastAsia="en-US"/>
        </w:rPr>
        <w:t xml:space="preserve"> Five </w:t>
      </w:r>
      <w:r w:rsidR="00843B35" w:rsidRPr="00CE0D63">
        <w:rPr>
          <w:rFonts w:asciiTheme="majorBidi" w:hAnsiTheme="majorBidi" w:cstheme="majorBidi"/>
        </w:rPr>
        <w:t>pilot prisons equipped to introduce the PRACS</w:t>
      </w:r>
      <w:r w:rsidR="00843B35">
        <w:rPr>
          <w:rFonts w:asciiTheme="majorBidi" w:hAnsiTheme="majorBidi" w:cstheme="majorBidi"/>
        </w:rPr>
        <w:t xml:space="preserve"> and </w:t>
      </w:r>
      <w:r w:rsidR="00F44A91">
        <w:rPr>
          <w:rFonts w:asciiTheme="majorBidi" w:hAnsiTheme="majorBidi" w:cstheme="majorBidi"/>
        </w:rPr>
        <w:t xml:space="preserve">25 </w:t>
      </w:r>
      <w:r w:rsidR="00843B35">
        <w:rPr>
          <w:rFonts w:asciiTheme="majorBidi" w:hAnsiTheme="majorBidi" w:cstheme="majorBidi"/>
        </w:rPr>
        <w:t>prison practitioners trained on it</w:t>
      </w:r>
      <w:r w:rsidR="002F42CA">
        <w:rPr>
          <w:rFonts w:asciiTheme="majorBidi" w:hAnsiTheme="majorBidi" w:cstheme="majorBidi"/>
        </w:rPr>
        <w:t>s</w:t>
      </w:r>
      <w:r w:rsidR="00843B35">
        <w:rPr>
          <w:rFonts w:asciiTheme="majorBidi" w:hAnsiTheme="majorBidi" w:cstheme="majorBidi"/>
        </w:rPr>
        <w:t xml:space="preserve"> </w:t>
      </w:r>
      <w:r w:rsidR="002F42CA">
        <w:rPr>
          <w:rFonts w:asciiTheme="majorBidi" w:hAnsiTheme="majorBidi" w:cstheme="majorBidi"/>
        </w:rPr>
        <w:t xml:space="preserve">further </w:t>
      </w:r>
      <w:r w:rsidR="00843B35">
        <w:rPr>
          <w:rFonts w:asciiTheme="majorBidi" w:hAnsiTheme="majorBidi" w:cstheme="majorBidi"/>
        </w:rPr>
        <w:t>usage</w:t>
      </w:r>
      <w:r w:rsidR="00843B35" w:rsidRPr="00CE0D63">
        <w:rPr>
          <w:rFonts w:asciiTheme="majorBidi" w:hAnsiTheme="majorBidi" w:cstheme="majorBidi"/>
        </w:rPr>
        <w:t xml:space="preserve">. </w:t>
      </w:r>
    </w:p>
    <w:p w14:paraId="771AC088" w14:textId="77777777" w:rsidR="009C5452" w:rsidRPr="00CE0D63" w:rsidRDefault="009C5452" w:rsidP="009C5452">
      <w:pPr>
        <w:pStyle w:val="ListParagraph"/>
        <w:spacing w:before="120"/>
        <w:ind w:left="450"/>
        <w:jc w:val="both"/>
        <w:rPr>
          <w:rFonts w:asciiTheme="majorBidi" w:hAnsiTheme="majorBidi" w:cstheme="majorBidi"/>
          <w:lang w:eastAsia="en-US"/>
        </w:rPr>
      </w:pPr>
    </w:p>
    <w:p w14:paraId="7F4A688E" w14:textId="443E8D5E" w:rsidR="00843B35" w:rsidRDefault="00843B35" w:rsidP="00843B35">
      <w:pPr>
        <w:pStyle w:val="ListParagraph"/>
        <w:numPr>
          <w:ilvl w:val="0"/>
          <w:numId w:val="1"/>
        </w:numPr>
        <w:ind w:left="450"/>
        <w:jc w:val="both"/>
      </w:pPr>
      <w:r w:rsidRPr="000D6ACA">
        <w:t>Development and adoption of a new Law on Amnesty facilitated</w:t>
      </w:r>
      <w:r w:rsidR="00C010A0">
        <w:t xml:space="preserve"> resulting in reduced sentences for </w:t>
      </w:r>
      <w:r>
        <w:t>Five hundred twenty-seven</w:t>
      </w:r>
      <w:r w:rsidRPr="000D6ACA">
        <w:t xml:space="preserve"> </w:t>
      </w:r>
      <w:r>
        <w:t xml:space="preserve">(527) </w:t>
      </w:r>
      <w:r w:rsidRPr="000D6ACA">
        <w:t xml:space="preserve">prisoners and </w:t>
      </w:r>
      <w:r w:rsidR="00C010A0">
        <w:t xml:space="preserve">the release of </w:t>
      </w:r>
      <w:r w:rsidRPr="000D6ACA">
        <w:t xml:space="preserve">44 prisoners convicted for less serious crimes. Given that prisons are high-risk environments for the spread of COVID-19, this </w:t>
      </w:r>
      <w:r w:rsidR="001063AD">
        <w:t xml:space="preserve">was </w:t>
      </w:r>
      <w:r w:rsidR="001063AD" w:rsidRPr="000D6ACA">
        <w:t>an</w:t>
      </w:r>
      <w:r w:rsidRPr="000D6ACA">
        <w:t xml:space="preserve"> important measure to reduce the risk in Kyrgyzstan’s prisons.</w:t>
      </w:r>
    </w:p>
    <w:p w14:paraId="710BE005" w14:textId="77777777" w:rsidR="002F7580" w:rsidRDefault="002F7580" w:rsidP="002F7580">
      <w:pPr>
        <w:pStyle w:val="ListParagraph"/>
      </w:pPr>
    </w:p>
    <w:p w14:paraId="57E12158" w14:textId="3749283F" w:rsidR="00A03973" w:rsidRDefault="002F7580" w:rsidP="0012206C">
      <w:pPr>
        <w:pStyle w:val="ListParagraph"/>
        <w:numPr>
          <w:ilvl w:val="0"/>
          <w:numId w:val="1"/>
        </w:numPr>
        <w:ind w:left="450"/>
        <w:jc w:val="both"/>
      </w:pPr>
      <w:r>
        <w:t>A</w:t>
      </w:r>
      <w:r w:rsidR="00B51C64" w:rsidRPr="00391B43">
        <w:t xml:space="preserve"> Prison Service Call Centre established with the project’s technical </w:t>
      </w:r>
      <w:r w:rsidR="001063AD" w:rsidRPr="00391B43">
        <w:t xml:space="preserve">support, </w:t>
      </w:r>
      <w:r w:rsidR="001063AD">
        <w:t>provided</w:t>
      </w:r>
      <w:r w:rsidR="00B51C64" w:rsidRPr="00391B43">
        <w:t xml:space="preserve"> advisory and information services to </w:t>
      </w:r>
      <w:r w:rsidR="00B51C64">
        <w:t>60</w:t>
      </w:r>
      <w:r w:rsidR="00B51C64" w:rsidRPr="00391B43">
        <w:t xml:space="preserve">00 prisoners, their families and other citizens </w:t>
      </w:r>
      <w:r>
        <w:t>by mid</w:t>
      </w:r>
      <w:r w:rsidR="00C010A0">
        <w:t>-</w:t>
      </w:r>
      <w:r>
        <w:t>2021</w:t>
      </w:r>
      <w:r w:rsidR="00A03973" w:rsidRPr="000D6ACA">
        <w:t xml:space="preserve">. The Centre receives </w:t>
      </w:r>
      <w:r w:rsidR="00A03973">
        <w:t>about</w:t>
      </w:r>
      <w:r w:rsidR="00A03973" w:rsidRPr="000D6ACA">
        <w:t xml:space="preserve"> 50 phone calls </w:t>
      </w:r>
      <w:r w:rsidR="001063AD" w:rsidRPr="000D6ACA">
        <w:t xml:space="preserve">and </w:t>
      </w:r>
      <w:r w:rsidR="001063AD">
        <w:t>20</w:t>
      </w:r>
      <w:r w:rsidR="001063AD" w:rsidRPr="000D6ACA">
        <w:t xml:space="preserve"> visits</w:t>
      </w:r>
      <w:r w:rsidR="00A03973" w:rsidRPr="000D6ACA">
        <w:t xml:space="preserve"> everyday providing prison</w:t>
      </w:r>
      <w:r w:rsidR="00C010A0">
        <w:t>-</w:t>
      </w:r>
      <w:r w:rsidR="00A03973" w:rsidRPr="000D6ACA">
        <w:t>related information and legal advice to the public.</w:t>
      </w:r>
    </w:p>
    <w:p w14:paraId="60201129" w14:textId="77777777" w:rsidR="0063690E" w:rsidRDefault="0063690E" w:rsidP="0063690E">
      <w:pPr>
        <w:pStyle w:val="ListParagraph"/>
      </w:pPr>
    </w:p>
    <w:p w14:paraId="6426AE6F" w14:textId="774D0CC6" w:rsidR="0063690E" w:rsidRDefault="00D3673C" w:rsidP="0063690E">
      <w:pPr>
        <w:pStyle w:val="ListParagraph"/>
        <w:numPr>
          <w:ilvl w:val="0"/>
          <w:numId w:val="1"/>
        </w:numPr>
        <w:ind w:left="450"/>
        <w:jc w:val="both"/>
      </w:pPr>
      <w:r>
        <w:t>P</w:t>
      </w:r>
      <w:r w:rsidRPr="00D3673C">
        <w:t xml:space="preserve">rison-based rehabilitation </w:t>
      </w:r>
      <w:r w:rsidR="00440920">
        <w:t xml:space="preserve">and </w:t>
      </w:r>
      <w:r>
        <w:t xml:space="preserve">social reintegration </w:t>
      </w:r>
      <w:r w:rsidR="00440920" w:rsidRPr="00D3673C">
        <w:t xml:space="preserve">programs </w:t>
      </w:r>
      <w:r w:rsidR="00440920" w:rsidRPr="00824A68">
        <w:t xml:space="preserve">including faith-based, psychological, vocational, employment, sports, family ties, and craftworks components </w:t>
      </w:r>
      <w:r w:rsidRPr="00D3673C">
        <w:t>in closed and open type facilities</w:t>
      </w:r>
      <w:r w:rsidR="00CB26D9">
        <w:t>, engaged</w:t>
      </w:r>
      <w:r w:rsidRPr="00D3673C">
        <w:t xml:space="preserve"> </w:t>
      </w:r>
      <w:r w:rsidR="0063690E" w:rsidRPr="00CD05C3">
        <w:t xml:space="preserve">over 400 </w:t>
      </w:r>
      <w:r w:rsidR="0063690E" w:rsidRPr="006D71CD">
        <w:t xml:space="preserve">prisoners and ex-prisoners </w:t>
      </w:r>
      <w:r w:rsidR="0063690E" w:rsidRPr="00CD05C3">
        <w:t>(</w:t>
      </w:r>
      <w:r w:rsidR="0063690E">
        <w:t xml:space="preserve">including </w:t>
      </w:r>
      <w:r w:rsidR="0063690E" w:rsidRPr="00CD05C3">
        <w:t>20 percent women</w:t>
      </w:r>
      <w:r w:rsidR="0063690E">
        <w:t>)</w:t>
      </w:r>
      <w:r w:rsidR="0063690E" w:rsidRPr="006D71CD">
        <w:t xml:space="preserve"> to obtain essential skills and knowledge to enable them to integrate better in their </w:t>
      </w:r>
      <w:r w:rsidR="0063690E" w:rsidRPr="00CD05C3">
        <w:t>communities.</w:t>
      </w:r>
    </w:p>
    <w:p w14:paraId="51B6C39D" w14:textId="77777777" w:rsidR="000D1D3D" w:rsidRDefault="000D1D3D" w:rsidP="000D1D3D">
      <w:pPr>
        <w:pStyle w:val="ListParagraph"/>
      </w:pPr>
    </w:p>
    <w:p w14:paraId="6C2F545E" w14:textId="480DDDA1" w:rsidR="000D1D3D" w:rsidRPr="000D1D3D" w:rsidRDefault="000D1D3D" w:rsidP="000D1D3D">
      <w:pPr>
        <w:pStyle w:val="ListParagraph"/>
        <w:numPr>
          <w:ilvl w:val="0"/>
          <w:numId w:val="1"/>
        </w:numPr>
        <w:ind w:left="450"/>
        <w:jc w:val="both"/>
      </w:pPr>
      <w:r>
        <w:t>Living, healthcare and security c</w:t>
      </w:r>
      <w:r w:rsidRPr="000D1D3D">
        <w:t xml:space="preserve">onditions in 3 </w:t>
      </w:r>
      <w:r>
        <w:t>prisons</w:t>
      </w:r>
      <w:r w:rsidRPr="000D1D3D">
        <w:t xml:space="preserve"> </w:t>
      </w:r>
      <w:r>
        <w:t>for</w:t>
      </w:r>
      <w:r w:rsidRPr="000D1D3D">
        <w:t xml:space="preserve"> over 250 VEPs  improved by creating conditions for family visits, provision of essentials (clothes, bed linen, etc.)</w:t>
      </w:r>
      <w:r>
        <w:t xml:space="preserve">, </w:t>
      </w:r>
      <w:r w:rsidRPr="000D1D3D">
        <w:t>medical equipment (</w:t>
      </w:r>
      <w:r w:rsidR="001063AD">
        <w:t>clinic surgery</w:t>
      </w:r>
      <w:r w:rsidRPr="000D1D3D">
        <w:t xml:space="preserve"> equipment)</w:t>
      </w:r>
      <w:r>
        <w:t xml:space="preserve"> and security devices (</w:t>
      </w:r>
      <w:r w:rsidRPr="000D1D3D">
        <w:t>portable body worn cameras</w:t>
      </w:r>
      <w:r>
        <w:t xml:space="preserve">) for prison </w:t>
      </w:r>
      <w:r w:rsidRPr="000D1D3D">
        <w:t>staff to enhance security, deter aggression and violence, and prevent corruption in prisons.</w:t>
      </w:r>
    </w:p>
    <w:p w14:paraId="6D511721" w14:textId="77777777" w:rsidR="0063690E" w:rsidRDefault="0063690E" w:rsidP="0063690E">
      <w:pPr>
        <w:pStyle w:val="ListParagraph"/>
      </w:pPr>
    </w:p>
    <w:p w14:paraId="5E1D7634" w14:textId="3146FEAC" w:rsidR="00D3673C" w:rsidRPr="00D3673C" w:rsidRDefault="007F64F8" w:rsidP="000561F4">
      <w:pPr>
        <w:pStyle w:val="ListParagraph"/>
        <w:numPr>
          <w:ilvl w:val="0"/>
          <w:numId w:val="1"/>
        </w:numPr>
        <w:spacing w:before="120"/>
        <w:ind w:left="450"/>
        <w:jc w:val="both"/>
      </w:pPr>
      <w:r>
        <w:t>Over 100 violent extremist</w:t>
      </w:r>
      <w:r w:rsidRPr="00CE0D63">
        <w:t xml:space="preserve"> prisoners, including </w:t>
      </w:r>
      <w:r>
        <w:t>foreign terrorist fighters,</w:t>
      </w:r>
      <w:r w:rsidRPr="007F64F8">
        <w:t xml:space="preserve"> </w:t>
      </w:r>
      <w:r w:rsidRPr="00D3673C">
        <w:t>obtain</w:t>
      </w:r>
      <w:r w:rsidR="000D1D3D">
        <w:t>ed</w:t>
      </w:r>
      <w:r w:rsidRPr="00D3673C">
        <w:t xml:space="preserve"> the necessary knowledge</w:t>
      </w:r>
      <w:r>
        <w:t xml:space="preserve">, employment opportunities and </w:t>
      </w:r>
      <w:r w:rsidRPr="00D3673C">
        <w:t xml:space="preserve">extra earnings </w:t>
      </w:r>
      <w:r>
        <w:t>being a</w:t>
      </w:r>
      <w:r w:rsidRPr="00CE0D63">
        <w:t xml:space="preserve"> part of </w:t>
      </w:r>
      <w:r w:rsidRPr="00CE0D63" w:rsidDel="00B90AED">
        <w:t>prison-based rehabilitation program</w:t>
      </w:r>
      <w:r w:rsidR="00C010A0">
        <w:t>s</w:t>
      </w:r>
      <w:r>
        <w:t xml:space="preserve"> </w:t>
      </w:r>
      <w:r w:rsidRPr="00CE0D63">
        <w:t xml:space="preserve">in </w:t>
      </w:r>
      <w:r>
        <w:t>pilot closed-type and open-type prisons, where the project c</w:t>
      </w:r>
      <w:r w:rsidRPr="00CE0D63">
        <w:t>onstruct</w:t>
      </w:r>
      <w:r>
        <w:t>ed</w:t>
      </w:r>
      <w:r w:rsidRPr="00CE0D63">
        <w:t xml:space="preserve"> a production facility</w:t>
      </w:r>
      <w:r w:rsidR="00C010A0">
        <w:t xml:space="preserve"> (for work with leather and felt)</w:t>
      </w:r>
      <w:r>
        <w:t>,</w:t>
      </w:r>
      <w:r w:rsidRPr="00CE0D63">
        <w:t xml:space="preserve"> walking area</w:t>
      </w:r>
      <w:r>
        <w:t>s (prison 27) and automobile repair station (prison 32).</w:t>
      </w:r>
    </w:p>
    <w:p w14:paraId="3FE6C712" w14:textId="77777777" w:rsidR="00A03973" w:rsidRPr="000D6ACA" w:rsidRDefault="00A03973" w:rsidP="00720C50">
      <w:pPr>
        <w:autoSpaceDE w:val="0"/>
        <w:autoSpaceDN w:val="0"/>
        <w:adjustRightInd w:val="0"/>
        <w:jc w:val="both"/>
      </w:pPr>
    </w:p>
    <w:p w14:paraId="0FB7C4D2" w14:textId="61D75099" w:rsidR="00720C50" w:rsidRDefault="00720C50" w:rsidP="00720C50">
      <w:pPr>
        <w:autoSpaceDE w:val="0"/>
        <w:autoSpaceDN w:val="0"/>
        <w:adjustRightInd w:val="0"/>
        <w:jc w:val="both"/>
      </w:pPr>
      <w:r w:rsidRPr="000D6ACA">
        <w:rPr>
          <w:u w:val="single"/>
        </w:rPr>
        <w:t>Output 2</w:t>
      </w:r>
      <w:r w:rsidRPr="000D6ACA">
        <w:t>:</w:t>
      </w:r>
    </w:p>
    <w:p w14:paraId="7647480B" w14:textId="08D9A446" w:rsidR="00E70743" w:rsidRDefault="00D82CA9" w:rsidP="0069247C">
      <w:pPr>
        <w:pStyle w:val="ListParagraph"/>
        <w:numPr>
          <w:ilvl w:val="0"/>
          <w:numId w:val="1"/>
        </w:numPr>
        <w:spacing w:before="120"/>
        <w:ind w:left="450"/>
        <w:jc w:val="both"/>
      </w:pPr>
      <w:r>
        <w:t>New probation service placed under the Ministry of Justice b</w:t>
      </w:r>
      <w:r w:rsidR="00E70743">
        <w:t xml:space="preserve">ased on the project’s engagement, </w:t>
      </w:r>
      <w:proofErr w:type="gramStart"/>
      <w:r w:rsidR="00E70743">
        <w:t>in particular through</w:t>
      </w:r>
      <w:proofErr w:type="gramEnd"/>
      <w:r w:rsidR="00E70743">
        <w:t xml:space="preserve"> its legal expert</w:t>
      </w:r>
      <w:r>
        <w:t xml:space="preserve">. </w:t>
      </w:r>
      <w:r w:rsidR="008B6081">
        <w:t xml:space="preserve"> </w:t>
      </w:r>
      <w:r>
        <w:t>This model</w:t>
      </w:r>
      <w:r w:rsidR="00E70743">
        <w:t xml:space="preserve"> is fully in line with international best practice</w:t>
      </w:r>
      <w:r w:rsidR="008B6081">
        <w:t>,</w:t>
      </w:r>
      <w:r w:rsidR="00E70743">
        <w:t xml:space="preserve"> allows the new institution to be developed as a civil body rather than a militarized, law enforcement structure</w:t>
      </w:r>
      <w:r w:rsidR="008B6081">
        <w:t xml:space="preserve">, and </w:t>
      </w:r>
      <w:r w:rsidR="00E70743">
        <w:t>provides much better preconditions for a strong focus on social reintegration of offenders, including those convicted for terrorism and extremism related offenses.</w:t>
      </w:r>
    </w:p>
    <w:p w14:paraId="0D515E83" w14:textId="77777777" w:rsidR="008B6081" w:rsidRDefault="008B6081" w:rsidP="008B6081">
      <w:pPr>
        <w:pStyle w:val="ListParagraph"/>
        <w:spacing w:before="120"/>
        <w:ind w:left="450"/>
        <w:jc w:val="both"/>
      </w:pPr>
    </w:p>
    <w:p w14:paraId="5E525A47" w14:textId="603BEF41" w:rsidR="008B6081" w:rsidRDefault="00D82CA9" w:rsidP="000561F4">
      <w:pPr>
        <w:pStyle w:val="ListParagraph"/>
        <w:numPr>
          <w:ilvl w:val="0"/>
          <w:numId w:val="1"/>
        </w:numPr>
        <w:spacing w:before="120"/>
        <w:ind w:left="450"/>
        <w:jc w:val="both"/>
      </w:pPr>
      <w:r>
        <w:lastRenderedPageBreak/>
        <w:t>N</w:t>
      </w:r>
      <w:r w:rsidR="008B6081">
        <w:t xml:space="preserve">ormative framework </w:t>
      </w:r>
      <w:r w:rsidR="00684EF1">
        <w:t xml:space="preserve">developed </w:t>
      </w:r>
      <w:r w:rsidR="008B6081">
        <w:t xml:space="preserve">to guide probation services, with </w:t>
      </w:r>
      <w:r w:rsidR="008B6081" w:rsidRPr="009F77FC">
        <w:t xml:space="preserve">9 regulatory acts adopted </w:t>
      </w:r>
      <w:r w:rsidR="008B6081">
        <w:t xml:space="preserve">during the lifetime of the project </w:t>
      </w:r>
      <w:r w:rsidR="008B6081" w:rsidRPr="009F77FC">
        <w:t>to support implementation of the new Law on Probation</w:t>
      </w:r>
      <w:r w:rsidR="008B6081">
        <w:t xml:space="preserve">. These include guidelines for the </w:t>
      </w:r>
      <w:r w:rsidR="008B6081" w:rsidRPr="009F77FC">
        <w:t xml:space="preserve">development of </w:t>
      </w:r>
      <w:r w:rsidR="008B6081">
        <w:t>p</w:t>
      </w:r>
      <w:r w:rsidR="008B6081" w:rsidRPr="009F77FC">
        <w:t>robation report</w:t>
      </w:r>
      <w:r w:rsidR="008B6081">
        <w:t xml:space="preserve">s; </w:t>
      </w:r>
      <w:r w:rsidR="008B6081" w:rsidRPr="009F77FC">
        <w:t xml:space="preserve">establishment of rehabilitation centres (social dormitories); support to probation units and probation clients </w:t>
      </w:r>
      <w:r w:rsidR="008B6081">
        <w:t>by</w:t>
      </w:r>
      <w:r w:rsidR="008B6081" w:rsidRPr="009F77FC">
        <w:t xml:space="preserve"> local self-govern</w:t>
      </w:r>
      <w:r w:rsidR="008B6081">
        <w:t>ment bodies</w:t>
      </w:r>
      <w:r w:rsidR="008B6081" w:rsidRPr="009F77FC">
        <w:t>; probation procedure</w:t>
      </w:r>
      <w:r w:rsidR="008B6081">
        <w:t>s and</w:t>
      </w:r>
      <w:r w:rsidR="008B6081" w:rsidRPr="009F77FC">
        <w:t xml:space="preserve"> multiagency coordination on probation</w:t>
      </w:r>
      <w:r w:rsidR="008B6081">
        <w:t xml:space="preserve"> at the community level</w:t>
      </w:r>
      <w:r w:rsidR="008B6081" w:rsidRPr="009F77FC">
        <w:t>.</w:t>
      </w:r>
      <w:r w:rsidR="008B6081" w:rsidRPr="004A47A3">
        <w:t xml:space="preserve"> </w:t>
      </w:r>
    </w:p>
    <w:p w14:paraId="7C0912A1" w14:textId="77777777" w:rsidR="00684EF1" w:rsidRDefault="00684EF1" w:rsidP="00684EF1">
      <w:pPr>
        <w:pStyle w:val="ListParagraph"/>
      </w:pPr>
    </w:p>
    <w:p w14:paraId="27A3CB34" w14:textId="0CC84655" w:rsidR="00E70743" w:rsidRDefault="00D82CA9" w:rsidP="00A43215">
      <w:pPr>
        <w:pStyle w:val="ListParagraph"/>
        <w:numPr>
          <w:ilvl w:val="0"/>
          <w:numId w:val="1"/>
        </w:numPr>
        <w:ind w:left="450"/>
        <w:jc w:val="both"/>
      </w:pPr>
      <w:r>
        <w:t>J</w:t>
      </w:r>
      <w:r w:rsidR="00E70743">
        <w:t>udicial reform monitoring group</w:t>
      </w:r>
      <w:r w:rsidR="008B6081">
        <w:t>,</w:t>
      </w:r>
      <w:r w:rsidR="00E70743">
        <w:t xml:space="preserve"> established </w:t>
      </w:r>
      <w:r w:rsidR="008B6081">
        <w:t xml:space="preserve">under </w:t>
      </w:r>
      <w:r w:rsidR="00E70743">
        <w:t xml:space="preserve">the </w:t>
      </w:r>
      <w:r>
        <w:t xml:space="preserve">auspices of the </w:t>
      </w:r>
      <w:r w:rsidR="00E70743">
        <w:t>President</w:t>
      </w:r>
      <w:r w:rsidR="008B6081">
        <w:t>’s Office, including</w:t>
      </w:r>
      <w:r w:rsidR="00E70743">
        <w:t xml:space="preserve"> government representatives and independent experts</w:t>
      </w:r>
      <w:r>
        <w:t xml:space="preserve">, supported through the organization of </w:t>
      </w:r>
      <w:r w:rsidR="00E70743">
        <w:t>missions to all regions to assess the situation and expedite the opening of probation offices</w:t>
      </w:r>
      <w:r w:rsidR="008B6081">
        <w:t xml:space="preserve">, </w:t>
      </w:r>
      <w:r w:rsidR="00E70743">
        <w:t xml:space="preserve">establishment of probation councils </w:t>
      </w:r>
      <w:r w:rsidR="008B6081">
        <w:t xml:space="preserve">and </w:t>
      </w:r>
      <w:r w:rsidR="00E70743">
        <w:t xml:space="preserve">to ensure coordination at the community level. </w:t>
      </w:r>
      <w:r w:rsidR="008B6081">
        <w:t>As a result,</w:t>
      </w:r>
      <w:r w:rsidR="00E70743">
        <w:t xml:space="preserve"> premises and funding were allocated for the establishment of probation offices</w:t>
      </w:r>
      <w:r w:rsidR="008B6081">
        <w:t xml:space="preserve">; </w:t>
      </w:r>
      <w:r w:rsidR="00E70743">
        <w:t>139 probation staff were recruited and started working according to the new legislation and policy.</w:t>
      </w:r>
    </w:p>
    <w:p w14:paraId="601E2DFF" w14:textId="77777777" w:rsidR="00772A5E" w:rsidRPr="00772A5E" w:rsidRDefault="00772A5E" w:rsidP="00772A5E">
      <w:pPr>
        <w:pStyle w:val="ListParagraph"/>
        <w:spacing w:before="120"/>
        <w:ind w:left="450"/>
        <w:jc w:val="both"/>
        <w:rPr>
          <w:rFonts w:asciiTheme="majorBidi" w:hAnsiTheme="majorBidi" w:cstheme="majorBidi"/>
          <w:lang w:eastAsia="en-US"/>
        </w:rPr>
      </w:pPr>
    </w:p>
    <w:p w14:paraId="74CBF840" w14:textId="79E37E73" w:rsidR="009C5452" w:rsidRPr="00B54526" w:rsidRDefault="00772A5E" w:rsidP="009C5452">
      <w:pPr>
        <w:pStyle w:val="ListParagraph"/>
        <w:numPr>
          <w:ilvl w:val="0"/>
          <w:numId w:val="1"/>
        </w:numPr>
        <w:spacing w:before="120"/>
        <w:ind w:left="450"/>
        <w:jc w:val="both"/>
        <w:rPr>
          <w:rFonts w:asciiTheme="majorBidi" w:hAnsiTheme="majorBidi" w:cstheme="majorBidi"/>
          <w:lang w:eastAsia="en-US"/>
        </w:rPr>
      </w:pPr>
      <w:r>
        <w:t>E</w:t>
      </w:r>
      <w:r w:rsidR="009C5452" w:rsidRPr="000D6ACA">
        <w:t xml:space="preserve">ight (8) probation offices </w:t>
      </w:r>
      <w:r>
        <w:t xml:space="preserve">opened </w:t>
      </w:r>
      <w:r w:rsidR="009C5452" w:rsidRPr="000D6ACA">
        <w:t xml:space="preserve">in Chui, Osh, </w:t>
      </w:r>
      <w:r>
        <w:t>J</w:t>
      </w:r>
      <w:r w:rsidR="009C5452" w:rsidRPr="000D6ACA">
        <w:t xml:space="preserve">alal-Abad and </w:t>
      </w:r>
      <w:proofErr w:type="spellStart"/>
      <w:r w:rsidR="009C5452" w:rsidRPr="000D6ACA">
        <w:t>Batken</w:t>
      </w:r>
      <w:proofErr w:type="spellEnd"/>
      <w:r w:rsidR="009C5452" w:rsidRPr="000D6ACA">
        <w:t xml:space="preserve"> regions</w:t>
      </w:r>
      <w:r>
        <w:t>,</w:t>
      </w:r>
      <w:r w:rsidR="009C5452">
        <w:t xml:space="preserve"> </w:t>
      </w:r>
      <w:r w:rsidRPr="00772A5E">
        <w:t>includ</w:t>
      </w:r>
      <w:r>
        <w:t>ing</w:t>
      </w:r>
      <w:r w:rsidRPr="00772A5E">
        <w:t xml:space="preserve"> 2 interregional probation </w:t>
      </w:r>
      <w:r w:rsidR="0020439A">
        <w:t>unit</w:t>
      </w:r>
      <w:r w:rsidRPr="00772A5E">
        <w:t>s to cover the whole north and south of the country</w:t>
      </w:r>
      <w:r w:rsidR="009C5452" w:rsidRPr="000D6ACA">
        <w:t xml:space="preserve">. The </w:t>
      </w:r>
      <w:r>
        <w:t>offices</w:t>
      </w:r>
      <w:r w:rsidRPr="000D6ACA">
        <w:t xml:space="preserve"> </w:t>
      </w:r>
      <w:r>
        <w:t>have</w:t>
      </w:r>
      <w:r w:rsidRPr="000D6ACA">
        <w:t xml:space="preserve"> </w:t>
      </w:r>
      <w:r w:rsidR="009C5452" w:rsidRPr="000D6ACA">
        <w:t xml:space="preserve">been </w:t>
      </w:r>
      <w:r w:rsidR="00D82CA9">
        <w:t xml:space="preserve">furnished and </w:t>
      </w:r>
      <w:r w:rsidR="001063AD" w:rsidRPr="000D6ACA">
        <w:t xml:space="preserve">equipped </w:t>
      </w:r>
      <w:r w:rsidR="001063AD">
        <w:t xml:space="preserve">(office equipment) </w:t>
      </w:r>
      <w:r w:rsidR="001063AD" w:rsidRPr="000D6ACA">
        <w:t>creating</w:t>
      </w:r>
      <w:r w:rsidR="009C5452" w:rsidRPr="000D6ACA">
        <w:t xml:space="preserve"> </w:t>
      </w:r>
      <w:r w:rsidR="009C5452">
        <w:t xml:space="preserve">a </w:t>
      </w:r>
      <w:r w:rsidR="009C5452" w:rsidRPr="000D6ACA">
        <w:t xml:space="preserve">favourable working atmosphere for </w:t>
      </w:r>
      <w:r w:rsidRPr="000D6ACA">
        <w:t>48 probation staff</w:t>
      </w:r>
      <w:r>
        <w:t xml:space="preserve">, including </w:t>
      </w:r>
      <w:r w:rsidRPr="000D6ACA">
        <w:t>31 women</w:t>
      </w:r>
      <w:r w:rsidR="00D82CA9">
        <w:t>.</w:t>
      </w:r>
      <w:r w:rsidRPr="000D6ACA">
        <w:t xml:space="preserve"> </w:t>
      </w:r>
      <w:r w:rsidR="009C5452" w:rsidRPr="000D6ACA">
        <w:t xml:space="preserve"> </w:t>
      </w:r>
      <w:r w:rsidR="00D82CA9">
        <w:t xml:space="preserve">This is extremely important given the heavy workload with a total </w:t>
      </w:r>
      <w:bookmarkStart w:id="7" w:name="_Hlk43233350"/>
      <w:r w:rsidR="00D82CA9">
        <w:t xml:space="preserve">of </w:t>
      </w:r>
      <w:r w:rsidR="009C5452" w:rsidRPr="000D6ACA">
        <w:t>4234 probation clients</w:t>
      </w:r>
      <w:r w:rsidR="009C5452">
        <w:t xml:space="preserve"> </w:t>
      </w:r>
      <w:r w:rsidR="009C5452" w:rsidRPr="000D6ACA">
        <w:t xml:space="preserve">registered in these regions. </w:t>
      </w:r>
    </w:p>
    <w:p w14:paraId="666CB1A9" w14:textId="77777777" w:rsidR="00772A5E" w:rsidRDefault="00772A5E" w:rsidP="00772A5E">
      <w:pPr>
        <w:pStyle w:val="ListParagraph"/>
        <w:spacing w:before="120"/>
        <w:ind w:left="450"/>
        <w:jc w:val="both"/>
      </w:pPr>
      <w:bookmarkStart w:id="8" w:name="_Hlk42857637"/>
      <w:bookmarkEnd w:id="7"/>
    </w:p>
    <w:p w14:paraId="4B7F6FFA" w14:textId="49ABFF44" w:rsidR="00B54526" w:rsidRDefault="00720C50" w:rsidP="00B54526">
      <w:pPr>
        <w:pStyle w:val="ListParagraph"/>
        <w:numPr>
          <w:ilvl w:val="0"/>
          <w:numId w:val="1"/>
        </w:numPr>
        <w:spacing w:before="120"/>
        <w:ind w:left="450"/>
        <w:jc w:val="both"/>
      </w:pPr>
      <w:r w:rsidRPr="000D6ACA">
        <w:t xml:space="preserve">Two </w:t>
      </w:r>
      <w:r w:rsidR="00FD1F0F" w:rsidRPr="00B54526">
        <w:rPr>
          <w:lang w:val="en-US"/>
        </w:rPr>
        <w:t xml:space="preserve">(2) </w:t>
      </w:r>
      <w:r w:rsidRPr="000D6ACA">
        <w:t>methodological tools</w:t>
      </w:r>
      <w:r w:rsidR="00B54526">
        <w:t>/manuals</w:t>
      </w:r>
      <w:r w:rsidRPr="000D6ACA">
        <w:t xml:space="preserve"> </w:t>
      </w:r>
      <w:bookmarkEnd w:id="8"/>
      <w:r w:rsidR="00B54526">
        <w:t xml:space="preserve">developed </w:t>
      </w:r>
      <w:r w:rsidR="00B54526" w:rsidRPr="005F1E5D">
        <w:t xml:space="preserve">for </w:t>
      </w:r>
      <w:r w:rsidR="00B54526">
        <w:t>(</w:t>
      </w:r>
      <w:proofErr w:type="spellStart"/>
      <w:r w:rsidR="00B54526">
        <w:t>i</w:t>
      </w:r>
      <w:proofErr w:type="spellEnd"/>
      <w:r w:rsidR="00B54526">
        <w:t xml:space="preserve">) </w:t>
      </w:r>
      <w:r w:rsidR="00B54526" w:rsidRPr="005F1E5D">
        <w:t>probation and police officers on the management of violent extremist offenders</w:t>
      </w:r>
      <w:r w:rsidR="00B54526">
        <w:t xml:space="preserve"> and </w:t>
      </w:r>
      <w:r w:rsidR="00B54526" w:rsidRPr="00B54526">
        <w:t xml:space="preserve">for </w:t>
      </w:r>
      <w:r w:rsidR="00B54526">
        <w:t xml:space="preserve">(ii) </w:t>
      </w:r>
      <w:r w:rsidR="00B54526" w:rsidRPr="00B54526">
        <w:t>members of probation councils</w:t>
      </w:r>
      <w:r w:rsidR="00B54526" w:rsidRPr="005F1E5D">
        <w:t xml:space="preserve"> and all stakeholders involved in the probation process on</w:t>
      </w:r>
      <w:r w:rsidR="00B54526" w:rsidRPr="00B54526">
        <w:t xml:space="preserve"> interagency cooperation for rehabilitation of violent extremist offenders.</w:t>
      </w:r>
    </w:p>
    <w:p w14:paraId="291168C5" w14:textId="77777777" w:rsidR="00B54526" w:rsidRDefault="00B54526" w:rsidP="00B54526">
      <w:pPr>
        <w:pStyle w:val="ListParagraph"/>
      </w:pPr>
    </w:p>
    <w:p w14:paraId="61971EBC" w14:textId="54354197" w:rsidR="003E4F67" w:rsidRPr="00387F60" w:rsidRDefault="005F2B3F" w:rsidP="003E4F67">
      <w:pPr>
        <w:pStyle w:val="ListParagraph"/>
        <w:numPr>
          <w:ilvl w:val="0"/>
          <w:numId w:val="1"/>
        </w:numPr>
        <w:spacing w:before="120"/>
        <w:ind w:left="450"/>
        <w:jc w:val="both"/>
        <w:rPr>
          <w:rFonts w:asciiTheme="majorBidi" w:hAnsiTheme="majorBidi" w:cstheme="majorBidi"/>
          <w:lang w:eastAsia="en-US"/>
        </w:rPr>
      </w:pPr>
      <w:r>
        <w:t>Eighty-three</w:t>
      </w:r>
      <w:r w:rsidR="00B54526">
        <w:t xml:space="preserve"> (83)</w:t>
      </w:r>
      <w:r w:rsidR="00B54526" w:rsidRPr="000D6ACA">
        <w:t xml:space="preserve"> </w:t>
      </w:r>
      <w:r w:rsidR="00B54526" w:rsidRPr="005F1E5D">
        <w:t>probation staff (26 women),</w:t>
      </w:r>
      <w:r w:rsidR="003E4F67" w:rsidRPr="005F1E5D">
        <w:t xml:space="preserve">local </w:t>
      </w:r>
      <w:r w:rsidR="003E4F67">
        <w:t xml:space="preserve">administrations’ </w:t>
      </w:r>
      <w:r w:rsidR="003E4F67" w:rsidRPr="005F1E5D">
        <w:t>officials</w:t>
      </w:r>
      <w:r w:rsidR="003E4F67">
        <w:t xml:space="preserve"> (10)</w:t>
      </w:r>
      <w:r w:rsidR="003E4F67" w:rsidRPr="005F1E5D">
        <w:t>, police officers (</w:t>
      </w:r>
      <w:r w:rsidR="003E4F67">
        <w:t>5</w:t>
      </w:r>
      <w:r w:rsidR="003E4F67" w:rsidRPr="005F1E5D">
        <w:t>), social service providers</w:t>
      </w:r>
      <w:r w:rsidR="003E4F67">
        <w:t xml:space="preserve"> (30)</w:t>
      </w:r>
      <w:r w:rsidR="003E4F67" w:rsidRPr="005F1E5D">
        <w:t xml:space="preserve">, staff of registration departments </w:t>
      </w:r>
      <w:r w:rsidR="003E4F67">
        <w:t xml:space="preserve">(3) </w:t>
      </w:r>
      <w:r w:rsidR="003E4F67" w:rsidRPr="005F1E5D">
        <w:t xml:space="preserve">and lawyers </w:t>
      </w:r>
      <w:r w:rsidR="003E4F67">
        <w:t xml:space="preserve">(5) </w:t>
      </w:r>
      <w:r w:rsidR="003E4F67" w:rsidRPr="005F1E5D">
        <w:t>from 24 districts of the country increased their knowledge and skills on the management of violent extremist offenders and their social reintegration at community level.</w:t>
      </w:r>
    </w:p>
    <w:p w14:paraId="277E2A26" w14:textId="77777777" w:rsidR="00387F60" w:rsidRPr="00387F60" w:rsidRDefault="00387F60" w:rsidP="00387F60">
      <w:pPr>
        <w:pStyle w:val="ListParagraph"/>
        <w:rPr>
          <w:rFonts w:asciiTheme="majorBidi" w:hAnsiTheme="majorBidi" w:cstheme="majorBidi"/>
          <w:lang w:eastAsia="en-US"/>
        </w:rPr>
      </w:pPr>
    </w:p>
    <w:p w14:paraId="757461A4" w14:textId="0D56767A" w:rsidR="00476050" w:rsidRPr="001563E8" w:rsidRDefault="00F8348E" w:rsidP="000561F4">
      <w:pPr>
        <w:pStyle w:val="ListParagraph"/>
        <w:numPr>
          <w:ilvl w:val="0"/>
          <w:numId w:val="1"/>
        </w:numPr>
        <w:spacing w:before="120"/>
        <w:ind w:left="450"/>
        <w:jc w:val="both"/>
        <w:rPr>
          <w:rFonts w:asciiTheme="majorBidi" w:hAnsiTheme="majorBidi" w:cstheme="majorBidi"/>
          <w:lang w:eastAsia="en-US"/>
        </w:rPr>
      </w:pPr>
      <w:r>
        <w:t>A</w:t>
      </w:r>
      <w:r w:rsidR="00DF1E17" w:rsidRPr="000D6ACA">
        <w:t xml:space="preserve"> Regulation on interdepartmental cooperation in the field of probation</w:t>
      </w:r>
      <w:r w:rsidR="00141CDE">
        <w:t xml:space="preserve"> was</w:t>
      </w:r>
      <w:r>
        <w:t xml:space="preserve"> developed by a</w:t>
      </w:r>
      <w:r w:rsidRPr="000D6ACA">
        <w:t xml:space="preserve"> specially established expert group</w:t>
      </w:r>
      <w:r>
        <w:t xml:space="preserve">, </w:t>
      </w:r>
      <w:r w:rsidR="00DF1E17" w:rsidRPr="000D6ACA">
        <w:t>provide</w:t>
      </w:r>
      <w:r>
        <w:t xml:space="preserve">s for </w:t>
      </w:r>
      <w:r w:rsidR="00DF1E17" w:rsidRPr="000D6ACA">
        <w:t>coordinated social assistance to probation clients</w:t>
      </w:r>
      <w:r w:rsidR="002F7580">
        <w:t xml:space="preserve"> </w:t>
      </w:r>
      <w:r w:rsidR="00141CDE">
        <w:t>(</w:t>
      </w:r>
      <w:r w:rsidR="002F7580">
        <w:t xml:space="preserve">endorsed by </w:t>
      </w:r>
      <w:r w:rsidR="00DF1E17" w:rsidRPr="000D6ACA">
        <w:t>the Ministry of Justice of the Kyrgyz Republic</w:t>
      </w:r>
      <w:r w:rsidR="00141CDE">
        <w:t>)</w:t>
      </w:r>
      <w:r w:rsidR="002F7580">
        <w:t>.</w:t>
      </w:r>
      <w:r w:rsidR="00476050">
        <w:t xml:space="preserve"> </w:t>
      </w:r>
      <w:r w:rsidR="00476050" w:rsidRPr="00476050">
        <w:t xml:space="preserve">The project facilitated 14 interagency meetings at the regional level, including with local government representatives, prison administrations, prosecution bodies and local police, to discuss interagency coordination and community-based joint efforts to support the probation service in the regions. </w:t>
      </w:r>
    </w:p>
    <w:p w14:paraId="6A2D308F" w14:textId="77777777" w:rsidR="001563E8" w:rsidRPr="001563E8" w:rsidRDefault="001563E8" w:rsidP="001563E8">
      <w:pPr>
        <w:pStyle w:val="ListParagraph"/>
        <w:rPr>
          <w:rFonts w:asciiTheme="majorBidi" w:hAnsiTheme="majorBidi" w:cstheme="majorBidi"/>
          <w:lang w:eastAsia="en-US"/>
        </w:rPr>
      </w:pPr>
    </w:p>
    <w:p w14:paraId="431A749B" w14:textId="5FAC0F6A" w:rsidR="001563E8" w:rsidRPr="001563E8" w:rsidRDefault="00B54526" w:rsidP="001563E8">
      <w:pPr>
        <w:pStyle w:val="ListParagraph"/>
        <w:numPr>
          <w:ilvl w:val="0"/>
          <w:numId w:val="1"/>
        </w:numPr>
        <w:spacing w:before="120"/>
        <w:ind w:left="450"/>
        <w:jc w:val="both"/>
        <w:rPr>
          <w:rFonts w:asciiTheme="majorBidi" w:hAnsiTheme="majorBidi" w:cstheme="majorBidi"/>
          <w:lang w:eastAsia="en-US"/>
        </w:rPr>
      </w:pPr>
      <w:r w:rsidRPr="00B54526">
        <w:t xml:space="preserve">The project </w:t>
      </w:r>
      <w:r w:rsidR="00D7130C" w:rsidRPr="00D17538">
        <w:t xml:space="preserve">conducted </w:t>
      </w:r>
      <w:r w:rsidR="00D7130C">
        <w:t>and e</w:t>
      </w:r>
      <w:r w:rsidR="00D7130C" w:rsidRPr="00D17538">
        <w:t>mpirical research based on in-depth interviews with 32</w:t>
      </w:r>
      <w:r w:rsidR="001563E8">
        <w:t xml:space="preserve"> (3 women offenders)</w:t>
      </w:r>
      <w:r w:rsidR="00D7130C" w:rsidRPr="00D17538">
        <w:t xml:space="preserve"> individuals convicted for extremism and terrorism (serving their sentence in prison #27 where a prison wing </w:t>
      </w:r>
      <w:r w:rsidR="00141CDE">
        <w:t xml:space="preserve">was </w:t>
      </w:r>
      <w:r w:rsidR="00D7130C" w:rsidRPr="00D17538">
        <w:t xml:space="preserve">created </w:t>
      </w:r>
      <w:r w:rsidR="00D7130C">
        <w:t xml:space="preserve">to </w:t>
      </w:r>
      <w:r w:rsidR="00D7130C" w:rsidRPr="00D17538">
        <w:t>accommodat</w:t>
      </w:r>
      <w:r w:rsidR="00D7130C">
        <w:t>e</w:t>
      </w:r>
      <w:r w:rsidR="00D7130C" w:rsidRPr="00D17538">
        <w:t xml:space="preserve"> th</w:t>
      </w:r>
      <w:r w:rsidR="00D7130C">
        <w:t>is group of</w:t>
      </w:r>
      <w:r w:rsidR="00D7130C" w:rsidRPr="00D17538">
        <w:t xml:space="preserve"> prisoners). The study </w:t>
      </w:r>
      <w:r w:rsidR="00D7130C" w:rsidRPr="00D7130C">
        <w:t>analysed</w:t>
      </w:r>
      <w:r w:rsidR="00D7130C" w:rsidRPr="00D17538">
        <w:t xml:space="preserve"> </w:t>
      </w:r>
      <w:r w:rsidR="001563E8" w:rsidRPr="001563E8">
        <w:t>the hypotheses that suggested the factors of mobilization for violent extremism, disaggregated by factor-related clusters</w:t>
      </w:r>
      <w:r w:rsidR="001563E8">
        <w:t xml:space="preserve"> and </w:t>
      </w:r>
      <w:r w:rsidR="001563E8" w:rsidRPr="001563E8">
        <w:t>selected motifs that are indicative of general trends.</w:t>
      </w:r>
    </w:p>
    <w:p w14:paraId="7E85BEF5" w14:textId="77777777" w:rsidR="00D7130C" w:rsidRPr="001563E8" w:rsidRDefault="00D7130C" w:rsidP="00D17538">
      <w:pPr>
        <w:pStyle w:val="ListParagraph"/>
        <w:rPr>
          <w:lang w:val="en-US"/>
        </w:rPr>
      </w:pPr>
    </w:p>
    <w:p w14:paraId="4CA1684B" w14:textId="5403F2C6" w:rsidR="00B54526" w:rsidRPr="00B54526" w:rsidRDefault="00D7130C" w:rsidP="002F7580">
      <w:pPr>
        <w:pStyle w:val="ListParagraph"/>
        <w:numPr>
          <w:ilvl w:val="0"/>
          <w:numId w:val="1"/>
        </w:numPr>
        <w:spacing w:before="120"/>
        <w:ind w:left="450"/>
        <w:jc w:val="both"/>
      </w:pPr>
      <w:r>
        <w:t xml:space="preserve">A </w:t>
      </w:r>
      <w:r w:rsidR="00B54526" w:rsidRPr="00B54526">
        <w:t xml:space="preserve">public monitoring </w:t>
      </w:r>
      <w:r>
        <w:t xml:space="preserve">conducted </w:t>
      </w:r>
      <w:r w:rsidR="00B54526" w:rsidRPr="00B54526">
        <w:t xml:space="preserve">on the management of male and female violent extremist offenders, interviewing 76 offenders, including 14 women in 4 open-type </w:t>
      </w:r>
      <w:r w:rsidR="00B54526" w:rsidRPr="00B54526">
        <w:lastRenderedPageBreak/>
        <w:t xml:space="preserve">prisons and 11 probation locations </w:t>
      </w:r>
      <w:r w:rsidR="00B54526">
        <w:t>(</w:t>
      </w:r>
      <w:r w:rsidR="00B54526" w:rsidRPr="00B54526">
        <w:t>in 2019</w:t>
      </w:r>
      <w:r w:rsidR="00B54526">
        <w:t>)</w:t>
      </w:r>
      <w:r w:rsidR="00B54526" w:rsidRPr="00B54526">
        <w:t>.</w:t>
      </w:r>
      <w:r w:rsidR="00B54526">
        <w:t xml:space="preserve"> The recommendations of the monitoring report defined </w:t>
      </w:r>
      <w:r w:rsidR="00303BFA">
        <w:t xml:space="preserve">a series of </w:t>
      </w:r>
      <w:r w:rsidR="00B54526">
        <w:t>measures for inclusion in individual social and legal support programmes</w:t>
      </w:r>
      <w:r w:rsidR="00303BFA">
        <w:t xml:space="preserve"> for rehabilitation of violent extremist offenders</w:t>
      </w:r>
      <w:r w:rsidR="00B54526">
        <w:t>.</w:t>
      </w:r>
    </w:p>
    <w:p w14:paraId="43DD550E" w14:textId="77777777" w:rsidR="002F7580" w:rsidRPr="002F7580" w:rsidRDefault="002F7580" w:rsidP="002F7580">
      <w:pPr>
        <w:pStyle w:val="ListParagraph"/>
        <w:rPr>
          <w:rFonts w:asciiTheme="majorBidi" w:hAnsiTheme="majorBidi" w:cstheme="majorBidi"/>
          <w:lang w:eastAsia="en-US"/>
        </w:rPr>
      </w:pPr>
    </w:p>
    <w:p w14:paraId="39D80FA1" w14:textId="1235CE62" w:rsidR="00B47593" w:rsidRPr="00B47593" w:rsidRDefault="00B47593" w:rsidP="00B47593">
      <w:pPr>
        <w:pStyle w:val="ListParagraph"/>
        <w:numPr>
          <w:ilvl w:val="0"/>
          <w:numId w:val="1"/>
        </w:numPr>
        <w:spacing w:before="120"/>
        <w:ind w:left="450"/>
        <w:jc w:val="both"/>
        <w:rPr>
          <w:rFonts w:asciiTheme="majorBidi" w:hAnsiTheme="majorBidi" w:cstheme="majorBidi"/>
          <w:lang w:eastAsia="en-US"/>
        </w:rPr>
      </w:pPr>
      <w:r w:rsidRPr="00B47593">
        <w:rPr>
          <w:lang w:eastAsia="en-US"/>
        </w:rPr>
        <w:t>The project developed a unified electronic database to track probation clients and a risk and needs assessment tool for classification of violent extremist offenders and development of individual rehabilitation plans.</w:t>
      </w:r>
      <w:r>
        <w:rPr>
          <w:lang w:eastAsia="en-US"/>
        </w:rPr>
        <w:t xml:space="preserve"> </w:t>
      </w:r>
      <w:r w:rsidRPr="00B47593">
        <w:rPr>
          <w:lang w:eastAsia="en-US"/>
        </w:rPr>
        <w:t>Based on this, the project implemented a pilot initiative to support probation staff with psychological and other tests of probation clients and development of individual plans.</w:t>
      </w:r>
    </w:p>
    <w:p w14:paraId="3BB9098F" w14:textId="77777777" w:rsidR="00B47593" w:rsidRPr="00B47593" w:rsidRDefault="00B47593" w:rsidP="00B47593">
      <w:pPr>
        <w:pStyle w:val="ListParagraph"/>
        <w:rPr>
          <w:rFonts w:asciiTheme="majorBidi" w:hAnsiTheme="majorBidi" w:cstheme="majorBidi"/>
          <w:lang w:eastAsia="en-US"/>
        </w:rPr>
      </w:pPr>
    </w:p>
    <w:p w14:paraId="2B7D1CDC" w14:textId="04FEB4FE" w:rsidR="00B47593" w:rsidRPr="00251224" w:rsidRDefault="008B2779" w:rsidP="00251224">
      <w:pPr>
        <w:pStyle w:val="ListParagraph"/>
        <w:numPr>
          <w:ilvl w:val="0"/>
          <w:numId w:val="1"/>
        </w:numPr>
        <w:spacing w:before="120"/>
        <w:ind w:left="450"/>
        <w:jc w:val="both"/>
        <w:rPr>
          <w:rFonts w:asciiTheme="majorBidi" w:hAnsiTheme="majorBidi" w:cstheme="majorBidi"/>
          <w:lang w:eastAsia="en-US"/>
        </w:rPr>
      </w:pPr>
      <w:r>
        <w:rPr>
          <w:lang w:eastAsia="en-US"/>
        </w:rPr>
        <w:t>Twenty (2</w:t>
      </w:r>
      <w:r w:rsidR="002F7580">
        <w:rPr>
          <w:lang w:eastAsia="en-US"/>
        </w:rPr>
        <w:t>3</w:t>
      </w:r>
      <w:r>
        <w:rPr>
          <w:lang w:eastAsia="en-US"/>
        </w:rPr>
        <w:t>)</w:t>
      </w:r>
      <w:r w:rsidR="003D3995" w:rsidRPr="000D6ACA">
        <w:rPr>
          <w:lang w:eastAsia="en-US"/>
        </w:rPr>
        <w:t xml:space="preserve"> probation clients </w:t>
      </w:r>
      <w:r w:rsidR="00B47593" w:rsidRPr="00B47593">
        <w:rPr>
          <w:lang w:eastAsia="en-US"/>
        </w:rPr>
        <w:t xml:space="preserve">(10 women) and 10 vulnerable families from pilot locations participated in </w:t>
      </w:r>
      <w:r w:rsidR="00644C11">
        <w:rPr>
          <w:lang w:eastAsia="en-US"/>
        </w:rPr>
        <w:t xml:space="preserve">a </w:t>
      </w:r>
      <w:r w:rsidR="00B47593" w:rsidRPr="00B47593">
        <w:rPr>
          <w:lang w:eastAsia="en-US"/>
        </w:rPr>
        <w:t>mentoring and support program</w:t>
      </w:r>
      <w:r w:rsidR="00B47593">
        <w:rPr>
          <w:lang w:eastAsia="en-US"/>
        </w:rPr>
        <w:t xml:space="preserve"> </w:t>
      </w:r>
      <w:r w:rsidR="001401BE" w:rsidRPr="000D6ACA">
        <w:rPr>
          <w:lang w:eastAsia="en-US"/>
        </w:rPr>
        <w:t xml:space="preserve">and case studies </w:t>
      </w:r>
      <w:r w:rsidR="00251224">
        <w:rPr>
          <w:lang w:eastAsia="en-US"/>
        </w:rPr>
        <w:t>to f</w:t>
      </w:r>
      <w:r w:rsidR="00B47593" w:rsidRPr="00B93424">
        <w:rPr>
          <w:lang w:eastAsia="en-US"/>
        </w:rPr>
        <w:t xml:space="preserve">acilitate the interventions aimed at involving the offender’s social network in the social reintegration process, with a focus on </w:t>
      </w:r>
      <w:r w:rsidR="00251224">
        <w:rPr>
          <w:lang w:eastAsia="en-US"/>
        </w:rPr>
        <w:t xml:space="preserve">vulnerable </w:t>
      </w:r>
      <w:r w:rsidR="00B47593" w:rsidRPr="00B93424">
        <w:rPr>
          <w:lang w:eastAsia="en-US"/>
        </w:rPr>
        <w:t>families, including women and children</w:t>
      </w:r>
      <w:r w:rsidR="00251224">
        <w:rPr>
          <w:lang w:eastAsia="en-US"/>
        </w:rPr>
        <w:t>.</w:t>
      </w:r>
      <w:r w:rsidR="00B47593" w:rsidRPr="00B93424">
        <w:rPr>
          <w:lang w:eastAsia="en-US"/>
        </w:rPr>
        <w:t xml:space="preserve"> </w:t>
      </w:r>
    </w:p>
    <w:p w14:paraId="590D250F" w14:textId="6853A15D" w:rsidR="00476050" w:rsidRDefault="00476050" w:rsidP="002F7580">
      <w:pPr>
        <w:pStyle w:val="ListParagraph"/>
        <w:rPr>
          <w:rFonts w:asciiTheme="majorBidi" w:hAnsiTheme="majorBidi" w:cstheme="majorBidi"/>
          <w:lang w:eastAsia="en-US"/>
        </w:rPr>
      </w:pPr>
    </w:p>
    <w:p w14:paraId="7F2DC497" w14:textId="0248FAE7" w:rsidR="00E20C74" w:rsidRPr="002F7580" w:rsidRDefault="00E20C74" w:rsidP="002F7580">
      <w:pPr>
        <w:pStyle w:val="ListParagraph"/>
        <w:numPr>
          <w:ilvl w:val="0"/>
          <w:numId w:val="1"/>
        </w:numPr>
        <w:spacing w:before="120"/>
        <w:ind w:left="450"/>
        <w:jc w:val="both"/>
        <w:rPr>
          <w:rFonts w:asciiTheme="majorBidi" w:hAnsiTheme="majorBidi" w:cstheme="majorBidi"/>
          <w:lang w:eastAsia="en-US"/>
        </w:rPr>
      </w:pPr>
      <w:r>
        <w:rPr>
          <w:lang w:eastAsia="en-US"/>
        </w:rPr>
        <w:t xml:space="preserve">Two video reels produced to promote and feed public awareness </w:t>
      </w:r>
      <w:r w:rsidR="00EB1F27">
        <w:rPr>
          <w:lang w:eastAsia="en-US"/>
        </w:rPr>
        <w:t>about probation</w:t>
      </w:r>
      <w:r>
        <w:rPr>
          <w:lang w:eastAsia="en-US"/>
        </w:rPr>
        <w:t xml:space="preserve"> services in Kyrgyzstan. Videos are public and being promoted and disseminated in the public and social media. </w:t>
      </w:r>
      <w:hyperlink r:id="rId15" w:tgtFrame="_blank" w:history="1">
        <w:r w:rsidRPr="002F7580">
          <w:rPr>
            <w:rStyle w:val="Hyperlink"/>
            <w:lang w:val="ky-KG"/>
          </w:rPr>
          <w:t>https://youtu.be/6PtFCZFyzlA</w:t>
        </w:r>
      </w:hyperlink>
      <w:r w:rsidRPr="002F7580">
        <w:rPr>
          <w:lang w:val="en-US"/>
        </w:rPr>
        <w:t xml:space="preserve">; </w:t>
      </w:r>
      <w:hyperlink r:id="rId16" w:history="1">
        <w:r w:rsidRPr="002F7580">
          <w:rPr>
            <w:rStyle w:val="Hyperlink"/>
            <w:lang w:val="ky-KG"/>
          </w:rPr>
          <w:t>https://youtu.be/FUWVR8oIMDE</w:t>
        </w:r>
      </w:hyperlink>
      <w:r w:rsidRPr="002F7580">
        <w:rPr>
          <w:lang w:val="en-US"/>
        </w:rPr>
        <w:t xml:space="preserve"> </w:t>
      </w:r>
      <w:r>
        <w:rPr>
          <w:lang w:eastAsia="en-US"/>
        </w:rPr>
        <w:t xml:space="preserve">  </w:t>
      </w:r>
    </w:p>
    <w:p w14:paraId="6C20ED44" w14:textId="77777777" w:rsidR="00720C50" w:rsidRPr="000D6ACA" w:rsidRDefault="00720C50" w:rsidP="00A26CF1">
      <w:pPr>
        <w:pStyle w:val="ListParagraph"/>
        <w:rPr>
          <w:u w:val="single"/>
        </w:rPr>
      </w:pPr>
    </w:p>
    <w:p w14:paraId="463B3B25" w14:textId="02FD3921" w:rsidR="00720C50" w:rsidRPr="000D6ACA" w:rsidRDefault="00720C50" w:rsidP="00720C50">
      <w:pPr>
        <w:autoSpaceDE w:val="0"/>
        <w:autoSpaceDN w:val="0"/>
        <w:adjustRightInd w:val="0"/>
        <w:jc w:val="both"/>
      </w:pPr>
      <w:r w:rsidRPr="000D6ACA">
        <w:rPr>
          <w:u w:val="single"/>
        </w:rPr>
        <w:t>Output 3</w:t>
      </w:r>
      <w:r w:rsidRPr="000D6ACA">
        <w:t>:</w:t>
      </w:r>
    </w:p>
    <w:p w14:paraId="7ECBCBD5" w14:textId="647D460C" w:rsidR="003C0980" w:rsidRDefault="003C0980" w:rsidP="00472E99">
      <w:pPr>
        <w:pStyle w:val="ListParagraph"/>
        <w:numPr>
          <w:ilvl w:val="1"/>
          <w:numId w:val="12"/>
        </w:numPr>
        <w:spacing w:before="120"/>
        <w:ind w:left="450" w:hanging="540"/>
        <w:jc w:val="both"/>
      </w:pPr>
      <w:r w:rsidRPr="000D6ACA">
        <w:t xml:space="preserve">Psycholinguistic and Religious Expertise </w:t>
      </w:r>
      <w:r>
        <w:t>Unit</w:t>
      </w:r>
      <w:r w:rsidRPr="000D6ACA">
        <w:t xml:space="preserve"> at the State Forensic </w:t>
      </w:r>
      <w:r w:rsidR="00EB1F27" w:rsidRPr="000D6ACA">
        <w:t>Service</w:t>
      </w:r>
      <w:r w:rsidR="00EB1F27">
        <w:t xml:space="preserve"> established</w:t>
      </w:r>
      <w:r w:rsidR="00472E99">
        <w:t xml:space="preserve"> with the project</w:t>
      </w:r>
      <w:r w:rsidR="00644C11">
        <w:t>’s</w:t>
      </w:r>
      <w:r w:rsidR="00472E99">
        <w:t xml:space="preserve"> expert and technical support to enhance </w:t>
      </w:r>
      <w:r w:rsidRPr="000D6ACA">
        <w:t xml:space="preserve">the quality of psycholinguistic and religious expertise to serve as a sound evidential basis for the </w:t>
      </w:r>
      <w:r w:rsidRPr="007874FE">
        <w:t>adjudication of terrorism and extremism related crimes in line with fair trial standards.</w:t>
      </w:r>
    </w:p>
    <w:p w14:paraId="1DA83A47" w14:textId="77777777" w:rsidR="00472E99" w:rsidRDefault="00472E99" w:rsidP="00472E99">
      <w:pPr>
        <w:pStyle w:val="ListParagraph"/>
        <w:spacing w:before="120"/>
        <w:ind w:left="450"/>
        <w:jc w:val="both"/>
      </w:pPr>
    </w:p>
    <w:p w14:paraId="6B5799F2" w14:textId="4979AB69" w:rsidR="003C0980" w:rsidRDefault="00644C11" w:rsidP="00472E99">
      <w:pPr>
        <w:pStyle w:val="ListParagraph"/>
        <w:numPr>
          <w:ilvl w:val="1"/>
          <w:numId w:val="12"/>
        </w:numPr>
        <w:spacing w:before="120"/>
        <w:ind w:left="450" w:hanging="540"/>
        <w:jc w:val="both"/>
      </w:pPr>
      <w:r>
        <w:t>R</w:t>
      </w:r>
      <w:r w:rsidR="003C0980">
        <w:t>egulatory framework</w:t>
      </w:r>
      <w:r w:rsidR="003C0980" w:rsidRPr="007874FE">
        <w:t xml:space="preserve"> </w:t>
      </w:r>
      <w:r>
        <w:t xml:space="preserve">for forensic services </w:t>
      </w:r>
      <w:r w:rsidR="00646132">
        <w:t xml:space="preserve">reviewed to </w:t>
      </w:r>
      <w:r w:rsidR="003C0980" w:rsidRPr="007874FE">
        <w:t xml:space="preserve">address gaps in the criminal justice response to terrorism, </w:t>
      </w:r>
      <w:proofErr w:type="gramStart"/>
      <w:r w:rsidR="007B130C" w:rsidRPr="007874FE">
        <w:t>so as to</w:t>
      </w:r>
      <w:proofErr w:type="gramEnd"/>
      <w:r w:rsidR="007B130C">
        <w:t xml:space="preserve"> improve provisions related to forensics and to make those consistent with the related legislation, </w:t>
      </w:r>
      <w:r w:rsidR="007B130C" w:rsidRPr="007874FE">
        <w:t>increas</w:t>
      </w:r>
      <w:r w:rsidR="007B130C">
        <w:t>ing</w:t>
      </w:r>
      <w:r w:rsidR="007B130C" w:rsidRPr="007874FE">
        <w:t xml:space="preserve"> trust in the justice system and reduc</w:t>
      </w:r>
      <w:r w:rsidR="007B130C">
        <w:t>ing</w:t>
      </w:r>
      <w:r w:rsidR="007B130C" w:rsidRPr="007874FE">
        <w:t xml:space="preserve"> grievances towards the state</w:t>
      </w:r>
      <w:r w:rsidR="007B130C">
        <w:t xml:space="preserve">. The relevant </w:t>
      </w:r>
      <w:r w:rsidR="007B130C">
        <w:rPr>
          <w:lang w:eastAsia="zh-CN"/>
        </w:rPr>
        <w:t>amendments were made to the</w:t>
      </w:r>
      <w:r w:rsidR="003E1A63">
        <w:rPr>
          <w:lang w:eastAsia="zh-CN"/>
        </w:rPr>
        <w:t xml:space="preserve"> </w:t>
      </w:r>
      <w:r w:rsidR="003C0980">
        <w:rPr>
          <w:lang w:eastAsia="zh-CN"/>
        </w:rPr>
        <w:t>Law "On Countering Extremist Activity", "On Freedom of Religion and Religious Organizations in the Kyrgyz Republic”, the Law “On Forensic Activities”, Criminal Procedure Code of and Civil Procedure Code of the Kyrgyz Republic.</w:t>
      </w:r>
    </w:p>
    <w:p w14:paraId="4981EFDA" w14:textId="77777777" w:rsidR="00EB1F27" w:rsidRDefault="00EB1F27" w:rsidP="00EB1F27">
      <w:pPr>
        <w:pStyle w:val="ListParagraph"/>
      </w:pPr>
    </w:p>
    <w:p w14:paraId="3BADEFC9" w14:textId="4625F9FA" w:rsidR="003E1A63" w:rsidRDefault="003A4FE2" w:rsidP="00EB1F27">
      <w:pPr>
        <w:pStyle w:val="ListParagraph"/>
        <w:numPr>
          <w:ilvl w:val="1"/>
          <w:numId w:val="12"/>
        </w:numPr>
        <w:spacing w:before="120"/>
        <w:ind w:left="450" w:hanging="540"/>
        <w:jc w:val="both"/>
      </w:pPr>
      <w:r w:rsidRPr="003A4FE2">
        <w:t>Analysis of judicial practice on cases related to terrorism and extremism in the Kyrgyz Republic</w:t>
      </w:r>
      <w:r w:rsidR="003E1A63">
        <w:t xml:space="preserve"> was </w:t>
      </w:r>
      <w:r w:rsidR="00EB1F27">
        <w:t>made</w:t>
      </w:r>
      <w:r w:rsidR="003E1A63">
        <w:t xml:space="preserve"> in partnership with the Association of Women Judges and other UN agencies (UNODC, UNDP, UN Women, OHCHR) </w:t>
      </w:r>
      <w:r w:rsidR="00EB1F27">
        <w:t>and covered</w:t>
      </w:r>
      <w:r w:rsidRPr="003A4FE2">
        <w:t xml:space="preserve"> 496 extremism and terrorism related cases considered by all courts throughout the country for the period 2014-2018. </w:t>
      </w:r>
      <w:r w:rsidR="00EB1F27">
        <w:t>On completion of the</w:t>
      </w:r>
      <w:r w:rsidRPr="003A4FE2">
        <w:t xml:space="preserve"> study </w:t>
      </w:r>
      <w:r w:rsidR="00EB1F27">
        <w:t>a set of</w:t>
      </w:r>
      <w:r w:rsidRPr="003A4FE2">
        <w:t xml:space="preserve"> recommendations </w:t>
      </w:r>
      <w:r w:rsidR="00EB1F27">
        <w:t>was developed f</w:t>
      </w:r>
      <w:r w:rsidRPr="003A4FE2">
        <w:t>or improving judicial practice in this category of cases</w:t>
      </w:r>
      <w:r w:rsidR="00EB1F27">
        <w:t xml:space="preserve">, including </w:t>
      </w:r>
      <w:r w:rsidRPr="003A4FE2">
        <w:t xml:space="preserve">a </w:t>
      </w:r>
      <w:r w:rsidR="00EB1F27">
        <w:t xml:space="preserve">recommendation on application of a </w:t>
      </w:r>
      <w:r w:rsidRPr="003A4FE2">
        <w:t xml:space="preserve">complex </w:t>
      </w:r>
      <w:r w:rsidR="00EB1F27" w:rsidRPr="003A4FE2">
        <w:t>psycho-linguistic examination</w:t>
      </w:r>
      <w:r w:rsidR="00EB1F27">
        <w:t>.</w:t>
      </w:r>
    </w:p>
    <w:p w14:paraId="55FE8C91" w14:textId="77777777" w:rsidR="005019E6" w:rsidRDefault="005019E6" w:rsidP="005019E6">
      <w:pPr>
        <w:pStyle w:val="ListParagraph"/>
      </w:pPr>
    </w:p>
    <w:p w14:paraId="0DCC776D" w14:textId="58BB53D8" w:rsidR="00F23B6E" w:rsidRDefault="00F23B6E" w:rsidP="00F23B6E">
      <w:pPr>
        <w:pStyle w:val="ListParagraph"/>
        <w:numPr>
          <w:ilvl w:val="0"/>
          <w:numId w:val="1"/>
        </w:numPr>
        <w:ind w:left="450"/>
        <w:jc w:val="both"/>
      </w:pPr>
      <w:r>
        <w:t>A</w:t>
      </w:r>
      <w:r w:rsidRPr="00CE0D63">
        <w:t xml:space="preserve"> </w:t>
      </w:r>
      <w:r>
        <w:t>H</w:t>
      </w:r>
      <w:r w:rsidRPr="00CE0D63">
        <w:t xml:space="preserve">andbook for criminal justice officials on authorisation of psycholinguistic expertise </w:t>
      </w:r>
      <w:r>
        <w:t xml:space="preserve">and </w:t>
      </w:r>
      <w:r w:rsidRPr="00B42DC9">
        <w:t xml:space="preserve">a methodological tool </w:t>
      </w:r>
      <w:r w:rsidR="00C62DCD">
        <w:t>for</w:t>
      </w:r>
      <w:r w:rsidRPr="00B42DC9">
        <w:t xml:space="preserve"> forensic experts </w:t>
      </w:r>
      <w:r w:rsidR="00C62DCD">
        <w:t>on production of</w:t>
      </w:r>
      <w:r w:rsidRPr="00B42DC9">
        <w:t xml:space="preserve"> quality expertise on cases related to extremism and terrorism</w:t>
      </w:r>
      <w:r>
        <w:t xml:space="preserve"> developed, </w:t>
      </w:r>
      <w:r w:rsidRPr="00CE0D63">
        <w:t>printed</w:t>
      </w:r>
      <w:r w:rsidR="00644C11">
        <w:t>,</w:t>
      </w:r>
      <w:r w:rsidRPr="00CE0D63">
        <w:t xml:space="preserve"> </w:t>
      </w:r>
      <w:r>
        <w:t xml:space="preserve">and disseminated </w:t>
      </w:r>
      <w:r w:rsidRPr="00CE0D63">
        <w:t>in Russian and Kyrgyz languages</w:t>
      </w:r>
      <w:r>
        <w:t>. A s</w:t>
      </w:r>
      <w:r w:rsidRPr="00CE0D63">
        <w:t xml:space="preserve">eries of workshops </w:t>
      </w:r>
      <w:r w:rsidR="00C62DCD" w:rsidRPr="00CE0D63">
        <w:t xml:space="preserve">held </w:t>
      </w:r>
      <w:r w:rsidRPr="00CE0D63">
        <w:t xml:space="preserve">to present the </w:t>
      </w:r>
      <w:r w:rsidR="00C62DCD">
        <w:t>tools</w:t>
      </w:r>
      <w:r w:rsidRPr="00CE0D63">
        <w:t xml:space="preserve"> and discuss existing gaps in appointment and conduct of forensic examinations on cases related to extremism and terrorism in 7 oblasts of the country</w:t>
      </w:r>
      <w:r>
        <w:t xml:space="preserve"> engaging 253 police, prosecutors and judges.</w:t>
      </w:r>
    </w:p>
    <w:p w14:paraId="1B7B6875" w14:textId="77777777" w:rsidR="00B819DD" w:rsidRPr="00CE0D63" w:rsidRDefault="00B819DD" w:rsidP="00B819DD">
      <w:pPr>
        <w:pStyle w:val="ListParagraph"/>
        <w:ind w:left="450"/>
        <w:jc w:val="both"/>
      </w:pPr>
    </w:p>
    <w:p w14:paraId="6C44FEA1" w14:textId="15049D57" w:rsidR="00AD683D" w:rsidRPr="007E39AE" w:rsidRDefault="00AD683D" w:rsidP="00AD683D">
      <w:pPr>
        <w:pStyle w:val="ListParagraph"/>
        <w:numPr>
          <w:ilvl w:val="0"/>
          <w:numId w:val="1"/>
        </w:numPr>
        <w:ind w:left="450"/>
        <w:jc w:val="both"/>
      </w:pPr>
      <w:r w:rsidRPr="007E39AE">
        <w:rPr>
          <w:color w:val="000000"/>
        </w:rPr>
        <w:t>A Kyrgyz</w:t>
      </w:r>
      <w:r w:rsidR="00C62DCD">
        <w:rPr>
          <w:color w:val="000000"/>
        </w:rPr>
        <w:t>-</w:t>
      </w:r>
      <w:r w:rsidRPr="007E39AE">
        <w:rPr>
          <w:color w:val="000000"/>
        </w:rPr>
        <w:t xml:space="preserve">Russian dictionary of religious terminology developed and disseminated among </w:t>
      </w:r>
      <w:r w:rsidR="00F23B6E">
        <w:rPr>
          <w:color w:val="000000"/>
        </w:rPr>
        <w:t>police and prosecution staff</w:t>
      </w:r>
      <w:r w:rsidRPr="007E39AE">
        <w:rPr>
          <w:color w:val="000000"/>
        </w:rPr>
        <w:t xml:space="preserve">, </w:t>
      </w:r>
      <w:r w:rsidR="00F23B6E">
        <w:rPr>
          <w:color w:val="000000"/>
        </w:rPr>
        <w:t xml:space="preserve">courts and </w:t>
      </w:r>
      <w:r w:rsidRPr="007E39AE">
        <w:rPr>
          <w:color w:val="000000"/>
        </w:rPr>
        <w:t xml:space="preserve">religious experts to </w:t>
      </w:r>
      <w:r>
        <w:t>serve as a guide in daily work</w:t>
      </w:r>
      <w:r w:rsidRPr="007E39AE">
        <w:rPr>
          <w:color w:val="000000"/>
        </w:rPr>
        <w:t xml:space="preserve"> and to support expertise </w:t>
      </w:r>
      <w:r w:rsidR="00644C11">
        <w:rPr>
          <w:color w:val="000000"/>
        </w:rPr>
        <w:t>in</w:t>
      </w:r>
      <w:r w:rsidRPr="007E39AE">
        <w:rPr>
          <w:color w:val="000000"/>
        </w:rPr>
        <w:t xml:space="preserve"> criminal cases involving signs of extremism and terrorism.</w:t>
      </w:r>
    </w:p>
    <w:p w14:paraId="67416216" w14:textId="77777777" w:rsidR="00483BF2" w:rsidRPr="000D6ACA" w:rsidRDefault="00483BF2" w:rsidP="00483BF2">
      <w:pPr>
        <w:ind w:left="450"/>
        <w:jc w:val="both"/>
      </w:pPr>
    </w:p>
    <w:p w14:paraId="4613E819" w14:textId="7E49657B" w:rsidR="00AD683D" w:rsidRDefault="00644C11" w:rsidP="000561F4">
      <w:pPr>
        <w:pStyle w:val="ListParagraph"/>
        <w:numPr>
          <w:ilvl w:val="0"/>
          <w:numId w:val="1"/>
        </w:numPr>
        <w:ind w:left="450"/>
        <w:jc w:val="both"/>
      </w:pPr>
      <w:r>
        <w:rPr>
          <w:color w:val="000000"/>
        </w:rPr>
        <w:t>D</w:t>
      </w:r>
      <w:r w:rsidR="00B819DD" w:rsidRPr="00E475CE">
        <w:rPr>
          <w:color w:val="000000"/>
        </w:rPr>
        <w:t xml:space="preserve">ata analysis and collection system </w:t>
      </w:r>
      <w:r w:rsidR="007B130C">
        <w:rPr>
          <w:color w:val="000000"/>
        </w:rPr>
        <w:t>established,</w:t>
      </w:r>
      <w:r w:rsidR="00B819DD">
        <w:rPr>
          <w:color w:val="000000"/>
        </w:rPr>
        <w:t xml:space="preserve"> </w:t>
      </w:r>
      <w:r w:rsidR="000561F4">
        <w:rPr>
          <w:color w:val="000000"/>
        </w:rPr>
        <w:t>and s</w:t>
      </w:r>
      <w:r w:rsidR="000561F4" w:rsidRPr="004B64FA">
        <w:t>pecialized computer equipment provided</w:t>
      </w:r>
      <w:r w:rsidR="000561F4" w:rsidRPr="00E475CE">
        <w:rPr>
          <w:color w:val="000000"/>
        </w:rPr>
        <w:t xml:space="preserve"> </w:t>
      </w:r>
      <w:r w:rsidR="00B819DD" w:rsidRPr="00E475CE">
        <w:rPr>
          <w:color w:val="000000"/>
        </w:rPr>
        <w:t>for production of expertise in criminal cases involving signs of extremism and terrorism</w:t>
      </w:r>
      <w:r w:rsidR="00B819DD">
        <w:rPr>
          <w:color w:val="000000"/>
        </w:rPr>
        <w:t xml:space="preserve">, </w:t>
      </w:r>
      <w:r w:rsidR="00B819DD" w:rsidRPr="00E475CE">
        <w:rPr>
          <w:color w:val="000000"/>
        </w:rPr>
        <w:t>increasing the capacity of forensic experts to produce comprehensive psycho-linguistic and religious expertise</w:t>
      </w:r>
      <w:r w:rsidR="00B819DD">
        <w:rPr>
          <w:color w:val="000000"/>
        </w:rPr>
        <w:t>.</w:t>
      </w:r>
      <w:r w:rsidR="000561F4">
        <w:rPr>
          <w:color w:val="000000"/>
        </w:rPr>
        <w:t xml:space="preserve"> </w:t>
      </w:r>
      <w:r>
        <w:rPr>
          <w:color w:val="000000"/>
        </w:rPr>
        <w:t>S</w:t>
      </w:r>
      <w:r w:rsidR="00AD683D">
        <w:t xml:space="preserve">oftware developed and introduced </w:t>
      </w:r>
      <w:r w:rsidR="00AD683D" w:rsidRPr="000D6ACA">
        <w:t xml:space="preserve">for </w:t>
      </w:r>
      <w:r w:rsidR="007B130C" w:rsidRPr="000D6ACA">
        <w:t xml:space="preserve">processing </w:t>
      </w:r>
      <w:r w:rsidR="00AD683D" w:rsidRPr="000D6ACA">
        <w:t>psycholinguistic text</w:t>
      </w:r>
      <w:r w:rsidR="007B130C">
        <w:t>s to</w:t>
      </w:r>
      <w:r w:rsidR="00AD683D" w:rsidRPr="000D6ACA">
        <w:t xml:space="preserve"> </w:t>
      </w:r>
      <w:r w:rsidR="00B819DD" w:rsidRPr="000D6ACA">
        <w:t xml:space="preserve">speed up the processes and increase the quality of the forensic </w:t>
      </w:r>
      <w:r>
        <w:t>expertise provided</w:t>
      </w:r>
      <w:r w:rsidR="00B819DD" w:rsidRPr="000D6ACA">
        <w:t xml:space="preserve">.  </w:t>
      </w:r>
    </w:p>
    <w:p w14:paraId="04187F56" w14:textId="77777777" w:rsidR="00644C11" w:rsidRDefault="00644C11" w:rsidP="00D17538">
      <w:pPr>
        <w:pStyle w:val="ListParagraph"/>
      </w:pPr>
    </w:p>
    <w:p w14:paraId="4048A4A9" w14:textId="418929D1" w:rsidR="001E4C4E" w:rsidRDefault="00BA4280" w:rsidP="000561F4">
      <w:pPr>
        <w:pStyle w:val="ListParagraph"/>
        <w:numPr>
          <w:ilvl w:val="0"/>
          <w:numId w:val="1"/>
        </w:numPr>
        <w:ind w:left="450"/>
        <w:jc w:val="both"/>
      </w:pPr>
      <w:bookmarkStart w:id="9" w:name="OLE_LINK10"/>
      <w:bookmarkStart w:id="10" w:name="OLE_LINK11"/>
      <w:bookmarkStart w:id="11" w:name="_Hlk82434611"/>
      <w:r>
        <w:t>P</w:t>
      </w:r>
      <w:r w:rsidRPr="000D6ACA">
        <w:t>rofessional internship</w:t>
      </w:r>
      <w:r>
        <w:t xml:space="preserve">/exchange programme implemented to foster professional networks and gain in-depth practical knowledge </w:t>
      </w:r>
      <w:bookmarkEnd w:id="9"/>
      <w:bookmarkEnd w:id="10"/>
      <w:r w:rsidRPr="000D6ACA">
        <w:t xml:space="preserve">in the production of psycholinguistic expertise with a religious component </w:t>
      </w:r>
      <w:r>
        <w:t xml:space="preserve">with participation of 6 experts of </w:t>
      </w:r>
      <w:r w:rsidR="001E4C4E">
        <w:t xml:space="preserve">the </w:t>
      </w:r>
      <w:r>
        <w:t xml:space="preserve">State Forensic </w:t>
      </w:r>
      <w:r w:rsidR="001E4C4E">
        <w:t>Service</w:t>
      </w:r>
      <w:bookmarkEnd w:id="11"/>
      <w:r w:rsidR="003B1648">
        <w:t xml:space="preserve">, who visited </w:t>
      </w:r>
      <w:r w:rsidR="001E4C4E">
        <w:t>f</w:t>
      </w:r>
      <w:r w:rsidR="003B1648">
        <w:t xml:space="preserve">orensic </w:t>
      </w:r>
      <w:r w:rsidR="001E4C4E">
        <w:t>laboratories in Kazan (</w:t>
      </w:r>
      <w:r w:rsidR="003B1648">
        <w:t>Russia</w:t>
      </w:r>
      <w:r w:rsidR="001E4C4E">
        <w:t>n</w:t>
      </w:r>
      <w:r w:rsidR="003B1648">
        <w:t xml:space="preserve"> Federation</w:t>
      </w:r>
      <w:r w:rsidR="001E4C4E">
        <w:t>)</w:t>
      </w:r>
      <w:r w:rsidR="00483BF2">
        <w:t xml:space="preserve">to learn </w:t>
      </w:r>
      <w:r w:rsidR="001E4C4E">
        <w:t xml:space="preserve">about good practices in the provision of expertise in court cases dealing with </w:t>
      </w:r>
      <w:r w:rsidR="00483BF2">
        <w:t>terrorism and extremism.</w:t>
      </w:r>
    </w:p>
    <w:p w14:paraId="4086EF46" w14:textId="77777777" w:rsidR="001E4C4E" w:rsidRDefault="001E4C4E" w:rsidP="00D17538">
      <w:pPr>
        <w:pStyle w:val="ListParagraph"/>
        <w:ind w:left="450"/>
        <w:jc w:val="both"/>
      </w:pPr>
    </w:p>
    <w:p w14:paraId="4EACDFFF" w14:textId="5606DCD9" w:rsidR="000561F4" w:rsidRDefault="000561F4" w:rsidP="000561F4">
      <w:pPr>
        <w:pStyle w:val="ListParagraph"/>
        <w:numPr>
          <w:ilvl w:val="0"/>
          <w:numId w:val="1"/>
        </w:numPr>
        <w:ind w:left="450"/>
        <w:jc w:val="both"/>
      </w:pPr>
      <w:r>
        <w:t>Twenty-</w:t>
      </w:r>
      <w:r w:rsidR="00533C36">
        <w:t xml:space="preserve">eight </w:t>
      </w:r>
      <w:r w:rsidRPr="001627DE">
        <w:t>experts</w:t>
      </w:r>
      <w:r>
        <w:t xml:space="preserve"> (</w:t>
      </w:r>
      <w:r w:rsidR="00533C36">
        <w:t xml:space="preserve">20 </w:t>
      </w:r>
      <w:r>
        <w:t>women)</w:t>
      </w:r>
      <w:r w:rsidRPr="001627DE">
        <w:t xml:space="preserve"> </w:t>
      </w:r>
      <w:r>
        <w:t xml:space="preserve">trained in </w:t>
      </w:r>
      <w:r w:rsidRPr="001627DE">
        <w:t>psycho-linguistic and religiou</w:t>
      </w:r>
      <w:r>
        <w:t xml:space="preserve">s expertise </w:t>
      </w:r>
      <w:r w:rsidRPr="001627DE">
        <w:t>in criminal</w:t>
      </w:r>
      <w:r>
        <w:t xml:space="preserve"> </w:t>
      </w:r>
      <w:r w:rsidRPr="001627DE">
        <w:t>cases involving signs of extremism and te</w:t>
      </w:r>
      <w:r>
        <w:t xml:space="preserve">rrorism </w:t>
      </w:r>
      <w:r w:rsidRPr="004B64FA">
        <w:t xml:space="preserve">and </w:t>
      </w:r>
      <w:r>
        <w:t>participated in the</w:t>
      </w:r>
      <w:r w:rsidRPr="004B64FA">
        <w:t xml:space="preserve"> mentorship </w:t>
      </w:r>
      <w:r>
        <w:t>programme.</w:t>
      </w:r>
    </w:p>
    <w:p w14:paraId="49039D46" w14:textId="10932C4D" w:rsidR="00E475CE" w:rsidRDefault="000561F4" w:rsidP="000561F4">
      <w:pPr>
        <w:pStyle w:val="ListParagraph"/>
      </w:pPr>
      <w:r w:rsidRPr="004B64FA">
        <w:tab/>
      </w:r>
    </w:p>
    <w:p w14:paraId="3D4B37AC" w14:textId="6513E7D6" w:rsidR="00161D02" w:rsidRPr="000D6ACA" w:rsidRDefault="00627A1C" w:rsidP="00627A1C">
      <w:pPr>
        <w:ind w:left="-720"/>
        <w:rPr>
          <w:b/>
        </w:rPr>
      </w:pPr>
      <w:r w:rsidRPr="000D6ACA">
        <w:rPr>
          <w:b/>
          <w:bCs/>
          <w:color w:val="000000"/>
          <w:lang w:eastAsia="en-US"/>
        </w:rPr>
        <w:t xml:space="preserve">Indicate any additional analysis on how Gender Equality and </w:t>
      </w:r>
      <w:r w:rsidR="002F4BA2" w:rsidRPr="000D6ACA">
        <w:rPr>
          <w:b/>
          <w:bCs/>
          <w:color w:val="000000"/>
          <w:lang w:eastAsia="en-US"/>
        </w:rPr>
        <w:t>Women’s</w:t>
      </w:r>
      <w:r w:rsidRPr="000D6ACA">
        <w:rPr>
          <w:b/>
          <w:bCs/>
          <w:color w:val="000000"/>
          <w:lang w:eastAsia="en-US"/>
        </w:rPr>
        <w:t xml:space="preserve"> Empowerment and/or Youth Inclusion and Responsiveness has been ensured under this Outcome</w:t>
      </w:r>
      <w:r w:rsidR="00161D02" w:rsidRPr="000D6ACA">
        <w:rPr>
          <w:b/>
        </w:rPr>
        <w:t xml:space="preserve">: </w:t>
      </w:r>
      <w:r w:rsidR="00161D02" w:rsidRPr="000D6ACA">
        <w:rPr>
          <w:i/>
        </w:rPr>
        <w:t>(</w:t>
      </w:r>
      <w:proofErr w:type="gramStart"/>
      <w:r w:rsidR="00161D02" w:rsidRPr="000D6ACA">
        <w:rPr>
          <w:i/>
        </w:rPr>
        <w:t>1000 character</w:t>
      </w:r>
      <w:proofErr w:type="gramEnd"/>
      <w:r w:rsidR="00161D02" w:rsidRPr="000D6ACA">
        <w:rPr>
          <w:i/>
        </w:rPr>
        <w:t xml:space="preserve"> limit)</w:t>
      </w:r>
    </w:p>
    <w:p w14:paraId="44C37A98" w14:textId="77777777" w:rsidR="00FC41DD" w:rsidRPr="000D6ACA" w:rsidRDefault="00FC41DD" w:rsidP="00FC41DD">
      <w:pPr>
        <w:jc w:val="both"/>
      </w:pPr>
    </w:p>
    <w:p w14:paraId="041FA2DA" w14:textId="0180A247" w:rsidR="00FC41DD" w:rsidRPr="000D6ACA" w:rsidRDefault="00FC41DD" w:rsidP="00FC41DD">
      <w:pPr>
        <w:jc w:val="both"/>
      </w:pPr>
      <w:r w:rsidRPr="000D6ACA">
        <w:t>The Project regularly collect</w:t>
      </w:r>
      <w:r w:rsidR="00CC1090">
        <w:t>ed</w:t>
      </w:r>
      <w:r w:rsidRPr="000D6ACA">
        <w:t xml:space="preserve"> data on violent extremist prisoners, which </w:t>
      </w:r>
      <w:r w:rsidR="00CC1090">
        <w:t>was</w:t>
      </w:r>
      <w:r w:rsidRPr="000D6ACA">
        <w:t xml:space="preserve"> </w:t>
      </w:r>
      <w:r w:rsidR="002F4BA2" w:rsidRPr="000D6ACA">
        <w:t>analysed</w:t>
      </w:r>
      <w:r w:rsidRPr="000D6ACA">
        <w:t xml:space="preserve"> through </w:t>
      </w:r>
      <w:r w:rsidR="008B2779">
        <w:t xml:space="preserve">a </w:t>
      </w:r>
      <w:r w:rsidRPr="000D6ACA">
        <w:t xml:space="preserve">gender lens. </w:t>
      </w:r>
      <w:r w:rsidR="00CC1090">
        <w:t>D</w:t>
      </w:r>
      <w:r w:rsidRPr="000D6ACA">
        <w:t xml:space="preserve">ata shows that women make up approximately 54 </w:t>
      </w:r>
      <w:r w:rsidR="008B2779">
        <w:t>per cent</w:t>
      </w:r>
      <w:r w:rsidRPr="000D6ACA">
        <w:t xml:space="preserve"> of violent extremist offenders on probation. </w:t>
      </w:r>
      <w:r w:rsidR="008B2779">
        <w:t>As such, w</w:t>
      </w:r>
      <w:r w:rsidRPr="000D6ACA">
        <w:t xml:space="preserve">omen </w:t>
      </w:r>
      <w:r w:rsidR="00CC1090">
        <w:t>were</w:t>
      </w:r>
      <w:r w:rsidRPr="000D6ACA">
        <w:t xml:space="preserve"> specifically targeted for inclusion in rehabilitation programs with the probation service and with local self-government bodies in the community. </w:t>
      </w:r>
      <w:r w:rsidR="00A000B1" w:rsidRPr="000D6ACA">
        <w:t xml:space="preserve">Over </w:t>
      </w:r>
      <w:r w:rsidRPr="000D6ACA">
        <w:t xml:space="preserve">250 women prisoners </w:t>
      </w:r>
      <w:r w:rsidR="00CC1090">
        <w:t>were</w:t>
      </w:r>
      <w:r w:rsidR="00A000B1" w:rsidRPr="000D6ACA">
        <w:t xml:space="preserve"> </w:t>
      </w:r>
      <w:r w:rsidRPr="000D6ACA">
        <w:t xml:space="preserve">involved in rehabilitation programs through employment in sewing production and bakery in the </w:t>
      </w:r>
      <w:r w:rsidR="002F4BA2" w:rsidRPr="000D6ACA">
        <w:t>women’s</w:t>
      </w:r>
      <w:r w:rsidRPr="000D6ACA">
        <w:t xml:space="preserve"> prison. </w:t>
      </w:r>
    </w:p>
    <w:p w14:paraId="4CB74063" w14:textId="77777777" w:rsidR="00FC41DD" w:rsidRPr="000D6ACA" w:rsidRDefault="00FC41DD" w:rsidP="00FC41DD">
      <w:pPr>
        <w:jc w:val="both"/>
      </w:pPr>
    </w:p>
    <w:p w14:paraId="2D2E02D6" w14:textId="170E65A1" w:rsidR="00FC41DD" w:rsidRPr="000D6ACA" w:rsidRDefault="00FC41DD" w:rsidP="00FC41DD">
      <w:pPr>
        <w:jc w:val="both"/>
      </w:pPr>
      <w:r w:rsidRPr="000D6ACA">
        <w:t xml:space="preserve">Gender considerations were mainstreamed in needs assessment and public monitoring of conditions of male and female violent extremist offenders in open-type prisons and on probation. The methodology for the research included specific questions related to the needs of convicted women who were systematically interviewed. </w:t>
      </w:r>
    </w:p>
    <w:p w14:paraId="592FA2A8" w14:textId="77777777" w:rsidR="00FC41DD" w:rsidRPr="000D6ACA" w:rsidRDefault="00FC41DD" w:rsidP="00FC41DD">
      <w:pPr>
        <w:jc w:val="both"/>
      </w:pPr>
    </w:p>
    <w:p w14:paraId="0D8CB804" w14:textId="6B81B92E" w:rsidR="00E61A08" w:rsidRPr="000D6ACA" w:rsidRDefault="00FC41DD" w:rsidP="00E61A08">
      <w:pPr>
        <w:spacing w:before="120"/>
        <w:jc w:val="both"/>
      </w:pPr>
      <w:r w:rsidRPr="000D6ACA">
        <w:t xml:space="preserve">Capacity development for prison and probation staff </w:t>
      </w:r>
      <w:r w:rsidR="00CC1090">
        <w:t>was</w:t>
      </w:r>
      <w:r w:rsidR="00A26CF1" w:rsidRPr="000D6ACA">
        <w:t xml:space="preserve"> </w:t>
      </w:r>
      <w:r w:rsidRPr="000D6ACA">
        <w:t xml:space="preserve">based on a training module on the management of violent extremist prisoners, which includes skills building on working with women offenders. </w:t>
      </w:r>
      <w:r w:rsidR="00CC1090">
        <w:t>The project’s</w:t>
      </w:r>
      <w:r w:rsidRPr="000D6ACA">
        <w:t xml:space="preserve"> capacity-building </w:t>
      </w:r>
      <w:r w:rsidR="00CC1090">
        <w:t xml:space="preserve">component </w:t>
      </w:r>
      <w:r w:rsidRPr="000D6ACA">
        <w:t>also target</w:t>
      </w:r>
      <w:r w:rsidR="00CC1090">
        <w:t>ed</w:t>
      </w:r>
      <w:r w:rsidRPr="000D6ACA">
        <w:t xml:space="preserve"> local self-government bodies and other relevant community-based stakeholders on gender-sensitive post-release interventions, social support and risk management.</w:t>
      </w:r>
      <w:r w:rsidR="00E61A08" w:rsidRPr="00E61A08">
        <w:t xml:space="preserve"> </w:t>
      </w:r>
      <w:r w:rsidR="00E61A08">
        <w:t>The project trained over 1000</w:t>
      </w:r>
      <w:r w:rsidR="00E61A08" w:rsidRPr="000D6ACA">
        <w:t xml:space="preserve"> prison </w:t>
      </w:r>
      <w:r w:rsidR="00E61A08">
        <w:t xml:space="preserve">and </w:t>
      </w:r>
      <w:r w:rsidR="00E61A08" w:rsidRPr="000D6ACA">
        <w:t xml:space="preserve"> probation officers</w:t>
      </w:r>
      <w:r w:rsidR="00E61A08">
        <w:t>, including over 400 women staff</w:t>
      </w:r>
      <w:r w:rsidR="00E61A08" w:rsidRPr="000D6ACA">
        <w:t xml:space="preserve"> </w:t>
      </w:r>
      <w:r w:rsidR="00E61A08">
        <w:t>t</w:t>
      </w:r>
      <w:r w:rsidR="00E61A08" w:rsidRPr="000D6ACA">
        <w:t>o work with prisoners</w:t>
      </w:r>
      <w:r w:rsidR="00E61A08">
        <w:t xml:space="preserve">, including violent extremist prisoners, and </w:t>
      </w:r>
      <w:r w:rsidR="00E61A08" w:rsidRPr="000D6ACA">
        <w:t>probation clients, based on international standards and norms, including the UN Minimum Rules on Treatment</w:t>
      </w:r>
      <w:r w:rsidR="00E61A08">
        <w:t xml:space="preserve"> </w:t>
      </w:r>
      <w:r w:rsidR="00E61A08" w:rsidRPr="000D6ACA">
        <w:t xml:space="preserve">of </w:t>
      </w:r>
      <w:r w:rsidR="00E61A08" w:rsidRPr="000D6ACA">
        <w:lastRenderedPageBreak/>
        <w:t>Prisoners (Nelson Mandela Rules)</w:t>
      </w:r>
      <w:r w:rsidR="00325CC2">
        <w:t xml:space="preserve">, </w:t>
      </w:r>
      <w:r w:rsidR="00E61A08" w:rsidRPr="000D6ACA">
        <w:t xml:space="preserve">Treatment of Women Prisoners and Non-custodial Measures for Women Offenders (Bangkok Rules). </w:t>
      </w:r>
    </w:p>
    <w:p w14:paraId="137FFBD9" w14:textId="6AD6BB1C" w:rsidR="00FC41DD" w:rsidRPr="000D6ACA" w:rsidRDefault="00FC41DD" w:rsidP="00FC41DD">
      <w:pPr>
        <w:jc w:val="both"/>
      </w:pPr>
    </w:p>
    <w:p w14:paraId="0414E02A" w14:textId="4C9D5C32" w:rsidR="00DD426E" w:rsidRPr="000D6ACA" w:rsidRDefault="00DD426E" w:rsidP="00065A67">
      <w:pPr>
        <w:jc w:val="both"/>
      </w:pPr>
      <w:r w:rsidRPr="000D6ACA">
        <w:t xml:space="preserve">The project has committed to </w:t>
      </w:r>
      <w:r w:rsidR="008B2779">
        <w:t>spending</w:t>
      </w:r>
      <w:r w:rsidRPr="000D6ACA">
        <w:t xml:space="preserve"> 30 </w:t>
      </w:r>
      <w:r w:rsidR="008B2779">
        <w:t>per cent</w:t>
      </w:r>
      <w:r w:rsidRPr="000D6ACA">
        <w:t xml:space="preserve"> of the project budget to </w:t>
      </w:r>
      <w:r w:rsidR="008B2779">
        <w:t>gender-related</w:t>
      </w:r>
      <w:r w:rsidRPr="000D6ACA">
        <w:t xml:space="preserve"> aspects. The estimated overall budget spent on the gender-related interventions and initiatives with involvement of women participants, including those </w:t>
      </w:r>
      <w:r w:rsidR="0050629E" w:rsidRPr="000D6ACA">
        <w:t>covered</w:t>
      </w:r>
      <w:r w:rsidRPr="000D6ACA">
        <w:t xml:space="preserve"> in the project monitoring results, capacity building activities, and rehabilitation activities with </w:t>
      </w:r>
      <w:r w:rsidR="008B2779">
        <w:t xml:space="preserve">the </w:t>
      </w:r>
      <w:r w:rsidRPr="000D6ACA">
        <w:t xml:space="preserve">involvement of women, </w:t>
      </w:r>
      <w:r w:rsidRPr="002B0787">
        <w:t>etc.), reache</w:t>
      </w:r>
      <w:r w:rsidR="00065A67" w:rsidRPr="002B0787">
        <w:t>d</w:t>
      </w:r>
      <w:r w:rsidRPr="002B0787">
        <w:t xml:space="preserve"> the committed 30 </w:t>
      </w:r>
      <w:r w:rsidR="008B2779" w:rsidRPr="002B0787">
        <w:t>per cent</w:t>
      </w:r>
      <w:r w:rsidRPr="002B0787">
        <w:t xml:space="preserve"> ($</w:t>
      </w:r>
      <w:r w:rsidR="002B0787" w:rsidRPr="002B0787">
        <w:t>525,552</w:t>
      </w:r>
      <w:r w:rsidRPr="002B0787">
        <w:t>).</w:t>
      </w:r>
    </w:p>
    <w:p w14:paraId="49E0058F" w14:textId="77777777" w:rsidR="00DD426E" w:rsidRPr="000D6ACA" w:rsidRDefault="00DD426E" w:rsidP="00FC41DD">
      <w:pPr>
        <w:jc w:val="both"/>
      </w:pPr>
    </w:p>
    <w:p w14:paraId="09A3A0A6" w14:textId="35FE9ED2" w:rsidR="00161D02" w:rsidRPr="000D6ACA" w:rsidRDefault="00161D02" w:rsidP="00161D02">
      <w:pPr>
        <w:ind w:left="-720"/>
        <w:rPr>
          <w:b/>
        </w:rPr>
      </w:pPr>
    </w:p>
    <w:p w14:paraId="09F9EEE8" w14:textId="77777777" w:rsidR="00997347" w:rsidRPr="000D6ACA" w:rsidRDefault="00206D45" w:rsidP="008E3ECC">
      <w:pPr>
        <w:jc w:val="both"/>
        <w:rPr>
          <w:b/>
          <w:u w:val="single"/>
        </w:rPr>
      </w:pPr>
      <w:r w:rsidRPr="000D6ACA">
        <w:rPr>
          <w:b/>
          <w:u w:val="single"/>
        </w:rPr>
        <w:t xml:space="preserve">PART III: CROSS-CUTTING ISSUES </w:t>
      </w:r>
    </w:p>
    <w:p w14:paraId="544EE643" w14:textId="77777777" w:rsidR="00997347" w:rsidRPr="000D6ACA" w:rsidRDefault="00997347" w:rsidP="00997347"/>
    <w:tbl>
      <w:tblPr>
        <w:tblW w:w="90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310"/>
      </w:tblGrid>
      <w:tr w:rsidR="007A0633" w:rsidRPr="000D6ACA" w14:paraId="5DA4ADAE" w14:textId="77777777" w:rsidTr="000561F4">
        <w:tc>
          <w:tcPr>
            <w:tcW w:w="3780" w:type="dxa"/>
            <w:shd w:val="clear" w:color="auto" w:fill="auto"/>
          </w:tcPr>
          <w:p w14:paraId="7B20F7C4" w14:textId="19B68D85" w:rsidR="007A0633" w:rsidRPr="000D6ACA" w:rsidRDefault="007A0633" w:rsidP="007A0633">
            <w:pPr>
              <w:jc w:val="both"/>
            </w:pPr>
            <w:r w:rsidRPr="00056D72">
              <w:rPr>
                <w:b/>
                <w:bCs/>
              </w:rPr>
              <w:t>Monitoring:</w:t>
            </w:r>
            <w:r w:rsidRPr="000D6ACA">
              <w:t xml:space="preserve"> Please list monitoring activities undertaken in the reporting period (</w:t>
            </w:r>
            <w:r w:rsidR="004A2841" w:rsidRPr="000D6ACA">
              <w:t>1000-character</w:t>
            </w:r>
            <w:r w:rsidRPr="000D6ACA">
              <w:t xml:space="preserve"> limit)</w:t>
            </w:r>
          </w:p>
          <w:p w14:paraId="3ACE0607" w14:textId="77777777" w:rsidR="007A0633" w:rsidRPr="000D6ACA" w:rsidRDefault="007A0633" w:rsidP="007A0633">
            <w:pPr>
              <w:spacing w:before="120"/>
              <w:jc w:val="both"/>
            </w:pPr>
            <w:r w:rsidRPr="000D6ACA">
              <w:t>Implementation of the M&amp;E plan is coordinated with the PBF Secretariat, led by the Project Manager and M&amp;E Officer.</w:t>
            </w:r>
          </w:p>
          <w:p w14:paraId="11BE325F" w14:textId="77777777" w:rsidR="007A0633" w:rsidRPr="000D6ACA" w:rsidRDefault="007A0633" w:rsidP="000561F4">
            <w:pPr>
              <w:spacing w:before="120"/>
              <w:jc w:val="both"/>
            </w:pPr>
          </w:p>
        </w:tc>
        <w:tc>
          <w:tcPr>
            <w:tcW w:w="5310" w:type="dxa"/>
            <w:shd w:val="clear" w:color="auto" w:fill="auto"/>
          </w:tcPr>
          <w:p w14:paraId="1E38881B" w14:textId="77777777" w:rsidR="007A0633" w:rsidRPr="000561F4" w:rsidRDefault="007A0633" w:rsidP="007A0633">
            <w:r w:rsidRPr="000561F4">
              <w:t>Do outcome indicators have baselines? Yes</w:t>
            </w:r>
          </w:p>
          <w:p w14:paraId="79CA354B" w14:textId="77777777" w:rsidR="007A0633" w:rsidRPr="000561F4" w:rsidRDefault="007A0633" w:rsidP="007A0633"/>
          <w:p w14:paraId="5D6B7502" w14:textId="77777777" w:rsidR="007A0633" w:rsidRPr="000561F4" w:rsidRDefault="007A0633" w:rsidP="007A0633">
            <w:r w:rsidRPr="000561F4">
              <w:t xml:space="preserve">Has the project launched perception surveys or other community-based data collection? </w:t>
            </w:r>
          </w:p>
          <w:p w14:paraId="7E74A3D1" w14:textId="77777777" w:rsidR="007A0633" w:rsidRPr="000561F4" w:rsidRDefault="007A0633" w:rsidP="007A0633"/>
          <w:p w14:paraId="5BBD7DD0" w14:textId="6AAA0B00" w:rsidR="007A0633" w:rsidRPr="000561F4" w:rsidRDefault="000561F4" w:rsidP="007A0633">
            <w:pPr>
              <w:spacing w:before="120"/>
              <w:jc w:val="both"/>
            </w:pPr>
            <w:r w:rsidRPr="000561F4">
              <w:t>The</w:t>
            </w:r>
            <w:r w:rsidR="007A0633" w:rsidRPr="000561F4">
              <w:t xml:space="preserve"> project collected baseline data on the number of violent extremist prisoners disaggregated by type of crime and applicable sanction, gender, age and ethnic origin.</w:t>
            </w:r>
          </w:p>
          <w:p w14:paraId="56EAB2F0" w14:textId="39397AF2" w:rsidR="00E6762A" w:rsidRPr="00725771" w:rsidRDefault="007C78B2" w:rsidP="00E6762A">
            <w:pPr>
              <w:spacing w:before="120"/>
              <w:jc w:val="both"/>
            </w:pPr>
            <w:r>
              <w:t>In 2018, i</w:t>
            </w:r>
            <w:r w:rsidR="007A0633" w:rsidRPr="000561F4">
              <w:t xml:space="preserve">n-depth needs assessment </w:t>
            </w:r>
            <w:r w:rsidR="000561F4">
              <w:t>was</w:t>
            </w:r>
            <w:r w:rsidR="005019E6">
              <w:t xml:space="preserve"> </w:t>
            </w:r>
            <w:r w:rsidR="007A0633" w:rsidRPr="000561F4">
              <w:t>conducted, which provide</w:t>
            </w:r>
            <w:r w:rsidR="00BB4481">
              <w:t>d</w:t>
            </w:r>
            <w:r w:rsidR="007A0633" w:rsidRPr="000561F4">
              <w:t xml:space="preserve"> the baseline for planning and implementation of social rehabilitation programs for violent extremist offenders in prison, on probation, and post-release interventions</w:t>
            </w:r>
            <w:r w:rsidR="00E6762A" w:rsidRPr="00D17538">
              <w:t xml:space="preserve">, engaging </w:t>
            </w:r>
            <w:r>
              <w:t xml:space="preserve">over </w:t>
            </w:r>
            <w:r w:rsidR="00E6762A" w:rsidRPr="00725771">
              <w:t>10</w:t>
            </w:r>
            <w:r>
              <w:t>0</w:t>
            </w:r>
            <w:r w:rsidR="00E6762A" w:rsidRPr="00725771">
              <w:t xml:space="preserve"> representatives of local administrations, police, social protection and education bodies, civil society organizations, crisis rehabilitation centres, religious organizations.</w:t>
            </w:r>
            <w:r>
              <w:rPr>
                <w:b/>
                <w:bCs/>
              </w:rPr>
              <w:t xml:space="preserve"> </w:t>
            </w:r>
          </w:p>
          <w:p w14:paraId="798FF263" w14:textId="77777777" w:rsidR="005019E6" w:rsidRDefault="005019E6" w:rsidP="005019E6">
            <w:pPr>
              <w:pStyle w:val="Heading1"/>
              <w:shd w:val="clear" w:color="auto" w:fill="FFFFFF"/>
              <w:spacing w:before="0" w:after="0"/>
              <w:jc w:val="both"/>
              <w:rPr>
                <w:rFonts w:ascii="Times New Roman" w:hAnsi="Times New Roman"/>
                <w:b w:val="0"/>
                <w:bCs w:val="0"/>
                <w:kern w:val="0"/>
                <w:sz w:val="24"/>
                <w:szCs w:val="24"/>
                <w:lang w:val="en-GB" w:eastAsia="en-GB"/>
              </w:rPr>
            </w:pPr>
          </w:p>
          <w:p w14:paraId="34F91F4B" w14:textId="23150C92" w:rsidR="007A0633" w:rsidRPr="000561F4" w:rsidRDefault="007C78B2" w:rsidP="007A0633">
            <w:pPr>
              <w:pStyle w:val="Heading1"/>
              <w:shd w:val="clear" w:color="auto" w:fill="FFFFFF"/>
              <w:spacing w:before="0" w:after="240"/>
              <w:jc w:val="both"/>
              <w:rPr>
                <w:rFonts w:ascii="Times New Roman" w:hAnsi="Times New Roman"/>
                <w:b w:val="0"/>
                <w:bCs w:val="0"/>
                <w:kern w:val="0"/>
                <w:sz w:val="24"/>
                <w:szCs w:val="24"/>
                <w:lang w:val="en-GB" w:eastAsia="en-GB"/>
              </w:rPr>
            </w:pPr>
            <w:r>
              <w:rPr>
                <w:rFonts w:ascii="Times New Roman" w:hAnsi="Times New Roman"/>
                <w:b w:val="0"/>
                <w:bCs w:val="0"/>
                <w:kern w:val="0"/>
                <w:sz w:val="24"/>
                <w:szCs w:val="24"/>
                <w:lang w:val="en-GB" w:eastAsia="en-GB"/>
              </w:rPr>
              <w:t>In 2019,</w:t>
            </w:r>
            <w:r w:rsidRPr="007C78B2">
              <w:rPr>
                <w:rFonts w:ascii="Times New Roman" w:hAnsi="Times New Roman"/>
                <w:b w:val="0"/>
                <w:bCs w:val="0"/>
                <w:kern w:val="0"/>
                <w:sz w:val="24"/>
                <w:szCs w:val="24"/>
                <w:lang w:val="en-GB" w:eastAsia="en-GB"/>
              </w:rPr>
              <w:t xml:space="preserve"> </w:t>
            </w:r>
            <w:r>
              <w:rPr>
                <w:rFonts w:ascii="Times New Roman" w:hAnsi="Times New Roman"/>
                <w:b w:val="0"/>
                <w:bCs w:val="0"/>
                <w:kern w:val="0"/>
                <w:sz w:val="24"/>
                <w:szCs w:val="24"/>
                <w:lang w:val="en-GB" w:eastAsia="en-GB"/>
              </w:rPr>
              <w:t>the project</w:t>
            </w:r>
            <w:r w:rsidRPr="00D17538">
              <w:rPr>
                <w:rFonts w:ascii="Times New Roman" w:hAnsi="Times New Roman"/>
                <w:b w:val="0"/>
                <w:bCs w:val="0"/>
                <w:kern w:val="0"/>
                <w:sz w:val="24"/>
                <w:szCs w:val="24"/>
                <w:lang w:val="en-GB" w:eastAsia="en-GB"/>
              </w:rPr>
              <w:t xml:space="preserve"> experts conducted empirical research based on in-depth interviews with 32 individuals convicted for extremism and terrorism (serving their sentence in prison #27 where a prison wing </w:t>
            </w:r>
            <w:r w:rsidR="00E7146C">
              <w:rPr>
                <w:rFonts w:ascii="Times New Roman" w:hAnsi="Times New Roman"/>
                <w:b w:val="0"/>
                <w:bCs w:val="0"/>
                <w:kern w:val="0"/>
                <w:sz w:val="24"/>
                <w:szCs w:val="24"/>
                <w:lang w:val="en-GB" w:eastAsia="en-GB"/>
              </w:rPr>
              <w:t>was</w:t>
            </w:r>
            <w:r w:rsidRPr="00D17538">
              <w:rPr>
                <w:rFonts w:ascii="Times New Roman" w:hAnsi="Times New Roman"/>
                <w:b w:val="0"/>
                <w:bCs w:val="0"/>
                <w:kern w:val="0"/>
                <w:sz w:val="24"/>
                <w:szCs w:val="24"/>
                <w:lang w:val="en-GB" w:eastAsia="en-GB"/>
              </w:rPr>
              <w:t xml:space="preserve"> created </w:t>
            </w:r>
            <w:r w:rsidR="00E7146C">
              <w:rPr>
                <w:rFonts w:ascii="Times New Roman" w:hAnsi="Times New Roman"/>
                <w:b w:val="0"/>
                <w:bCs w:val="0"/>
                <w:kern w:val="0"/>
                <w:sz w:val="24"/>
                <w:szCs w:val="24"/>
                <w:lang w:val="en-GB" w:eastAsia="en-GB"/>
              </w:rPr>
              <w:t xml:space="preserve">to </w:t>
            </w:r>
            <w:r w:rsidRPr="00D17538">
              <w:rPr>
                <w:rFonts w:ascii="Times New Roman" w:hAnsi="Times New Roman"/>
                <w:b w:val="0"/>
                <w:bCs w:val="0"/>
                <w:kern w:val="0"/>
                <w:sz w:val="24"/>
                <w:szCs w:val="24"/>
                <w:lang w:val="en-GB" w:eastAsia="en-GB"/>
              </w:rPr>
              <w:t>accommodat</w:t>
            </w:r>
            <w:r w:rsidR="00E7146C">
              <w:rPr>
                <w:rFonts w:ascii="Times New Roman" w:hAnsi="Times New Roman"/>
                <w:b w:val="0"/>
                <w:bCs w:val="0"/>
                <w:kern w:val="0"/>
                <w:sz w:val="24"/>
                <w:szCs w:val="24"/>
                <w:lang w:val="en-GB" w:eastAsia="en-GB"/>
              </w:rPr>
              <w:t>e</w:t>
            </w:r>
            <w:r w:rsidRPr="00D17538">
              <w:rPr>
                <w:rFonts w:ascii="Times New Roman" w:hAnsi="Times New Roman"/>
                <w:b w:val="0"/>
                <w:bCs w:val="0"/>
                <w:kern w:val="0"/>
                <w:sz w:val="24"/>
                <w:szCs w:val="24"/>
                <w:lang w:val="en-GB" w:eastAsia="en-GB"/>
              </w:rPr>
              <w:t xml:space="preserve"> these prisoners). The study </w:t>
            </w:r>
            <w:r w:rsidR="005019E6" w:rsidRPr="00D17538">
              <w:rPr>
                <w:rFonts w:ascii="Times New Roman" w:hAnsi="Times New Roman"/>
                <w:b w:val="0"/>
                <w:bCs w:val="0"/>
                <w:kern w:val="0"/>
                <w:sz w:val="24"/>
                <w:szCs w:val="24"/>
                <w:lang w:val="en-GB" w:eastAsia="en-GB"/>
              </w:rPr>
              <w:t>analysed</w:t>
            </w:r>
            <w:r w:rsidRPr="00D17538">
              <w:rPr>
                <w:rFonts w:ascii="Times New Roman" w:hAnsi="Times New Roman"/>
                <w:b w:val="0"/>
                <w:bCs w:val="0"/>
                <w:kern w:val="0"/>
                <w:sz w:val="24"/>
                <w:szCs w:val="24"/>
                <w:lang w:val="en-GB" w:eastAsia="en-GB"/>
              </w:rPr>
              <w:t xml:space="preserve"> factors for mobilization into violent extremism</w:t>
            </w:r>
            <w:r w:rsidR="00E7146C">
              <w:rPr>
                <w:rFonts w:ascii="Times New Roman" w:hAnsi="Times New Roman"/>
                <w:b w:val="0"/>
                <w:bCs w:val="0"/>
                <w:kern w:val="0"/>
                <w:sz w:val="24"/>
                <w:szCs w:val="24"/>
                <w:lang w:val="en-GB" w:eastAsia="en-GB"/>
              </w:rPr>
              <w:t xml:space="preserve">, </w:t>
            </w:r>
            <w:r w:rsidRPr="000561F4">
              <w:rPr>
                <w:rFonts w:ascii="Times New Roman" w:hAnsi="Times New Roman"/>
                <w:b w:val="0"/>
                <w:bCs w:val="0"/>
                <w:kern w:val="0"/>
                <w:sz w:val="24"/>
                <w:szCs w:val="24"/>
                <w:lang w:val="en-GB" w:eastAsia="en-GB"/>
              </w:rPr>
              <w:t>exploring perceptions and attitudes of offenders</w:t>
            </w:r>
            <w:r w:rsidR="00E7146C">
              <w:rPr>
                <w:rFonts w:ascii="Times New Roman" w:hAnsi="Times New Roman"/>
                <w:b w:val="0"/>
                <w:bCs w:val="0"/>
                <w:kern w:val="0"/>
                <w:sz w:val="24"/>
                <w:szCs w:val="24"/>
                <w:lang w:val="en-GB" w:eastAsia="en-GB"/>
              </w:rPr>
              <w:t>.</w:t>
            </w:r>
          </w:p>
          <w:p w14:paraId="543262A0" w14:textId="53FEEED2" w:rsidR="007A0633" w:rsidRPr="000561F4" w:rsidRDefault="007A0633" w:rsidP="007A0633">
            <w:pPr>
              <w:spacing w:before="120"/>
              <w:jc w:val="both"/>
            </w:pPr>
            <w:r w:rsidRPr="000561F4">
              <w:t xml:space="preserve">In line with </w:t>
            </w:r>
            <w:r w:rsidR="00BB4481">
              <w:t>the</w:t>
            </w:r>
            <w:r w:rsidR="00BB4481" w:rsidRPr="000561F4">
              <w:t xml:space="preserve"> </w:t>
            </w:r>
            <w:r w:rsidRPr="000561F4">
              <w:t xml:space="preserve">M&amp;E plan, the project conducted </w:t>
            </w:r>
            <w:r w:rsidR="00E7146C">
              <w:t>public</w:t>
            </w:r>
            <w:r w:rsidR="00E7146C" w:rsidRPr="000561F4">
              <w:t xml:space="preserve"> </w:t>
            </w:r>
            <w:r w:rsidRPr="000561F4">
              <w:t>monitoring visits to open-type colonies and probation offices</w:t>
            </w:r>
            <w:r w:rsidR="00E7146C">
              <w:t>.</w:t>
            </w:r>
            <w:r w:rsidR="00E7146C" w:rsidRPr="000561F4">
              <w:t xml:space="preserve"> </w:t>
            </w:r>
            <w:r w:rsidR="008E4488">
              <w:t>I</w:t>
            </w:r>
            <w:r w:rsidR="00E7146C">
              <w:t xml:space="preserve">nterviews were conducted with </w:t>
            </w:r>
            <w:r w:rsidR="00E7146C" w:rsidRPr="00A054CE">
              <w:t>76 offenders, including 14 women in 4 open-type prisons and 11 probation locations.</w:t>
            </w:r>
            <w:r w:rsidR="00E7146C">
              <w:t xml:space="preserve"> The monitoring visit results </w:t>
            </w:r>
            <w:r w:rsidRPr="000561F4">
              <w:t xml:space="preserve">and recommendations </w:t>
            </w:r>
            <w:r w:rsidR="00E7146C">
              <w:t>were</w:t>
            </w:r>
            <w:r w:rsidRPr="000561F4">
              <w:t xml:space="preserve"> </w:t>
            </w:r>
            <w:r w:rsidR="008E4488">
              <w:t xml:space="preserve">published in a report, </w:t>
            </w:r>
            <w:r w:rsidRPr="000561F4">
              <w:t xml:space="preserve">shared and discussed with </w:t>
            </w:r>
            <w:r w:rsidR="00BB4481">
              <w:t xml:space="preserve">the </w:t>
            </w:r>
            <w:r w:rsidRPr="000561F4">
              <w:t>national counterparts.</w:t>
            </w:r>
            <w:r w:rsidR="007C78B2" w:rsidRPr="00D17538">
              <w:t xml:space="preserve"> </w:t>
            </w:r>
          </w:p>
          <w:p w14:paraId="2BFE80EC" w14:textId="0F113B1A" w:rsidR="000561F4" w:rsidRPr="000561F4" w:rsidRDefault="007A0633" w:rsidP="005019E6">
            <w:pPr>
              <w:spacing w:before="120"/>
              <w:jc w:val="both"/>
            </w:pPr>
            <w:r w:rsidRPr="000561F4">
              <w:lastRenderedPageBreak/>
              <w:t xml:space="preserve">Monitoring visits to Osh, Jalal-Abad and Chui provinces were undertaken to observe the implementation of new criminal and probation legislation. </w:t>
            </w:r>
            <w:r w:rsidR="008E4488">
              <w:t>As a result, m</w:t>
            </w:r>
            <w:r w:rsidRPr="000561F4">
              <w:t>easures</w:t>
            </w:r>
            <w:r w:rsidR="008E4488">
              <w:t xml:space="preserve"> were</w:t>
            </w:r>
            <w:r w:rsidRPr="000561F4">
              <w:t xml:space="preserve"> taken to improve coordination at the local level; probation office premises were allocated and co-</w:t>
            </w:r>
            <w:r w:rsidR="008E4488">
              <w:t>financed</w:t>
            </w:r>
            <w:r w:rsidRPr="000561F4">
              <w:t xml:space="preserve"> by local authorities.</w:t>
            </w:r>
          </w:p>
        </w:tc>
      </w:tr>
      <w:tr w:rsidR="007A0633" w:rsidRPr="000D6ACA" w14:paraId="497A166C" w14:textId="77777777" w:rsidTr="000561F4">
        <w:tc>
          <w:tcPr>
            <w:tcW w:w="3780" w:type="dxa"/>
            <w:shd w:val="clear" w:color="auto" w:fill="auto"/>
          </w:tcPr>
          <w:p w14:paraId="11A7E526" w14:textId="77777777" w:rsidR="007A0633" w:rsidRPr="000D6ACA" w:rsidRDefault="007A0633" w:rsidP="007A0633">
            <w:r w:rsidRPr="000D6ACA">
              <w:rPr>
                <w:b/>
                <w:bCs/>
                <w:u w:val="single"/>
              </w:rPr>
              <w:lastRenderedPageBreak/>
              <w:t>Evaluation:</w:t>
            </w:r>
            <w:r w:rsidRPr="000D6ACA">
              <w:t xml:space="preserve"> Has an evaluation been conducted during the reporting period?</w:t>
            </w:r>
          </w:p>
          <w:p w14:paraId="710E9CB9" w14:textId="77777777" w:rsidR="007A0633" w:rsidRPr="000D6ACA" w:rsidRDefault="007A0633" w:rsidP="007A0633"/>
          <w:p w14:paraId="589F4EB4" w14:textId="77777777" w:rsidR="007A0633" w:rsidRPr="000D6ACA" w:rsidRDefault="007A0633" w:rsidP="007A0633">
            <w:pPr>
              <w:jc w:val="both"/>
            </w:pPr>
            <w:r w:rsidRPr="000D6ACA">
              <w:t xml:space="preserve">The </w:t>
            </w:r>
            <w:r>
              <w:t>project management has launched</w:t>
            </w:r>
            <w:r w:rsidRPr="000D6ACA">
              <w:t xml:space="preserve"> </w:t>
            </w:r>
            <w:r>
              <w:t>the</w:t>
            </w:r>
            <w:r w:rsidRPr="000D6ACA">
              <w:t xml:space="preserve"> final </w:t>
            </w:r>
            <w:r>
              <w:t xml:space="preserve">independent project </w:t>
            </w:r>
            <w:r w:rsidRPr="000D6ACA">
              <w:t xml:space="preserve">evaluation </w:t>
            </w:r>
            <w:r>
              <w:t>in close coordination with the PBF Secretariat and PBSO</w:t>
            </w:r>
            <w:r w:rsidRPr="000D6ACA">
              <w:t xml:space="preserve">. </w:t>
            </w:r>
          </w:p>
          <w:p w14:paraId="729B4600" w14:textId="77777777" w:rsidR="007A0633" w:rsidRDefault="007A0633" w:rsidP="007A0633">
            <w:pPr>
              <w:jc w:val="both"/>
            </w:pPr>
          </w:p>
          <w:p w14:paraId="49D95C72" w14:textId="77777777" w:rsidR="007A0633" w:rsidRPr="000D6ACA" w:rsidRDefault="007A0633" w:rsidP="007A0633">
            <w:pPr>
              <w:jc w:val="both"/>
            </w:pPr>
          </w:p>
        </w:tc>
        <w:tc>
          <w:tcPr>
            <w:tcW w:w="5310" w:type="dxa"/>
            <w:shd w:val="clear" w:color="auto" w:fill="auto"/>
          </w:tcPr>
          <w:p w14:paraId="32BC515D" w14:textId="77777777" w:rsidR="007A0633" w:rsidRPr="000D6ACA" w:rsidRDefault="007A0633" w:rsidP="007A0633">
            <w:r w:rsidRPr="000D6ACA">
              <w:t>Overall project budget for monitoring and evaluation activities (response required):  $ 70 000</w:t>
            </w:r>
          </w:p>
          <w:p w14:paraId="7D8A2F5A" w14:textId="77777777" w:rsidR="007A0633" w:rsidRPr="000D6ACA" w:rsidRDefault="007A0633" w:rsidP="007A0633"/>
          <w:p w14:paraId="39479658" w14:textId="77777777" w:rsidR="007A0633" w:rsidRPr="000D6ACA" w:rsidRDefault="007A0633" w:rsidP="007A0633">
            <w:r w:rsidRPr="000D6ACA">
              <w:t xml:space="preserve">If </w:t>
            </w:r>
            <w:r>
              <w:t xml:space="preserve">the </w:t>
            </w:r>
            <w:r w:rsidRPr="000D6ACA">
              <w:t xml:space="preserve">project will end in </w:t>
            </w:r>
            <w:r>
              <w:t xml:space="preserve">the </w:t>
            </w:r>
            <w:r w:rsidRPr="000D6ACA">
              <w:t xml:space="preserve">next six months, describe the evaluation preparations </w:t>
            </w:r>
            <w:r w:rsidRPr="000D6ACA">
              <w:rPr>
                <w:i/>
              </w:rPr>
              <w:t>(</w:t>
            </w:r>
            <w:proofErr w:type="gramStart"/>
            <w:r w:rsidRPr="000D6ACA">
              <w:rPr>
                <w:i/>
              </w:rPr>
              <w:t>1500 character</w:t>
            </w:r>
            <w:proofErr w:type="gramEnd"/>
            <w:r w:rsidRPr="000D6ACA">
              <w:rPr>
                <w:i/>
              </w:rPr>
              <w:t xml:space="preserve"> limit)</w:t>
            </w:r>
            <w:r w:rsidRPr="000D6ACA">
              <w:t xml:space="preserve">: </w:t>
            </w:r>
          </w:p>
          <w:p w14:paraId="0A5F712F" w14:textId="77777777" w:rsidR="007A0633" w:rsidRDefault="007A0633" w:rsidP="007A0633"/>
          <w:p w14:paraId="0A85C8EE" w14:textId="1486E493" w:rsidR="007A0633" w:rsidRPr="000D6ACA" w:rsidRDefault="007A0633" w:rsidP="00D17538">
            <w:pPr>
              <w:jc w:val="both"/>
            </w:pPr>
            <w:r w:rsidRPr="000D6ACA">
              <w:t xml:space="preserve">The project team </w:t>
            </w:r>
            <w:r w:rsidR="00485D00">
              <w:t xml:space="preserve">launched the final project evaluation in March 2021, coordinated the </w:t>
            </w:r>
            <w:r w:rsidRPr="000D6ACA">
              <w:t xml:space="preserve">TOR </w:t>
            </w:r>
            <w:r>
              <w:t xml:space="preserve">for the final evaluation </w:t>
            </w:r>
            <w:r w:rsidR="00485D00">
              <w:t>with</w:t>
            </w:r>
            <w:r>
              <w:t xml:space="preserve"> the core learning partners and </w:t>
            </w:r>
            <w:r w:rsidR="00485D00">
              <w:t xml:space="preserve">recruited a team of independent evaluators </w:t>
            </w:r>
            <w:r>
              <w:t xml:space="preserve">– 1 international lead expert, 1 international prison expert and 1 national peacebuilding expert. The evaluation process is currently </w:t>
            </w:r>
            <w:r w:rsidR="00B83BA8">
              <w:t xml:space="preserve">in its final stages with a draft report ready for </w:t>
            </w:r>
            <w:r w:rsidR="00920B66">
              <w:t>submission</w:t>
            </w:r>
            <w:r w:rsidR="00485D00">
              <w:t xml:space="preserve"> </w:t>
            </w:r>
            <w:r w:rsidR="00B83BA8">
              <w:t xml:space="preserve">to </w:t>
            </w:r>
            <w:r w:rsidR="00E7146C">
              <w:t>project stakeholders</w:t>
            </w:r>
            <w:r w:rsidR="00B83BA8">
              <w:t xml:space="preserve"> for comments</w:t>
            </w:r>
          </w:p>
        </w:tc>
      </w:tr>
      <w:tr w:rsidR="007A0633" w:rsidRPr="000D6ACA" w14:paraId="6FDC197D" w14:textId="77777777" w:rsidTr="000561F4">
        <w:tc>
          <w:tcPr>
            <w:tcW w:w="3780" w:type="dxa"/>
            <w:shd w:val="clear" w:color="auto" w:fill="auto"/>
          </w:tcPr>
          <w:p w14:paraId="6BBAFD68" w14:textId="77777777" w:rsidR="007A0633" w:rsidRPr="000D6ACA" w:rsidRDefault="007A0633" w:rsidP="007A0633">
            <w:pPr>
              <w:jc w:val="both"/>
            </w:pPr>
            <w:r w:rsidRPr="000D6ACA">
              <w:rPr>
                <w:b/>
                <w:bCs/>
                <w:u w:val="single"/>
              </w:rPr>
              <w:t>Catalytic effects (financial)</w:t>
            </w:r>
            <w:r w:rsidRPr="000D6ACA">
              <w:rPr>
                <w:b/>
                <w:bCs/>
              </w:rPr>
              <w:t>:</w:t>
            </w:r>
            <w:r w:rsidRPr="000D6ACA">
              <w:t xml:space="preserve"> Indicate name of funding agent and amount of additional non-PBF funding support that has been leveraged by the project. </w:t>
            </w:r>
          </w:p>
          <w:p w14:paraId="7F986641" w14:textId="77777777" w:rsidR="007A0633" w:rsidRPr="000D6ACA" w:rsidRDefault="007A0633" w:rsidP="007A0633">
            <w:pPr>
              <w:jc w:val="both"/>
            </w:pPr>
          </w:p>
          <w:p w14:paraId="1497C5F9" w14:textId="77777777" w:rsidR="007A0633" w:rsidRDefault="007A0633" w:rsidP="007A0633">
            <w:pPr>
              <w:jc w:val="both"/>
            </w:pPr>
          </w:p>
          <w:p w14:paraId="1D92ACC3" w14:textId="77777777" w:rsidR="007A0633" w:rsidRDefault="007A0633" w:rsidP="007A0633">
            <w:pPr>
              <w:jc w:val="both"/>
            </w:pPr>
          </w:p>
          <w:p w14:paraId="1EFA7D5F" w14:textId="77777777" w:rsidR="007A0633" w:rsidRDefault="007A0633" w:rsidP="007A0633">
            <w:pPr>
              <w:jc w:val="both"/>
            </w:pPr>
          </w:p>
          <w:p w14:paraId="0AA878C3" w14:textId="77777777" w:rsidR="007A0633" w:rsidRDefault="007A0633" w:rsidP="007A0633">
            <w:pPr>
              <w:jc w:val="both"/>
            </w:pPr>
          </w:p>
          <w:p w14:paraId="7C2D7CBF" w14:textId="77777777" w:rsidR="007A0633" w:rsidRDefault="007A0633" w:rsidP="007A0633">
            <w:pPr>
              <w:jc w:val="both"/>
            </w:pPr>
          </w:p>
          <w:p w14:paraId="78179628" w14:textId="77777777" w:rsidR="007A0633" w:rsidRDefault="007A0633" w:rsidP="007A0633">
            <w:pPr>
              <w:jc w:val="both"/>
            </w:pPr>
          </w:p>
          <w:p w14:paraId="3BE87697" w14:textId="77777777" w:rsidR="007A0633" w:rsidRPr="000D6ACA" w:rsidRDefault="007A0633" w:rsidP="007A0633">
            <w:pPr>
              <w:jc w:val="both"/>
            </w:pPr>
          </w:p>
        </w:tc>
        <w:tc>
          <w:tcPr>
            <w:tcW w:w="5310" w:type="dxa"/>
            <w:shd w:val="clear" w:color="auto" w:fill="auto"/>
          </w:tcPr>
          <w:p w14:paraId="601A54A6" w14:textId="49CB3A42" w:rsidR="007A0633" w:rsidRDefault="007A0633" w:rsidP="007A0633">
            <w:pPr>
              <w:jc w:val="both"/>
            </w:pPr>
            <w:r>
              <w:t>1) R</w:t>
            </w:r>
            <w:r w:rsidRPr="000D6ACA">
              <w:t xml:space="preserve">egional project “Strengthening Community Resilience and Regional Cooperation for Prevention of Violent Extremism in Central Asia”, funded by the Government of Japan, implemented </w:t>
            </w:r>
            <w:r w:rsidR="00B83BA8">
              <w:t>by</w:t>
            </w:r>
            <w:r w:rsidRPr="000D6ACA">
              <w:t xml:space="preserve"> UNDP </w:t>
            </w:r>
            <w:r w:rsidR="00B83BA8">
              <w:t>in</w:t>
            </w:r>
            <w:r w:rsidRPr="000D6ACA">
              <w:t xml:space="preserve"> Kyrgyzstan, Kazakhstan, Tajikistan and Turkmenistan</w:t>
            </w:r>
            <w:r w:rsidR="00B83BA8">
              <w:t xml:space="preserve"> </w:t>
            </w:r>
            <w:r w:rsidR="006C6504">
              <w:t>during 2018-</w:t>
            </w:r>
            <w:r w:rsidRPr="000D6ACA">
              <w:t>202</w:t>
            </w:r>
            <w:r w:rsidR="006C6504">
              <w:t>1 (completed in March 2021)</w:t>
            </w:r>
            <w:r w:rsidRPr="000D6ACA">
              <w:t xml:space="preserve">. The project budget of UNDP in Kyrgyzstan </w:t>
            </w:r>
            <w:r w:rsidR="00B83BA8">
              <w:t>was</w:t>
            </w:r>
            <w:r w:rsidRPr="000D6ACA">
              <w:t xml:space="preserve"> 1.1 million USD. </w:t>
            </w:r>
          </w:p>
          <w:p w14:paraId="6D2E3D51" w14:textId="77777777" w:rsidR="007A0633" w:rsidRDefault="007A0633" w:rsidP="00D17538">
            <w:pPr>
              <w:jc w:val="both"/>
            </w:pPr>
            <w:r>
              <w:t>2) STRIVE EU (UNDP) – 330,000.00 USD allocated for preventing violent extremism at the local level, including capacity building of the probation institution.</w:t>
            </w:r>
          </w:p>
          <w:p w14:paraId="21F3448A" w14:textId="6F079D10" w:rsidR="007A0633" w:rsidRPr="006D71CD" w:rsidRDefault="007A0633" w:rsidP="007A0633">
            <w:pPr>
              <w:jc w:val="both"/>
            </w:pPr>
            <w:r>
              <w:t xml:space="preserve">3) </w:t>
            </w:r>
            <w:r w:rsidRPr="00057231">
              <w:t>Government of Qatar</w:t>
            </w:r>
            <w:r>
              <w:t xml:space="preserve"> (UNODC) </w:t>
            </w:r>
            <w:r w:rsidRPr="00542ECB">
              <w:t>Global Programme for the Implementation of the Doha Declaration</w:t>
            </w:r>
            <w:r>
              <w:t xml:space="preserve">, </w:t>
            </w:r>
            <w:r w:rsidRPr="006D71CD">
              <w:t>168,039 USD</w:t>
            </w:r>
            <w:r w:rsidRPr="00CE0D63">
              <w:t xml:space="preserve"> </w:t>
            </w:r>
            <w:r>
              <w:t xml:space="preserve">allocated for </w:t>
            </w:r>
            <w:r w:rsidRPr="006D71CD">
              <w:t>Kyrgyzstan</w:t>
            </w:r>
            <w:r>
              <w:t xml:space="preserve"> to implement</w:t>
            </w:r>
            <w:r w:rsidRPr="006D71CD">
              <w:t xml:space="preserve"> </w:t>
            </w:r>
            <w:r w:rsidRPr="00CE0D63">
              <w:t>Rehabilitation &amp; Social Integration of Prisoners (2018-2021) in 2 pilot penitentiary institutions in Kyrgyzstan</w:t>
            </w:r>
            <w:r w:rsidR="00B83BA8">
              <w:t>.</w:t>
            </w:r>
            <w:r w:rsidRPr="00CE0D63">
              <w:t xml:space="preserve"> </w:t>
            </w:r>
          </w:p>
          <w:p w14:paraId="0C991C35" w14:textId="46FBF7C7" w:rsidR="007A0633" w:rsidRPr="000D6ACA" w:rsidRDefault="007A0633" w:rsidP="007A0633">
            <w:pPr>
              <w:jc w:val="both"/>
            </w:pPr>
            <w:r>
              <w:t xml:space="preserve">4) </w:t>
            </w:r>
            <w:r w:rsidRPr="000D6ACA">
              <w:t xml:space="preserve">US State Department </w:t>
            </w:r>
            <w:r>
              <w:t>(UNODC) “</w:t>
            </w:r>
            <w:r w:rsidRPr="000D6ACA">
              <w:t>Returning Foreign Terrorist Fighters Detention Programme</w:t>
            </w:r>
            <w:r>
              <w:t>”</w:t>
            </w:r>
            <w:r w:rsidRPr="000D6ACA">
              <w:t xml:space="preserve"> (2019-2021) involving Iraq, Kazakhstan and Kyrgyzstan (overall budget 4 180 000 USD</w:t>
            </w:r>
            <w:r>
              <w:t>, incl.</w:t>
            </w:r>
            <w:r w:rsidRPr="000D6ACA">
              <w:t xml:space="preserve"> 750 000 </w:t>
            </w:r>
            <w:r>
              <w:t xml:space="preserve">USD </w:t>
            </w:r>
            <w:r w:rsidRPr="000D6ACA">
              <w:t>for Kyrgyzstan) supports further institutionalisation of work to strengthen prison and probation management to prevent radicalisation to violence.</w:t>
            </w:r>
          </w:p>
          <w:p w14:paraId="529316BC" w14:textId="61A0F4A7" w:rsidR="007A0633" w:rsidRPr="000D6ACA" w:rsidRDefault="007A0633" w:rsidP="007A0633">
            <w:pPr>
              <w:jc w:val="both"/>
            </w:pPr>
            <w:r w:rsidRPr="009D38CB">
              <w:rPr>
                <w:u w:val="single"/>
              </w:rPr>
              <w:lastRenderedPageBreak/>
              <w:t>Note</w:t>
            </w:r>
            <w:r>
              <w:t>: National a</w:t>
            </w:r>
            <w:r w:rsidRPr="000D6ACA">
              <w:t xml:space="preserve">uthorities allocated </w:t>
            </w:r>
            <w:r w:rsidR="005019E6">
              <w:t xml:space="preserve">the state budget </w:t>
            </w:r>
            <w:r w:rsidRPr="000D6ACA">
              <w:t xml:space="preserve">funds for the establishment of special wings accommodating violent extremist prisoners. Funds </w:t>
            </w:r>
            <w:r w:rsidR="005019E6">
              <w:t>were also</w:t>
            </w:r>
            <w:r w:rsidRPr="000D6ACA">
              <w:t xml:space="preserve"> allocated to develop software for a database of probation clients, which </w:t>
            </w:r>
            <w:r w:rsidR="008B55C0">
              <w:t>is to be</w:t>
            </w:r>
            <w:r w:rsidRPr="000D6ACA">
              <w:t xml:space="preserve"> </w:t>
            </w:r>
            <w:r w:rsidR="008B55C0">
              <w:t xml:space="preserve">integrated with the </w:t>
            </w:r>
            <w:r w:rsidRPr="000D6ACA">
              <w:t>new system for crime registration and criminal justice data collection</w:t>
            </w:r>
            <w:r w:rsidR="008B55C0">
              <w:t xml:space="preserve"> (unified e-crime registry)</w:t>
            </w:r>
            <w:r w:rsidRPr="000D6ACA">
              <w:t xml:space="preserve">. </w:t>
            </w:r>
          </w:p>
        </w:tc>
      </w:tr>
      <w:tr w:rsidR="007A0633" w:rsidRPr="000D6ACA" w14:paraId="7295A30D" w14:textId="77777777" w:rsidTr="000561F4">
        <w:tc>
          <w:tcPr>
            <w:tcW w:w="3780" w:type="dxa"/>
            <w:shd w:val="clear" w:color="auto" w:fill="auto"/>
          </w:tcPr>
          <w:p w14:paraId="69CABF87" w14:textId="77777777" w:rsidR="007A0633" w:rsidRPr="000D6ACA" w:rsidRDefault="007A0633" w:rsidP="007A0633">
            <w:pPr>
              <w:ind w:hanging="15"/>
            </w:pPr>
            <w:r w:rsidRPr="000D6ACA">
              <w:rPr>
                <w:b/>
                <w:bCs/>
                <w:u w:val="single"/>
              </w:rPr>
              <w:lastRenderedPageBreak/>
              <w:t>Other:</w:t>
            </w:r>
            <w:r w:rsidRPr="000D6ACA">
              <w:t xml:space="preserve"> Are there any other issues concerning project implementation that you want to share, including any capacity needs of the recipient organisations? </w:t>
            </w:r>
            <w:r w:rsidRPr="000D6ACA">
              <w:rPr>
                <w:i/>
                <w:iCs/>
              </w:rPr>
              <w:t>(</w:t>
            </w:r>
            <w:proofErr w:type="gramStart"/>
            <w:r w:rsidRPr="000D6ACA">
              <w:rPr>
                <w:i/>
                <w:iCs/>
              </w:rPr>
              <w:t>1500 character</w:t>
            </w:r>
            <w:proofErr w:type="gramEnd"/>
            <w:r w:rsidRPr="000D6ACA">
              <w:rPr>
                <w:i/>
                <w:iCs/>
              </w:rPr>
              <w:t xml:space="preserve"> limit)</w:t>
            </w:r>
          </w:p>
          <w:p w14:paraId="22228645" w14:textId="77777777" w:rsidR="007A0633" w:rsidRPr="000D6ACA" w:rsidRDefault="007A0633" w:rsidP="007A0633"/>
          <w:p w14:paraId="2185D1F2" w14:textId="77777777" w:rsidR="007A0633" w:rsidRPr="000D6ACA" w:rsidRDefault="007A0633" w:rsidP="007A0633">
            <w:pPr>
              <w:rPr>
                <w:b/>
                <w:bCs/>
                <w:u w:val="single"/>
              </w:rPr>
            </w:pPr>
          </w:p>
        </w:tc>
        <w:tc>
          <w:tcPr>
            <w:tcW w:w="5310" w:type="dxa"/>
            <w:shd w:val="clear" w:color="auto" w:fill="auto"/>
          </w:tcPr>
          <w:p w14:paraId="25D3F254" w14:textId="12EB702C" w:rsidR="007A0633" w:rsidRPr="000D6ACA" w:rsidRDefault="007A0633" w:rsidP="007A0633">
            <w:pPr>
              <w:pStyle w:val="ochacontenttext"/>
              <w:jc w:val="both"/>
              <w:rPr>
                <w:lang w:val="en-GB"/>
              </w:rPr>
            </w:pPr>
            <w:r w:rsidRPr="000D6ACA">
              <w:rPr>
                <w:rFonts w:ascii="Times New Roman" w:eastAsia="Times New Roman" w:hAnsi="Times New Roman"/>
                <w:color w:val="auto"/>
                <w:sz w:val="24"/>
                <w:lang w:val="en-GB" w:eastAsia="en-US"/>
              </w:rPr>
              <w:t>The COVID-19 outbreak and measures to prevent infection, such as quarantine, trade and travel restrictions, hampered project implementation</w:t>
            </w:r>
            <w:r w:rsidR="00B83BA8">
              <w:rPr>
                <w:rFonts w:ascii="Times New Roman" w:eastAsia="Times New Roman" w:hAnsi="Times New Roman"/>
                <w:color w:val="auto"/>
                <w:sz w:val="24"/>
                <w:lang w:val="en-GB" w:eastAsia="en-US"/>
              </w:rPr>
              <w:t xml:space="preserve"> during its latter stages (</w:t>
            </w:r>
            <w:r w:rsidR="00EA73D9">
              <w:rPr>
                <w:rFonts w:ascii="Times New Roman" w:eastAsia="Times New Roman" w:hAnsi="Times New Roman"/>
                <w:color w:val="auto"/>
                <w:sz w:val="24"/>
                <w:lang w:val="en-GB" w:eastAsia="en-US"/>
              </w:rPr>
              <w:t xml:space="preserve">from March </w:t>
            </w:r>
            <w:r w:rsidR="00B83BA8">
              <w:rPr>
                <w:rFonts w:ascii="Times New Roman" w:eastAsia="Times New Roman" w:hAnsi="Times New Roman"/>
                <w:color w:val="auto"/>
                <w:sz w:val="24"/>
                <w:lang w:val="en-GB" w:eastAsia="en-US"/>
              </w:rPr>
              <w:t>2020)</w:t>
            </w:r>
            <w:r w:rsidRPr="000D6ACA">
              <w:rPr>
                <w:rFonts w:ascii="Times New Roman" w:eastAsia="Times New Roman" w:hAnsi="Times New Roman"/>
                <w:color w:val="auto"/>
                <w:sz w:val="24"/>
                <w:lang w:val="en-GB" w:eastAsia="en-US"/>
              </w:rPr>
              <w:t xml:space="preserve">. </w:t>
            </w:r>
            <w:r w:rsidR="00B83BA8">
              <w:rPr>
                <w:rFonts w:ascii="Times New Roman" w:eastAsia="Times New Roman" w:hAnsi="Times New Roman"/>
                <w:color w:val="auto"/>
                <w:sz w:val="24"/>
                <w:lang w:val="en-GB" w:eastAsia="en-US"/>
              </w:rPr>
              <w:t>Turnover in the leadership of the prison service during the first phase of the project and p</w:t>
            </w:r>
            <w:r w:rsidR="00B83BA8" w:rsidRPr="00B83BA8">
              <w:rPr>
                <w:rFonts w:ascii="Times New Roman" w:eastAsia="Times New Roman" w:hAnsi="Times New Roman"/>
                <w:color w:val="auto"/>
                <w:sz w:val="24"/>
                <w:lang w:val="en-GB" w:eastAsia="en-US"/>
              </w:rPr>
              <w:t>olitical upheaval</w:t>
            </w:r>
            <w:r w:rsidR="00B83BA8">
              <w:rPr>
                <w:rFonts w:ascii="Times New Roman" w:eastAsia="Times New Roman" w:hAnsi="Times New Roman"/>
                <w:color w:val="auto"/>
                <w:sz w:val="24"/>
                <w:lang w:val="en-GB" w:eastAsia="en-US"/>
              </w:rPr>
              <w:t xml:space="preserve"> and</w:t>
            </w:r>
            <w:r w:rsidR="00B83BA8" w:rsidRPr="00B83BA8">
              <w:rPr>
                <w:rFonts w:ascii="Times New Roman" w:eastAsia="Times New Roman" w:hAnsi="Times New Roman"/>
                <w:color w:val="auto"/>
                <w:sz w:val="24"/>
                <w:lang w:val="en-GB" w:eastAsia="en-US"/>
              </w:rPr>
              <w:t xml:space="preserve"> changes in the government structure</w:t>
            </w:r>
            <w:r w:rsidR="00B83BA8">
              <w:rPr>
                <w:rFonts w:ascii="Times New Roman" w:eastAsia="Times New Roman" w:hAnsi="Times New Roman"/>
                <w:color w:val="auto"/>
                <w:sz w:val="24"/>
                <w:lang w:val="en-GB" w:eastAsia="en-US"/>
              </w:rPr>
              <w:t xml:space="preserve"> towards the end of the project (end 2020)</w:t>
            </w:r>
            <w:r w:rsidR="00B83BA8" w:rsidRPr="00B83BA8">
              <w:rPr>
                <w:rFonts w:ascii="Times New Roman" w:eastAsia="Times New Roman" w:hAnsi="Times New Roman"/>
                <w:color w:val="auto"/>
                <w:sz w:val="24"/>
                <w:lang w:val="en-GB" w:eastAsia="en-US"/>
              </w:rPr>
              <w:t xml:space="preserve"> </w:t>
            </w:r>
            <w:r w:rsidR="00EA73D9">
              <w:rPr>
                <w:rFonts w:ascii="Times New Roman" w:eastAsia="Times New Roman" w:hAnsi="Times New Roman"/>
                <w:color w:val="auto"/>
                <w:sz w:val="24"/>
                <w:lang w:val="en-GB" w:eastAsia="en-US"/>
              </w:rPr>
              <w:t>required t</w:t>
            </w:r>
            <w:r>
              <w:rPr>
                <w:rFonts w:ascii="Times New Roman" w:eastAsia="Times New Roman" w:hAnsi="Times New Roman"/>
                <w:color w:val="auto"/>
                <w:sz w:val="24"/>
                <w:lang w:val="en-GB" w:eastAsia="en-US"/>
              </w:rPr>
              <w:t>he</w:t>
            </w:r>
            <w:r w:rsidRPr="000D6ACA">
              <w:rPr>
                <w:rFonts w:ascii="Times New Roman" w:eastAsia="Times New Roman" w:hAnsi="Times New Roman"/>
                <w:color w:val="auto"/>
                <w:sz w:val="24"/>
                <w:lang w:val="en-GB" w:eastAsia="en-US"/>
              </w:rPr>
              <w:t xml:space="preserve"> </w:t>
            </w:r>
            <w:r>
              <w:rPr>
                <w:rFonts w:ascii="Times New Roman" w:eastAsia="Times New Roman" w:hAnsi="Times New Roman"/>
                <w:color w:val="auto"/>
                <w:sz w:val="24"/>
                <w:lang w:val="en-GB" w:eastAsia="en-US"/>
              </w:rPr>
              <w:t>p</w:t>
            </w:r>
            <w:r w:rsidRPr="000D6ACA">
              <w:rPr>
                <w:rFonts w:ascii="Times New Roman" w:eastAsia="Times New Roman" w:hAnsi="Times New Roman"/>
                <w:color w:val="auto"/>
                <w:sz w:val="24"/>
                <w:lang w:val="en-GB" w:eastAsia="en-US"/>
              </w:rPr>
              <w:t xml:space="preserve">roject </w:t>
            </w:r>
            <w:r>
              <w:rPr>
                <w:rFonts w:ascii="Times New Roman" w:eastAsia="Times New Roman" w:hAnsi="Times New Roman"/>
                <w:color w:val="auto"/>
                <w:sz w:val="24"/>
                <w:lang w:val="en-GB" w:eastAsia="en-US"/>
              </w:rPr>
              <w:t xml:space="preserve">team </w:t>
            </w:r>
            <w:r w:rsidRPr="000D6ACA">
              <w:rPr>
                <w:rFonts w:ascii="Times New Roman" w:eastAsia="Times New Roman" w:hAnsi="Times New Roman"/>
                <w:color w:val="auto"/>
                <w:sz w:val="24"/>
                <w:lang w:val="en-GB" w:eastAsia="en-US"/>
              </w:rPr>
              <w:t xml:space="preserve">to re-establish regular workflow with </w:t>
            </w:r>
            <w:r w:rsidR="00EA73D9">
              <w:rPr>
                <w:rFonts w:ascii="Times New Roman" w:eastAsia="Times New Roman" w:hAnsi="Times New Roman"/>
                <w:color w:val="auto"/>
                <w:sz w:val="24"/>
                <w:lang w:val="en-GB" w:eastAsia="en-US"/>
              </w:rPr>
              <w:t>national counterparts</w:t>
            </w:r>
            <w:r w:rsidRPr="000D6ACA">
              <w:rPr>
                <w:rFonts w:ascii="Times New Roman" w:eastAsia="Times New Roman" w:hAnsi="Times New Roman"/>
                <w:color w:val="auto"/>
                <w:sz w:val="24"/>
                <w:lang w:val="en-GB" w:eastAsia="en-US"/>
              </w:rPr>
              <w:t xml:space="preserve">. The establishment of prison rehabilitation programs and provision of international expert advice on forensic services in terrorism and extremism cases </w:t>
            </w:r>
            <w:r w:rsidR="00EA73D9">
              <w:rPr>
                <w:rFonts w:ascii="Times New Roman" w:eastAsia="Times New Roman" w:hAnsi="Times New Roman"/>
                <w:color w:val="auto"/>
                <w:sz w:val="24"/>
                <w:lang w:val="en-GB" w:eastAsia="en-US"/>
              </w:rPr>
              <w:t>were</w:t>
            </w:r>
            <w:r w:rsidRPr="000D6ACA">
              <w:rPr>
                <w:rFonts w:ascii="Times New Roman" w:eastAsia="Times New Roman" w:hAnsi="Times New Roman"/>
                <w:color w:val="auto"/>
                <w:sz w:val="24"/>
                <w:lang w:val="en-GB" w:eastAsia="en-US"/>
              </w:rPr>
              <w:t xml:space="preserve"> impacted. </w:t>
            </w:r>
          </w:p>
          <w:p w14:paraId="4F0449F2" w14:textId="76D6A360" w:rsidR="007A0633" w:rsidRPr="000D6ACA" w:rsidRDefault="007A0633" w:rsidP="00D17538">
            <w:pPr>
              <w:jc w:val="both"/>
            </w:pPr>
            <w:proofErr w:type="gramStart"/>
            <w:r w:rsidRPr="000D6ACA">
              <w:rPr>
                <w:snapToGrid w:val="0"/>
              </w:rPr>
              <w:t>Taking into account</w:t>
            </w:r>
            <w:proofErr w:type="gramEnd"/>
            <w:r w:rsidRPr="000D6ACA">
              <w:rPr>
                <w:snapToGrid w:val="0"/>
              </w:rPr>
              <w:t xml:space="preserve"> these factors and the evolving COVID-19 situation, </w:t>
            </w:r>
            <w:r w:rsidR="00EA73D9">
              <w:rPr>
                <w:snapToGrid w:val="0"/>
              </w:rPr>
              <w:t xml:space="preserve">PBSO granted </w:t>
            </w:r>
            <w:r>
              <w:rPr>
                <w:snapToGrid w:val="0"/>
              </w:rPr>
              <w:t xml:space="preserve">the project </w:t>
            </w:r>
            <w:r>
              <w:rPr>
                <w:szCs w:val="22"/>
              </w:rPr>
              <w:t xml:space="preserve">a </w:t>
            </w:r>
            <w:r w:rsidRPr="000D6ACA">
              <w:rPr>
                <w:szCs w:val="22"/>
              </w:rPr>
              <w:t xml:space="preserve">no-cost extension (for </w:t>
            </w:r>
            <w:r>
              <w:rPr>
                <w:szCs w:val="22"/>
              </w:rPr>
              <w:t>six</w:t>
            </w:r>
            <w:r w:rsidRPr="000D6ACA">
              <w:rPr>
                <w:szCs w:val="22"/>
              </w:rPr>
              <w:t xml:space="preserve"> months until July 11, 2021) to accomplish </w:t>
            </w:r>
            <w:r w:rsidR="00920B66">
              <w:rPr>
                <w:szCs w:val="22"/>
              </w:rPr>
              <w:t xml:space="preserve">the </w:t>
            </w:r>
            <w:r w:rsidRPr="000D6ACA">
              <w:rPr>
                <w:szCs w:val="22"/>
              </w:rPr>
              <w:t>planned activities.</w:t>
            </w:r>
          </w:p>
        </w:tc>
      </w:tr>
    </w:tbl>
    <w:p w14:paraId="1EDB62B0" w14:textId="77777777" w:rsidR="001B54AC" w:rsidRPr="000D6ACA" w:rsidRDefault="001B54AC" w:rsidP="001B54AC">
      <w:pPr>
        <w:rPr>
          <w:b/>
          <w:u w:val="single"/>
        </w:rPr>
      </w:pPr>
    </w:p>
    <w:p w14:paraId="5FECE0A1" w14:textId="1D72590E" w:rsidR="002F42CA" w:rsidRDefault="002F42CA" w:rsidP="001B54AC">
      <w:pPr>
        <w:rPr>
          <w:b/>
          <w:u w:val="single"/>
        </w:rPr>
      </w:pPr>
    </w:p>
    <w:p w14:paraId="3536F884" w14:textId="39AF0656" w:rsidR="001B54AC" w:rsidRPr="00824A68" w:rsidRDefault="00E83A40" w:rsidP="001B54AC">
      <w:pPr>
        <w:rPr>
          <w:b/>
          <w:u w:val="single"/>
        </w:rPr>
      </w:pPr>
      <w:bookmarkStart w:id="12" w:name="OLE_LINK251"/>
      <w:bookmarkStart w:id="13" w:name="OLE_LINK252"/>
      <w:bookmarkStart w:id="14" w:name="OLE_LINK253"/>
      <w:bookmarkStart w:id="15" w:name="OLE_LINK254"/>
      <w:r w:rsidRPr="00824A68">
        <w:rPr>
          <w:b/>
          <w:u w:val="single"/>
        </w:rPr>
        <w:t>PART IV: COVID-19</w:t>
      </w:r>
    </w:p>
    <w:bookmarkEnd w:id="12"/>
    <w:bookmarkEnd w:id="13"/>
    <w:p w14:paraId="02781BF2" w14:textId="0FFB9ED8" w:rsidR="00E83A40" w:rsidRPr="00824A68" w:rsidRDefault="00E83A40" w:rsidP="001B54AC">
      <w:pPr>
        <w:rPr>
          <w:b/>
          <w:u w:val="single"/>
        </w:rPr>
      </w:pPr>
      <w:r w:rsidRPr="00824A68">
        <w:rPr>
          <w:i/>
          <w:iCs/>
        </w:rPr>
        <w:t>Please respond to these questions if the project underwent any monetary or non-monetary adjustments due to the COVID-19 pandemic</w:t>
      </w:r>
      <w:r w:rsidR="00C70E7A" w:rsidRPr="00824A68">
        <w:rPr>
          <w:i/>
          <w:iCs/>
        </w:rPr>
        <w:t>.</w:t>
      </w:r>
    </w:p>
    <w:p w14:paraId="4AE5D756" w14:textId="77777777" w:rsidR="004E3B3E" w:rsidRPr="00824A68" w:rsidRDefault="004E3B3E" w:rsidP="00E83A40">
      <w:pPr>
        <w:pStyle w:val="ListParagraph"/>
      </w:pPr>
    </w:p>
    <w:p w14:paraId="2BA56957" w14:textId="7BCBD29F" w:rsidR="00E83A40" w:rsidRPr="00824A68" w:rsidRDefault="00257569" w:rsidP="008E3ECC">
      <w:pPr>
        <w:pStyle w:val="ListParagraph"/>
        <w:numPr>
          <w:ilvl w:val="0"/>
          <w:numId w:val="3"/>
        </w:numPr>
        <w:ind w:left="360"/>
      </w:pPr>
      <w:r w:rsidRPr="00824A68">
        <w:t xml:space="preserve">Monetary adjustments: </w:t>
      </w:r>
      <w:r w:rsidR="00E83A40" w:rsidRPr="00824A68">
        <w:t>Please indicate the total amount in USD of adjustments due to COVID-19:</w:t>
      </w:r>
    </w:p>
    <w:p w14:paraId="766D8856" w14:textId="77777777" w:rsidR="00E83A40" w:rsidRPr="00824A68" w:rsidRDefault="00E83A40" w:rsidP="008E3ECC"/>
    <w:p w14:paraId="3A7A0ECE" w14:textId="2DA36AE3" w:rsidR="00E83A40" w:rsidRPr="00824A68" w:rsidRDefault="008E3ECC" w:rsidP="00920B66">
      <w:pPr>
        <w:ind w:firstLine="360"/>
      </w:pPr>
      <w:r>
        <w:t>n/a</w:t>
      </w:r>
    </w:p>
    <w:p w14:paraId="50938D6B" w14:textId="77777777" w:rsidR="00E83A40" w:rsidRPr="00824A68" w:rsidRDefault="00E83A40" w:rsidP="008E3ECC"/>
    <w:p w14:paraId="42BC2B4F" w14:textId="77C65F92" w:rsidR="00E83A40" w:rsidRPr="00824A68" w:rsidRDefault="00C55E8E" w:rsidP="008E3ECC">
      <w:pPr>
        <w:pStyle w:val="ListParagraph"/>
        <w:numPr>
          <w:ilvl w:val="0"/>
          <w:numId w:val="3"/>
        </w:numPr>
        <w:ind w:left="360"/>
      </w:pPr>
      <w:r w:rsidRPr="00824A68">
        <w:t xml:space="preserve">Non-monetary adjustments: </w:t>
      </w:r>
      <w:r w:rsidR="00E83A40" w:rsidRPr="00824A68">
        <w:t>Please indicate any adjustments</w:t>
      </w:r>
      <w:r w:rsidR="00257569" w:rsidRPr="00824A68">
        <w:t xml:space="preserve"> to the project</w:t>
      </w:r>
      <w:r w:rsidR="00E83A40" w:rsidRPr="00824A68">
        <w:t xml:space="preserve"> which did not have any financial implications:</w:t>
      </w:r>
    </w:p>
    <w:p w14:paraId="6939F7F8" w14:textId="77777777" w:rsidR="00E83A40" w:rsidRPr="00824A68" w:rsidRDefault="00E83A40" w:rsidP="008E3ECC"/>
    <w:p w14:paraId="26DDCF88" w14:textId="77777777" w:rsidR="008E0162" w:rsidRDefault="008E0162" w:rsidP="008E3ECC">
      <w:pPr>
        <w:jc w:val="both"/>
      </w:pPr>
      <w:r>
        <w:t>n/a</w:t>
      </w:r>
    </w:p>
    <w:p w14:paraId="3779C9A2" w14:textId="0B89EEE4" w:rsidR="00257569" w:rsidRPr="00824A68" w:rsidRDefault="00257569" w:rsidP="00257569"/>
    <w:p w14:paraId="59BC82AF" w14:textId="2B9AA913" w:rsidR="00257569" w:rsidRPr="00824A68" w:rsidRDefault="00257569" w:rsidP="008E3ECC">
      <w:pPr>
        <w:pStyle w:val="ListParagraph"/>
        <w:numPr>
          <w:ilvl w:val="0"/>
          <w:numId w:val="3"/>
        </w:numPr>
        <w:ind w:left="360"/>
      </w:pPr>
      <w:r w:rsidRPr="00824A68">
        <w:t>Please select all categories which describe the adjustments made to the project (</w:t>
      </w:r>
      <w:r w:rsidRPr="00824A68">
        <w:rPr>
          <w:i/>
          <w:iCs/>
        </w:rPr>
        <w:t>and include details in general sections of</w:t>
      </w:r>
      <w:r w:rsidR="00C55E8E" w:rsidRPr="00824A68">
        <w:rPr>
          <w:i/>
          <w:iCs/>
        </w:rPr>
        <w:t xml:space="preserve"> this</w:t>
      </w:r>
      <w:r w:rsidRPr="00824A68">
        <w:rPr>
          <w:i/>
          <w:iCs/>
        </w:rPr>
        <w:t xml:space="preserve"> report</w:t>
      </w:r>
      <w:r w:rsidRPr="00824A68">
        <w:t>):</w:t>
      </w:r>
    </w:p>
    <w:p w14:paraId="13758056" w14:textId="77777777" w:rsidR="00257569" w:rsidRPr="00824A68" w:rsidRDefault="00257569" w:rsidP="00257569"/>
    <w:p w14:paraId="2697C025" w14:textId="258639C8" w:rsidR="00257569" w:rsidRPr="00824A68" w:rsidRDefault="00F17F94" w:rsidP="00257569">
      <w:sdt>
        <w:sdtPr>
          <w:id w:val="402566072"/>
          <w14:checkbox>
            <w14:checked w14:val="1"/>
            <w14:checkedState w14:val="2612" w14:font="MS Gothic"/>
            <w14:uncheckedState w14:val="2610" w14:font="MS Gothic"/>
          </w14:checkbox>
        </w:sdtPr>
        <w:sdtEndPr/>
        <w:sdtContent>
          <w:r w:rsidR="00B91348">
            <w:rPr>
              <w:rFonts w:ascii="MS Gothic" w:eastAsia="MS Gothic" w:hAnsi="MS Gothic" w:hint="eastAsia"/>
            </w:rPr>
            <w:t>☒</w:t>
          </w:r>
        </w:sdtContent>
      </w:sdt>
      <w:r w:rsidR="00257569" w:rsidRPr="00824A68">
        <w:t xml:space="preserve"> Reinforce crisis management capacities and communications</w:t>
      </w:r>
    </w:p>
    <w:p w14:paraId="26B30B5B" w14:textId="25FE9730" w:rsidR="00257569" w:rsidRPr="00824A68" w:rsidRDefault="00F17F94" w:rsidP="00257569">
      <w:sdt>
        <w:sdtPr>
          <w:id w:val="1706904896"/>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Ensure inclusive and equitable response and recovery</w:t>
      </w:r>
    </w:p>
    <w:p w14:paraId="3DC77993" w14:textId="7C388445" w:rsidR="00257569" w:rsidRPr="00824A68" w:rsidRDefault="00F17F94" w:rsidP="00257569">
      <w:sdt>
        <w:sdtPr>
          <w:id w:val="1028075960"/>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Strengthen inter-community social cohesion and border management</w:t>
      </w:r>
    </w:p>
    <w:p w14:paraId="545EB12E" w14:textId="502A662F" w:rsidR="00257569" w:rsidRPr="00824A68" w:rsidRDefault="00F17F94" w:rsidP="00257569">
      <w:sdt>
        <w:sdtPr>
          <w:id w:val="1433550173"/>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Counter hate speech and </w:t>
      </w:r>
      <w:r w:rsidR="002F4BA2" w:rsidRPr="00824A68">
        <w:t>stigmatisation</w:t>
      </w:r>
      <w:r w:rsidR="00257569" w:rsidRPr="00824A68">
        <w:t xml:space="preserve"> and address trauma</w:t>
      </w:r>
    </w:p>
    <w:p w14:paraId="6C3CF8C3" w14:textId="77777777" w:rsidR="00257569" w:rsidRPr="00824A68" w:rsidRDefault="00257569" w:rsidP="00257569"/>
    <w:p w14:paraId="1FEA3E7A" w14:textId="0B33BDFF" w:rsidR="00257569" w:rsidRPr="00824A68" w:rsidRDefault="00F17F94" w:rsidP="00257569">
      <w:sdt>
        <w:sdtPr>
          <w:id w:val="-197162951"/>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Support the </w:t>
      </w:r>
      <w:r w:rsidR="002F4BA2" w:rsidRPr="00824A68">
        <w:t>SG’s</w:t>
      </w:r>
      <w:r w:rsidR="00257569" w:rsidRPr="00824A68">
        <w:t xml:space="preserve"> call for a global ceasefire</w:t>
      </w:r>
    </w:p>
    <w:p w14:paraId="7C896228" w14:textId="553DDBB9" w:rsidR="00AA6738" w:rsidRDefault="00F17F94" w:rsidP="00AA6738">
      <w:pPr>
        <w:jc w:val="both"/>
      </w:pPr>
      <w:sdt>
        <w:sdtPr>
          <w:id w:val="810906333"/>
          <w14:checkbox>
            <w14:checked w14:val="1"/>
            <w14:checkedState w14:val="2612" w14:font="MS Gothic"/>
            <w14:uncheckedState w14:val="2610" w14:font="MS Gothic"/>
          </w14:checkbox>
        </w:sdtPr>
        <w:sdtEndPr/>
        <w:sdtContent>
          <w:r w:rsidR="00AA6738">
            <w:rPr>
              <w:rFonts w:ascii="MS Gothic" w:eastAsia="MS Gothic" w:hAnsi="MS Gothic" w:hint="eastAsia"/>
            </w:rPr>
            <w:t>☒</w:t>
          </w:r>
        </w:sdtContent>
      </w:sdt>
      <w:r w:rsidR="00257569" w:rsidRPr="00824A68">
        <w:t xml:space="preserve"> Other (please describe): </w:t>
      </w:r>
      <w:r w:rsidR="008E0162">
        <w:t>The project supported d</w:t>
      </w:r>
      <w:r w:rsidR="00AA6738" w:rsidRPr="000D6ACA">
        <w:t>evelopment and adoption of a new Law on Amnesty</w:t>
      </w:r>
      <w:r w:rsidR="008E0162">
        <w:t xml:space="preserve">. This was not specifically </w:t>
      </w:r>
      <w:r w:rsidR="005E1228">
        <w:t>planned but</w:t>
      </w:r>
      <w:r w:rsidR="008E0162">
        <w:t xml:space="preserve"> was deemed a useful adjustment to prevent the risk of a COVID-19 outbreak in Kyrgyzstan’s prisons</w:t>
      </w:r>
      <w:r w:rsidR="00AA6738" w:rsidRPr="000D6ACA">
        <w:t xml:space="preserve">. </w:t>
      </w:r>
      <w:r w:rsidR="00AA6738">
        <w:t>Five hundred twenty-seven</w:t>
      </w:r>
      <w:r w:rsidR="00AA6738" w:rsidRPr="000D6ACA">
        <w:t xml:space="preserve"> </w:t>
      </w:r>
      <w:r w:rsidR="00AA6738">
        <w:t xml:space="preserve">(527) </w:t>
      </w:r>
      <w:r w:rsidR="00AA6738" w:rsidRPr="000D6ACA">
        <w:t>prisoners</w:t>
      </w:r>
      <w:r w:rsidR="008E0162">
        <w:t xml:space="preserve"> had their</w:t>
      </w:r>
      <w:r w:rsidR="00AA6738">
        <w:t xml:space="preserve"> sentences</w:t>
      </w:r>
      <w:r w:rsidR="00AA6738" w:rsidRPr="000D6ACA">
        <w:t xml:space="preserve"> </w:t>
      </w:r>
      <w:r w:rsidR="008E0162">
        <w:t>reduced</w:t>
      </w:r>
      <w:r w:rsidR="00AA6738" w:rsidRPr="000D6ACA">
        <w:t xml:space="preserve"> and 44 prisoners convicted for less serious crimes </w:t>
      </w:r>
      <w:r w:rsidR="008E0162">
        <w:t>were</w:t>
      </w:r>
      <w:r w:rsidR="00AA6738" w:rsidRPr="000D6ACA">
        <w:t xml:space="preserve"> released under this law. </w:t>
      </w:r>
    </w:p>
    <w:p w14:paraId="57416BD3" w14:textId="2B412085" w:rsidR="00257569" w:rsidRPr="00824A68" w:rsidRDefault="00257569" w:rsidP="001B54AC"/>
    <w:p w14:paraId="57122498" w14:textId="0EC1AA1B" w:rsidR="00257569" w:rsidRPr="00824A68" w:rsidRDefault="00257569" w:rsidP="00257569">
      <w:r w:rsidRPr="00824A68">
        <w:t>If relevant, please share a COVID-19 success story of this project (</w:t>
      </w:r>
      <w:r w:rsidRPr="00824A68">
        <w:rPr>
          <w:i/>
          <w:iCs/>
        </w:rPr>
        <w:t>i.e. how adjustments of this project made a difference and contributed to a positive response to the pandemic</w:t>
      </w:r>
      <w:r w:rsidR="0094196C" w:rsidRPr="00824A68">
        <w:rPr>
          <w:i/>
          <w:iCs/>
        </w:rPr>
        <w:t>/prevented tensions or violence related to the pandemic etc.</w:t>
      </w:r>
      <w:r w:rsidRPr="00824A68">
        <w:t>)</w:t>
      </w:r>
    </w:p>
    <w:p w14:paraId="33D931B2" w14:textId="77777777" w:rsidR="0094196C" w:rsidRPr="00557261" w:rsidRDefault="0094196C" w:rsidP="00257569">
      <w:pPr>
        <w:rPr>
          <w:highlight w:val="cyan"/>
        </w:rPr>
      </w:pPr>
    </w:p>
    <w:bookmarkEnd w:id="14"/>
    <w:bookmarkEnd w:id="15"/>
    <w:p w14:paraId="5F947E12" w14:textId="48C551AE" w:rsidR="007766A5" w:rsidRPr="008E3ECC" w:rsidRDefault="007766A5" w:rsidP="00D17538">
      <w:pPr>
        <w:jc w:val="both"/>
        <w:rPr>
          <w:rFonts w:asciiTheme="majorBidi" w:hAnsiTheme="majorBidi" w:cstheme="majorBidi"/>
          <w:i/>
          <w:iCs/>
          <w:lang w:val="en-US" w:eastAsia="zh-CN"/>
        </w:rPr>
      </w:pPr>
      <w:r w:rsidRPr="008E3ECC">
        <w:rPr>
          <w:rFonts w:asciiTheme="majorBidi" w:hAnsiTheme="majorBidi" w:cstheme="majorBidi"/>
          <w:b/>
          <w:bCs/>
          <w:i/>
          <w:iCs/>
          <w:color w:val="000000"/>
          <w:lang w:val="en-US" w:eastAsia="zh-CN"/>
        </w:rPr>
        <w:t>Providing a new chance for prisoners in Kyrgyzstan: UNODC Supports Measures to Improve Prison Conditions and Implement Social Rehabilitation Programs for Prisoners in the Kyrgyz Republic </w:t>
      </w:r>
    </w:p>
    <w:p w14:paraId="5EB562B6" w14:textId="77777777" w:rsidR="007766A5" w:rsidRPr="008E3ECC" w:rsidRDefault="007766A5" w:rsidP="007766A5">
      <w:pPr>
        <w:rPr>
          <w:i/>
          <w:iCs/>
          <w:lang w:val="en-US" w:eastAsia="zh-CN"/>
        </w:rPr>
      </w:pPr>
    </w:p>
    <w:p w14:paraId="53590433" w14:textId="41231E26" w:rsidR="007766A5" w:rsidRPr="008E3ECC" w:rsidRDefault="007766A5" w:rsidP="00D17538">
      <w:pPr>
        <w:jc w:val="both"/>
        <w:rPr>
          <w:i/>
          <w:iCs/>
        </w:rPr>
      </w:pPr>
      <w:r w:rsidRPr="008E3ECC">
        <w:rPr>
          <w:i/>
          <w:iCs/>
        </w:rPr>
        <w:t xml:space="preserve">Despite the widely understood notion that imprisonment should be designed to rehabilitate prisoners ahead of their release, rather than simply punish them for crimes committed, far too often countries lack the resources to put into place structured programmes to </w:t>
      </w:r>
      <w:r w:rsidR="00AF5B7B">
        <w:rPr>
          <w:i/>
          <w:iCs/>
        </w:rPr>
        <w:t>reduce</w:t>
      </w:r>
      <w:r w:rsidRPr="008E3ECC">
        <w:rPr>
          <w:i/>
          <w:iCs/>
        </w:rPr>
        <w:t xml:space="preserve"> reoffending. In Kyrgyzstan, as in many parts of the world, this is a challenge for authorities</w:t>
      </w:r>
      <w:r w:rsidR="00AF5B7B">
        <w:rPr>
          <w:i/>
          <w:iCs/>
        </w:rPr>
        <w:t>, which struggle to offer</w:t>
      </w:r>
      <w:r w:rsidR="005E1228">
        <w:rPr>
          <w:i/>
          <w:iCs/>
        </w:rPr>
        <w:t xml:space="preserve"> </w:t>
      </w:r>
      <w:r w:rsidR="00AF5B7B">
        <w:rPr>
          <w:i/>
          <w:iCs/>
        </w:rPr>
        <w:t>vocational</w:t>
      </w:r>
      <w:r w:rsidRPr="008E3ECC">
        <w:rPr>
          <w:i/>
          <w:iCs/>
        </w:rPr>
        <w:t xml:space="preserve"> training </w:t>
      </w:r>
      <w:r w:rsidR="00AF5B7B">
        <w:rPr>
          <w:i/>
          <w:iCs/>
        </w:rPr>
        <w:t>and employment opportunities, thus</w:t>
      </w:r>
      <w:r w:rsidRPr="008E3ECC">
        <w:rPr>
          <w:i/>
          <w:iCs/>
        </w:rPr>
        <w:t xml:space="preserve"> hampering social reintegration</w:t>
      </w:r>
      <w:r w:rsidR="00AF5B7B">
        <w:rPr>
          <w:i/>
          <w:iCs/>
        </w:rPr>
        <w:t xml:space="preserve"> of offenders</w:t>
      </w:r>
      <w:r w:rsidRPr="008E3ECC">
        <w:rPr>
          <w:i/>
          <w:iCs/>
        </w:rPr>
        <w:t xml:space="preserve">. Indeed, out of the country’s 9,000 prisoners, only 2,000 are currently involved in some form of work programme with a view to foster rehabilitation, an issue recognized by the </w:t>
      </w:r>
      <w:r w:rsidR="00AF5B7B">
        <w:rPr>
          <w:i/>
          <w:iCs/>
        </w:rPr>
        <w:t>prison service.</w:t>
      </w:r>
    </w:p>
    <w:p w14:paraId="2733A1FC" w14:textId="77777777" w:rsidR="005E1228" w:rsidRDefault="005E1228" w:rsidP="002E620A">
      <w:pPr>
        <w:jc w:val="both"/>
        <w:rPr>
          <w:i/>
          <w:iCs/>
        </w:rPr>
      </w:pPr>
    </w:p>
    <w:p w14:paraId="341C9DE0" w14:textId="4201CF4A" w:rsidR="002E620A" w:rsidRPr="008E3ECC" w:rsidRDefault="007766A5" w:rsidP="002E620A">
      <w:pPr>
        <w:jc w:val="both"/>
        <w:rPr>
          <w:rFonts w:asciiTheme="majorBidi" w:hAnsiTheme="majorBidi" w:cstheme="majorBidi"/>
          <w:i/>
          <w:iCs/>
          <w:color w:val="000000"/>
          <w:lang w:val="en-US" w:eastAsia="zh-CN"/>
        </w:rPr>
      </w:pPr>
      <w:r w:rsidRPr="008E3ECC">
        <w:rPr>
          <w:i/>
          <w:iCs/>
        </w:rPr>
        <w:t>As part of UNODC’s efforts to overcome issues such as this and promote prisoner rehabilitation, the organization launched a set of new initiatives in Kyrgyzstan</w:t>
      </w:r>
      <w:r w:rsidR="00AF5B7B">
        <w:rPr>
          <w:i/>
          <w:iCs/>
        </w:rPr>
        <w:t>.</w:t>
      </w:r>
      <w:r w:rsidRPr="008E3ECC">
        <w:rPr>
          <w:i/>
          <w:iCs/>
        </w:rPr>
        <w:t xml:space="preserve"> </w:t>
      </w:r>
      <w:r w:rsidR="00AF5B7B">
        <w:rPr>
          <w:i/>
          <w:iCs/>
        </w:rPr>
        <w:t xml:space="preserve">One of these include </w:t>
      </w:r>
      <w:r w:rsidR="00AF5B7B">
        <w:rPr>
          <w:rFonts w:asciiTheme="majorBidi" w:hAnsiTheme="majorBidi" w:cstheme="majorBidi"/>
          <w:i/>
          <w:iCs/>
          <w:color w:val="000000"/>
          <w:lang w:val="en-US" w:eastAsia="zh-CN"/>
        </w:rPr>
        <w:t>for the creation of</w:t>
      </w:r>
      <w:r w:rsidRPr="008E3ECC">
        <w:rPr>
          <w:rFonts w:asciiTheme="majorBidi" w:hAnsiTheme="majorBidi" w:cstheme="majorBidi"/>
          <w:i/>
          <w:iCs/>
          <w:color w:val="000000"/>
          <w:lang w:val="en-US" w:eastAsia="zh-CN"/>
        </w:rPr>
        <w:t xml:space="preserve"> a new prison production facility and exercise space </w:t>
      </w:r>
      <w:r w:rsidR="00AF5B7B">
        <w:rPr>
          <w:rFonts w:asciiTheme="majorBidi" w:hAnsiTheme="majorBidi" w:cstheme="majorBidi"/>
          <w:i/>
          <w:iCs/>
          <w:color w:val="000000"/>
          <w:lang w:val="en-US" w:eastAsia="zh-CN"/>
        </w:rPr>
        <w:t>in a prison wing accommodating violent extremist prisoners</w:t>
      </w:r>
      <w:r w:rsidRPr="008E3ECC">
        <w:rPr>
          <w:rFonts w:asciiTheme="majorBidi" w:hAnsiTheme="majorBidi" w:cstheme="majorBidi"/>
          <w:i/>
          <w:iCs/>
          <w:color w:val="000000"/>
          <w:lang w:val="en-US" w:eastAsia="zh-CN"/>
        </w:rPr>
        <w:t xml:space="preserve">. The </w:t>
      </w:r>
      <w:r w:rsidR="002E620A" w:rsidRPr="008E3ECC">
        <w:rPr>
          <w:rFonts w:asciiTheme="majorBidi" w:hAnsiTheme="majorBidi" w:cstheme="majorBidi"/>
          <w:i/>
          <w:iCs/>
          <w:color w:val="000000"/>
          <w:lang w:val="en-US" w:eastAsia="zh-CN"/>
        </w:rPr>
        <w:t xml:space="preserve">completion of the new production facility </w:t>
      </w:r>
      <w:r w:rsidRPr="008E3ECC">
        <w:rPr>
          <w:rFonts w:asciiTheme="majorBidi" w:hAnsiTheme="majorBidi" w:cstheme="majorBidi"/>
          <w:i/>
          <w:iCs/>
          <w:color w:val="000000"/>
          <w:lang w:val="en-US" w:eastAsia="zh-CN"/>
        </w:rPr>
        <w:t>ha</w:t>
      </w:r>
      <w:r w:rsidR="005E1228">
        <w:rPr>
          <w:rFonts w:asciiTheme="majorBidi" w:hAnsiTheme="majorBidi" w:cstheme="majorBidi"/>
          <w:i/>
          <w:iCs/>
          <w:color w:val="000000"/>
          <w:lang w:val="en-US" w:eastAsia="zh-CN"/>
        </w:rPr>
        <w:t xml:space="preserve">s </w:t>
      </w:r>
      <w:r w:rsidR="004A2841" w:rsidRPr="008E3ECC">
        <w:rPr>
          <w:rFonts w:asciiTheme="majorBidi" w:hAnsiTheme="majorBidi" w:cstheme="majorBidi"/>
          <w:i/>
          <w:iCs/>
          <w:color w:val="000000"/>
          <w:lang w:val="en-US" w:eastAsia="zh-CN"/>
        </w:rPr>
        <w:t>been postponed</w:t>
      </w:r>
      <w:r w:rsidRPr="008E3ECC">
        <w:rPr>
          <w:rFonts w:asciiTheme="majorBidi" w:hAnsiTheme="majorBidi" w:cstheme="majorBidi"/>
          <w:i/>
          <w:iCs/>
          <w:color w:val="000000"/>
          <w:lang w:val="en-US" w:eastAsia="zh-CN"/>
        </w:rPr>
        <w:t xml:space="preserve"> since 2020 due to the </w:t>
      </w:r>
      <w:r w:rsidR="00AF5B7B">
        <w:rPr>
          <w:rFonts w:asciiTheme="majorBidi" w:hAnsiTheme="majorBidi" w:cstheme="majorBidi"/>
          <w:i/>
          <w:iCs/>
          <w:color w:val="000000"/>
          <w:lang w:val="en-US" w:eastAsia="zh-CN"/>
        </w:rPr>
        <w:t xml:space="preserve">COVID-19 </w:t>
      </w:r>
      <w:r w:rsidRPr="008E3ECC">
        <w:rPr>
          <w:rFonts w:asciiTheme="majorBidi" w:hAnsiTheme="majorBidi" w:cstheme="majorBidi"/>
          <w:i/>
          <w:iCs/>
          <w:color w:val="000000"/>
          <w:lang w:val="en-US" w:eastAsia="zh-CN"/>
        </w:rPr>
        <w:t>pandemic</w:t>
      </w:r>
      <w:r w:rsidR="00C96EA7">
        <w:rPr>
          <w:rFonts w:asciiTheme="majorBidi" w:hAnsiTheme="majorBidi" w:cstheme="majorBidi"/>
          <w:i/>
          <w:iCs/>
          <w:color w:val="000000"/>
          <w:lang w:val="en-US" w:eastAsia="zh-CN"/>
        </w:rPr>
        <w:t>, which led to</w:t>
      </w:r>
      <w:r w:rsidRPr="008E3ECC">
        <w:rPr>
          <w:rFonts w:asciiTheme="majorBidi" w:hAnsiTheme="majorBidi" w:cstheme="majorBidi"/>
          <w:i/>
          <w:iCs/>
          <w:color w:val="000000"/>
          <w:lang w:val="en-US" w:eastAsia="zh-CN"/>
        </w:rPr>
        <w:t xml:space="preserve"> restricted access to prison facilities</w:t>
      </w:r>
      <w:r w:rsidR="00C96EA7">
        <w:rPr>
          <w:rFonts w:asciiTheme="majorBidi" w:hAnsiTheme="majorBidi" w:cstheme="majorBidi"/>
          <w:i/>
          <w:iCs/>
          <w:color w:val="000000"/>
          <w:lang w:val="en-US" w:eastAsia="zh-CN"/>
        </w:rPr>
        <w:t>. With the lifting of these restrictions, the new facility was opened</w:t>
      </w:r>
      <w:r w:rsidRPr="008E3ECC">
        <w:rPr>
          <w:rFonts w:asciiTheme="majorBidi" w:hAnsiTheme="majorBidi" w:cstheme="majorBidi"/>
          <w:i/>
          <w:iCs/>
          <w:color w:val="000000"/>
          <w:lang w:val="en-US" w:eastAsia="zh-CN"/>
        </w:rPr>
        <w:t xml:space="preserve"> in September 2021</w:t>
      </w:r>
      <w:r w:rsidR="00C96EA7">
        <w:rPr>
          <w:rFonts w:asciiTheme="majorBidi" w:hAnsiTheme="majorBidi" w:cstheme="majorBidi"/>
          <w:i/>
          <w:iCs/>
          <w:color w:val="000000"/>
          <w:lang w:val="en-US" w:eastAsia="zh-CN"/>
        </w:rPr>
        <w:t xml:space="preserve">. </w:t>
      </w:r>
      <w:r w:rsidRPr="008E3ECC">
        <w:rPr>
          <w:rFonts w:asciiTheme="majorBidi" w:hAnsiTheme="majorBidi" w:cstheme="majorBidi"/>
          <w:i/>
          <w:iCs/>
          <w:color w:val="000000"/>
          <w:lang w:val="en-US" w:eastAsia="zh-CN"/>
        </w:rPr>
        <w:t xml:space="preserve">  </w:t>
      </w:r>
    </w:p>
    <w:p w14:paraId="4DB3523B" w14:textId="77777777" w:rsidR="008E3ECC" w:rsidRPr="008E3ECC" w:rsidRDefault="008E3ECC" w:rsidP="002E620A">
      <w:pPr>
        <w:jc w:val="both"/>
        <w:rPr>
          <w:rFonts w:asciiTheme="majorBidi" w:hAnsiTheme="majorBidi" w:cstheme="majorBidi"/>
          <w:i/>
          <w:iCs/>
          <w:color w:val="000000"/>
          <w:lang w:val="en-US" w:eastAsia="zh-CN"/>
        </w:rPr>
      </w:pPr>
    </w:p>
    <w:p w14:paraId="0798E73C" w14:textId="55C612B5" w:rsidR="007766A5" w:rsidRPr="008E3ECC" w:rsidRDefault="007766A5" w:rsidP="002E620A">
      <w:pPr>
        <w:jc w:val="both"/>
        <w:rPr>
          <w:rFonts w:asciiTheme="majorBidi" w:hAnsiTheme="majorBidi" w:cstheme="majorBidi"/>
          <w:i/>
          <w:iCs/>
          <w:color w:val="000000"/>
          <w:lang w:val="en-US" w:eastAsia="zh-CN"/>
        </w:rPr>
      </w:pPr>
      <w:r w:rsidRPr="008E3ECC">
        <w:rPr>
          <w:rFonts w:asciiTheme="majorBidi" w:hAnsiTheme="majorBidi" w:cstheme="majorBidi"/>
          <w:i/>
          <w:iCs/>
          <w:color w:val="000000"/>
          <w:lang w:val="en-US" w:eastAsia="zh-CN"/>
        </w:rPr>
        <w:t xml:space="preserve">The Deputy Minister of Justice, Chairman of the State Prison Service, Head of the UNODC Program Office in the Kyrgyz Republic, Manager of UNODC’s Criminal Justice Program in Central Asia, and media attended the event in Prison No. 27 in the village of </w:t>
      </w:r>
      <w:proofErr w:type="spellStart"/>
      <w:r w:rsidRPr="008E3ECC">
        <w:rPr>
          <w:rFonts w:asciiTheme="majorBidi" w:hAnsiTheme="majorBidi" w:cstheme="majorBidi"/>
          <w:i/>
          <w:iCs/>
          <w:color w:val="000000"/>
          <w:lang w:val="en-US" w:eastAsia="zh-CN"/>
        </w:rPr>
        <w:t>Moldovanovka</w:t>
      </w:r>
      <w:proofErr w:type="spellEnd"/>
      <w:r w:rsidRPr="008E3ECC">
        <w:rPr>
          <w:rFonts w:asciiTheme="majorBidi" w:hAnsiTheme="majorBidi" w:cstheme="majorBidi"/>
          <w:i/>
          <w:iCs/>
          <w:color w:val="000000"/>
          <w:lang w:val="en-US" w:eastAsia="zh-CN"/>
        </w:rPr>
        <w:t xml:space="preserve">, 30 </w:t>
      </w:r>
      <w:proofErr w:type="spellStart"/>
      <w:r w:rsidRPr="008E3ECC">
        <w:rPr>
          <w:rFonts w:asciiTheme="majorBidi" w:hAnsiTheme="majorBidi" w:cstheme="majorBidi"/>
          <w:i/>
          <w:iCs/>
          <w:color w:val="000000"/>
          <w:lang w:val="en-US" w:eastAsia="zh-CN"/>
        </w:rPr>
        <w:t>kilometres</w:t>
      </w:r>
      <w:proofErr w:type="spellEnd"/>
      <w:r w:rsidRPr="008E3ECC">
        <w:rPr>
          <w:rFonts w:asciiTheme="majorBidi" w:hAnsiTheme="majorBidi" w:cstheme="majorBidi"/>
          <w:i/>
          <w:iCs/>
          <w:color w:val="000000"/>
          <w:lang w:val="en-US" w:eastAsia="zh-CN"/>
        </w:rPr>
        <w:t xml:space="preserve"> from the city of </w:t>
      </w:r>
      <w:r w:rsidR="002E620A" w:rsidRPr="008E3ECC">
        <w:rPr>
          <w:rFonts w:asciiTheme="majorBidi" w:hAnsiTheme="majorBidi" w:cstheme="majorBidi"/>
          <w:i/>
          <w:iCs/>
          <w:color w:val="000000"/>
          <w:lang w:val="en-US" w:eastAsia="zh-CN"/>
        </w:rPr>
        <w:t>B</w:t>
      </w:r>
      <w:r w:rsidRPr="008E3ECC">
        <w:rPr>
          <w:rFonts w:asciiTheme="majorBidi" w:hAnsiTheme="majorBidi" w:cstheme="majorBidi"/>
          <w:i/>
          <w:iCs/>
          <w:color w:val="000000"/>
          <w:lang w:val="en-US" w:eastAsia="zh-CN"/>
        </w:rPr>
        <w:t xml:space="preserve">ishkek. “Initiatives of this kind support prison reform by introducing new approaches to prison management and streamlining international standards in our penitentiary policy,” said Mr. </w:t>
      </w:r>
      <w:proofErr w:type="spellStart"/>
      <w:r w:rsidRPr="008E3ECC">
        <w:rPr>
          <w:rFonts w:asciiTheme="majorBidi" w:hAnsiTheme="majorBidi" w:cstheme="majorBidi"/>
          <w:i/>
          <w:iCs/>
          <w:color w:val="000000"/>
          <w:lang w:val="en-US" w:eastAsia="zh-CN"/>
        </w:rPr>
        <w:t>Kynatbek</w:t>
      </w:r>
      <w:proofErr w:type="spellEnd"/>
      <w:r w:rsidRPr="008E3ECC">
        <w:rPr>
          <w:rFonts w:asciiTheme="majorBidi" w:hAnsiTheme="majorBidi" w:cstheme="majorBidi"/>
          <w:i/>
          <w:iCs/>
          <w:color w:val="000000"/>
          <w:lang w:val="en-US" w:eastAsia="zh-CN"/>
        </w:rPr>
        <w:t xml:space="preserve"> </w:t>
      </w:r>
      <w:proofErr w:type="spellStart"/>
      <w:r w:rsidRPr="008E3ECC">
        <w:rPr>
          <w:rFonts w:asciiTheme="majorBidi" w:hAnsiTheme="majorBidi" w:cstheme="majorBidi"/>
          <w:i/>
          <w:iCs/>
          <w:color w:val="000000"/>
          <w:lang w:val="en-US" w:eastAsia="zh-CN"/>
        </w:rPr>
        <w:t>Smanaliev</w:t>
      </w:r>
      <w:proofErr w:type="spellEnd"/>
      <w:r w:rsidRPr="008E3ECC">
        <w:rPr>
          <w:rFonts w:asciiTheme="majorBidi" w:hAnsiTheme="majorBidi" w:cstheme="majorBidi"/>
          <w:i/>
          <w:iCs/>
          <w:color w:val="000000"/>
          <w:lang w:val="en-US" w:eastAsia="zh-CN"/>
        </w:rPr>
        <w:t>, Deputy Minister of Justice. </w:t>
      </w:r>
    </w:p>
    <w:p w14:paraId="2922C9D0" w14:textId="77777777" w:rsidR="007766A5" w:rsidRPr="008E3ECC" w:rsidRDefault="007766A5" w:rsidP="007766A5">
      <w:pPr>
        <w:rPr>
          <w:rFonts w:asciiTheme="majorBidi" w:hAnsiTheme="majorBidi" w:cstheme="majorBidi"/>
          <w:i/>
          <w:iCs/>
          <w:color w:val="000000"/>
          <w:lang w:val="en-US" w:eastAsia="zh-CN"/>
        </w:rPr>
      </w:pPr>
    </w:p>
    <w:p w14:paraId="528AB5AE" w14:textId="07C4C6BD" w:rsidR="007766A5" w:rsidRPr="008E3ECC" w:rsidRDefault="007766A5" w:rsidP="002E620A">
      <w:pPr>
        <w:spacing w:after="160"/>
        <w:jc w:val="both"/>
        <w:rPr>
          <w:rFonts w:asciiTheme="majorBidi" w:hAnsiTheme="majorBidi" w:cstheme="majorBidi"/>
          <w:i/>
          <w:iCs/>
          <w:lang w:val="en-US" w:eastAsia="zh-CN"/>
        </w:rPr>
      </w:pPr>
      <w:r w:rsidRPr="008E3ECC">
        <w:rPr>
          <w:rFonts w:asciiTheme="majorBidi" w:hAnsiTheme="majorBidi" w:cstheme="majorBidi"/>
          <w:i/>
          <w:iCs/>
          <w:color w:val="000000"/>
          <w:lang w:val="en-US" w:eastAsia="zh-CN"/>
        </w:rPr>
        <w:t>As the custodian of the Standard Minimum Rules for the Treatment of Prisoners (Nelson Mandela Rules), UNODC has been providing comprehensive support to the Kyrgyz Republic since 2009. “UNODC works in close cooperation with government authorities and the Prison Service to improve prison management in accordance with the Nelson Mandela Rules and other international standards,” said Mr. Andrey Seleznev, Head of the UNODC Program Office in the Kyrgyz Republic. “We are promoting comprehensive approaches to prison security management based on security audits that take into consideration not only infrastructural and procedural aspects, but also focus on what we call dynamic security, which means that prison staff should develop and sustain professional and constructive relationships with prisoners”, said Mr. Koen Marquering, Manager of UNODC’s Criminal Justice Program in Central Asia.</w:t>
      </w:r>
    </w:p>
    <w:p w14:paraId="035C9E35" w14:textId="77777777" w:rsidR="007766A5" w:rsidRPr="008E3ECC" w:rsidRDefault="007766A5" w:rsidP="007766A5">
      <w:pPr>
        <w:spacing w:after="160"/>
        <w:jc w:val="both"/>
        <w:rPr>
          <w:rFonts w:asciiTheme="majorBidi" w:hAnsiTheme="majorBidi" w:cstheme="majorBidi"/>
          <w:i/>
          <w:iCs/>
          <w:lang w:val="en-US" w:eastAsia="zh-CN"/>
        </w:rPr>
      </w:pPr>
      <w:r w:rsidRPr="008E3ECC">
        <w:rPr>
          <w:rFonts w:asciiTheme="majorBidi" w:hAnsiTheme="majorBidi" w:cstheme="majorBidi"/>
          <w:i/>
          <w:iCs/>
          <w:color w:val="000000"/>
          <w:lang w:val="en-US" w:eastAsia="zh-CN"/>
        </w:rPr>
        <w:lastRenderedPageBreak/>
        <w:t>Technical assistance provided by UNODC during the past years includes establishment of new entrance facilities, procurement of x-ray equipment, innovative video surveillance and intercom systems, and software for electronic registration of visits, packages, and parcels. UNODC also supports the rehabilitation of prisoners through refurbishment of rooms for family visits, bath and laundry facilities, office space for psychologists and social workers, library services and launch of vocational training and prisoner employment programs.</w:t>
      </w:r>
    </w:p>
    <w:p w14:paraId="132DFA40" w14:textId="77777777" w:rsidR="007766A5" w:rsidRPr="008E3ECC" w:rsidRDefault="007766A5" w:rsidP="007766A5">
      <w:pPr>
        <w:spacing w:after="160"/>
        <w:jc w:val="both"/>
        <w:rPr>
          <w:rFonts w:asciiTheme="majorBidi" w:hAnsiTheme="majorBidi" w:cstheme="majorBidi"/>
          <w:i/>
          <w:iCs/>
          <w:lang w:val="en-US" w:eastAsia="zh-CN"/>
        </w:rPr>
      </w:pPr>
      <w:r w:rsidRPr="008E3ECC">
        <w:rPr>
          <w:rFonts w:asciiTheme="majorBidi" w:hAnsiTheme="majorBidi" w:cstheme="majorBidi"/>
          <w:i/>
          <w:iCs/>
          <w:color w:val="000000"/>
          <w:lang w:val="en-US" w:eastAsia="zh-CN"/>
        </w:rPr>
        <w:t xml:space="preserve">During his welcoming speech, the Chairman of the State Prison Service, Major General </w:t>
      </w:r>
      <w:proofErr w:type="spellStart"/>
      <w:r w:rsidRPr="008E3ECC">
        <w:rPr>
          <w:rFonts w:asciiTheme="majorBidi" w:hAnsiTheme="majorBidi" w:cstheme="majorBidi"/>
          <w:i/>
          <w:iCs/>
          <w:color w:val="000000"/>
          <w:lang w:val="en-US" w:eastAsia="zh-CN"/>
        </w:rPr>
        <w:t>Askat</w:t>
      </w:r>
      <w:proofErr w:type="spellEnd"/>
      <w:r w:rsidRPr="008E3ECC">
        <w:rPr>
          <w:rFonts w:asciiTheme="majorBidi" w:hAnsiTheme="majorBidi" w:cstheme="majorBidi"/>
          <w:i/>
          <w:iCs/>
          <w:color w:val="000000"/>
          <w:lang w:val="en-US" w:eastAsia="zh-CN"/>
        </w:rPr>
        <w:t xml:space="preserve"> </w:t>
      </w:r>
      <w:proofErr w:type="spellStart"/>
      <w:r w:rsidRPr="008E3ECC">
        <w:rPr>
          <w:rFonts w:asciiTheme="majorBidi" w:hAnsiTheme="majorBidi" w:cstheme="majorBidi"/>
          <w:i/>
          <w:iCs/>
          <w:color w:val="000000"/>
          <w:lang w:val="en-US" w:eastAsia="zh-CN"/>
        </w:rPr>
        <w:t>Egemberdiev</w:t>
      </w:r>
      <w:proofErr w:type="spellEnd"/>
      <w:r w:rsidRPr="008E3ECC">
        <w:rPr>
          <w:rFonts w:asciiTheme="majorBidi" w:hAnsiTheme="majorBidi" w:cstheme="majorBidi"/>
          <w:i/>
          <w:iCs/>
          <w:color w:val="000000"/>
          <w:lang w:val="en-US" w:eastAsia="zh-CN"/>
        </w:rPr>
        <w:t xml:space="preserve">, </w:t>
      </w:r>
      <w:proofErr w:type="spellStart"/>
      <w:r w:rsidRPr="008E3ECC">
        <w:rPr>
          <w:rFonts w:asciiTheme="majorBidi" w:hAnsiTheme="majorBidi" w:cstheme="majorBidi"/>
          <w:i/>
          <w:iCs/>
          <w:color w:val="000000"/>
          <w:lang w:val="en-US" w:eastAsia="zh-CN"/>
        </w:rPr>
        <w:t>emphasised</w:t>
      </w:r>
      <w:proofErr w:type="spellEnd"/>
      <w:r w:rsidRPr="008E3ECC">
        <w:rPr>
          <w:rFonts w:asciiTheme="majorBidi" w:hAnsiTheme="majorBidi" w:cstheme="majorBidi"/>
          <w:i/>
          <w:iCs/>
          <w:color w:val="000000"/>
          <w:lang w:val="en-US" w:eastAsia="zh-CN"/>
        </w:rPr>
        <w:t xml:space="preserve"> the importance of such rehabilitation work: “I believe that the efforts undertaken together with UNODC will play a vital role in making a positive change in offenders’ lives and enable them to develop skills, which will ultimately help them find their place in society.”</w:t>
      </w:r>
    </w:p>
    <w:p w14:paraId="65E6160E" w14:textId="77777777" w:rsidR="007766A5" w:rsidRPr="008E3ECC" w:rsidRDefault="007766A5" w:rsidP="007766A5">
      <w:pPr>
        <w:spacing w:after="160"/>
        <w:jc w:val="both"/>
        <w:rPr>
          <w:rFonts w:asciiTheme="majorBidi" w:hAnsiTheme="majorBidi" w:cstheme="majorBidi"/>
          <w:i/>
          <w:iCs/>
          <w:lang w:val="en-US" w:eastAsia="zh-CN"/>
        </w:rPr>
      </w:pPr>
      <w:r w:rsidRPr="008E3ECC">
        <w:rPr>
          <w:rFonts w:asciiTheme="majorBidi" w:hAnsiTheme="majorBidi" w:cstheme="majorBidi"/>
          <w:i/>
          <w:iCs/>
          <w:color w:val="000000"/>
          <w:lang w:val="en-US" w:eastAsia="zh-CN"/>
        </w:rPr>
        <w:t>Around 15 out of 95 prisoners convicted for terrorism and extremism related offenses will be engaged through the new facility in Prison Nr. 27. They will undergo a month-long training in leather and felt craft and continue to work in the workshop. The State Enterprise "</w:t>
      </w:r>
      <w:proofErr w:type="spellStart"/>
      <w:r w:rsidRPr="008E3ECC">
        <w:rPr>
          <w:rFonts w:asciiTheme="majorBidi" w:hAnsiTheme="majorBidi" w:cstheme="majorBidi"/>
          <w:i/>
          <w:iCs/>
          <w:color w:val="000000"/>
          <w:lang w:val="en-US" w:eastAsia="zh-CN"/>
        </w:rPr>
        <w:t>Kelechek</w:t>
      </w:r>
      <w:proofErr w:type="spellEnd"/>
      <w:r w:rsidRPr="008E3ECC">
        <w:rPr>
          <w:rFonts w:asciiTheme="majorBidi" w:hAnsiTheme="majorBidi" w:cstheme="majorBidi"/>
          <w:i/>
          <w:iCs/>
          <w:color w:val="000000"/>
          <w:lang w:val="en-US" w:eastAsia="zh-CN"/>
        </w:rPr>
        <w:t>" will coordinate the production process and salaries will be transferred to deposit bank cards for use by the prisoners upon release. </w:t>
      </w:r>
    </w:p>
    <w:p w14:paraId="70C620EE" w14:textId="77777777" w:rsidR="007766A5" w:rsidRPr="007766A5" w:rsidRDefault="007766A5" w:rsidP="007766A5">
      <w:pPr>
        <w:rPr>
          <w:lang w:val="en-US"/>
        </w:rPr>
      </w:pPr>
    </w:p>
    <w:p w14:paraId="5E73D539" w14:textId="77777777" w:rsidR="00257569" w:rsidRPr="007766A5" w:rsidRDefault="00257569" w:rsidP="00257569">
      <w:pPr>
        <w:ind w:left="2160"/>
      </w:pPr>
    </w:p>
    <w:p w14:paraId="14363678" w14:textId="03D25EEA" w:rsidR="00257569" w:rsidRPr="000D6ACA" w:rsidRDefault="00257569" w:rsidP="00257569">
      <w:pPr>
        <w:sectPr w:rsidR="00257569" w:rsidRPr="000D6ACA" w:rsidSect="00765D82">
          <w:pgSz w:w="11906" w:h="16838"/>
          <w:pgMar w:top="1440" w:right="1466" w:bottom="1440" w:left="1800" w:header="720" w:footer="720" w:gutter="0"/>
          <w:cols w:space="720"/>
          <w:docGrid w:linePitch="360"/>
        </w:sectPr>
      </w:pPr>
    </w:p>
    <w:p w14:paraId="1A7775EF" w14:textId="77777777" w:rsidR="00FF1954" w:rsidRPr="000D6ACA" w:rsidRDefault="00FF1954" w:rsidP="00FF1954">
      <w:pPr>
        <w:ind w:firstLine="990"/>
        <w:jc w:val="both"/>
        <w:rPr>
          <w:b/>
          <w:u w:val="single"/>
        </w:rPr>
      </w:pPr>
      <w:r w:rsidRPr="000D6ACA">
        <w:rPr>
          <w:b/>
          <w:u w:val="single"/>
        </w:rPr>
        <w:lastRenderedPageBreak/>
        <w:t>PART IV: INDICATOR BASED PERFORMANCE ASSESSMENT</w:t>
      </w:r>
    </w:p>
    <w:p w14:paraId="73F4096B" w14:textId="77777777" w:rsidR="00FF1954" w:rsidRPr="000D6ACA" w:rsidRDefault="00FF1954" w:rsidP="00FF1954">
      <w:pPr>
        <w:jc w:val="both"/>
        <w:rPr>
          <w:b/>
          <w:i/>
          <w:lang w:eastAsia="en-US"/>
        </w:rPr>
      </w:pPr>
    </w:p>
    <w:p w14:paraId="741A4587" w14:textId="77777777" w:rsidR="00FF1954" w:rsidRPr="000D6ACA" w:rsidRDefault="00FF1954" w:rsidP="00FF1954">
      <w:pPr>
        <w:jc w:val="both"/>
        <w:rPr>
          <w:bCs/>
          <w:lang w:eastAsia="en-US"/>
        </w:rPr>
      </w:pPr>
      <w:r w:rsidRPr="000D6ACA">
        <w:rPr>
          <w:bCs/>
          <w:i/>
          <w:lang w:eastAsia="en-US"/>
        </w:rPr>
        <w:t xml:space="preserve">Using the </w:t>
      </w:r>
      <w:r w:rsidRPr="000D6ACA">
        <w:rPr>
          <w:b/>
          <w:bCs/>
          <w:i/>
          <w:lang w:eastAsia="en-US"/>
        </w:rPr>
        <w:t>Project Results Framework as per the approved project document or any amendments</w:t>
      </w:r>
      <w:r w:rsidRPr="000D6ACA">
        <w:rPr>
          <w:bCs/>
          <w:i/>
          <w:lang w:eastAsia="en-US"/>
        </w:rPr>
        <w:t xml:space="preserve">- provide an update on the achievement of </w:t>
      </w:r>
      <w:r w:rsidRPr="000D6ACA">
        <w:rPr>
          <w:b/>
          <w:i/>
          <w:lang w:eastAsia="en-US"/>
        </w:rPr>
        <w:t>key indicators</w:t>
      </w:r>
      <w:r w:rsidRPr="000D6ACA">
        <w:rPr>
          <w:bCs/>
          <w:i/>
          <w:lang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0D6ACA">
        <w:rPr>
          <w:bCs/>
          <w:lang w:eastAsia="en-US"/>
        </w:rPr>
        <w:t xml:space="preserve"> Provide gender and age disaggregated data. (300 characters max per entry)</w:t>
      </w:r>
    </w:p>
    <w:p w14:paraId="2EEA4F65" w14:textId="77777777" w:rsidR="00FF1954" w:rsidRPr="000D6ACA" w:rsidRDefault="00FF1954" w:rsidP="00FF1954">
      <w:pPr>
        <w:outlineLvl w:val="0"/>
        <w:rPr>
          <w:lang w:eastAsia="en-US"/>
        </w:rPr>
      </w:pPr>
    </w:p>
    <w:tbl>
      <w:tblPr>
        <w:tblW w:w="147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982"/>
        <w:gridCol w:w="1530"/>
        <w:gridCol w:w="1698"/>
        <w:gridCol w:w="1710"/>
        <w:gridCol w:w="2610"/>
        <w:gridCol w:w="1890"/>
      </w:tblGrid>
      <w:tr w:rsidR="00FF1954" w:rsidRPr="004002DA" w14:paraId="2B2C6935" w14:textId="77777777" w:rsidTr="00390A4B">
        <w:trPr>
          <w:tblHeader/>
        </w:trPr>
        <w:tc>
          <w:tcPr>
            <w:tcW w:w="2340" w:type="dxa"/>
          </w:tcPr>
          <w:p w14:paraId="6DF49933" w14:textId="77777777" w:rsidR="00FF1954" w:rsidRPr="004002DA" w:rsidRDefault="00FF1954" w:rsidP="00A3368C">
            <w:pPr>
              <w:jc w:val="center"/>
              <w:rPr>
                <w:rFonts w:cs="Tahoma"/>
                <w:b/>
                <w:sz w:val="22"/>
                <w:szCs w:val="22"/>
                <w:lang w:eastAsia="en-US"/>
              </w:rPr>
            </w:pPr>
          </w:p>
        </w:tc>
        <w:tc>
          <w:tcPr>
            <w:tcW w:w="2982" w:type="dxa"/>
            <w:shd w:val="clear" w:color="auto" w:fill="EEECE1"/>
          </w:tcPr>
          <w:p w14:paraId="5BA62C9E" w14:textId="77777777" w:rsidR="00FF1954" w:rsidRPr="004002DA" w:rsidRDefault="00FF1954" w:rsidP="00A3368C">
            <w:pPr>
              <w:jc w:val="center"/>
              <w:rPr>
                <w:rFonts w:cs="Tahoma"/>
                <w:b/>
                <w:sz w:val="22"/>
                <w:szCs w:val="22"/>
                <w:lang w:eastAsia="en-US"/>
              </w:rPr>
            </w:pPr>
            <w:r w:rsidRPr="004002DA">
              <w:rPr>
                <w:rFonts w:cs="Tahoma"/>
                <w:b/>
                <w:sz w:val="22"/>
                <w:szCs w:val="22"/>
                <w:lang w:eastAsia="en-US"/>
              </w:rPr>
              <w:t>Performance Indicators</w:t>
            </w:r>
          </w:p>
        </w:tc>
        <w:tc>
          <w:tcPr>
            <w:tcW w:w="1530" w:type="dxa"/>
            <w:shd w:val="clear" w:color="auto" w:fill="EEECE1"/>
          </w:tcPr>
          <w:p w14:paraId="110A833E" w14:textId="77777777" w:rsidR="00FF1954" w:rsidRPr="004002DA" w:rsidRDefault="00FF1954" w:rsidP="00A3368C">
            <w:pPr>
              <w:jc w:val="center"/>
              <w:rPr>
                <w:rFonts w:cs="Tahoma"/>
                <w:b/>
                <w:sz w:val="22"/>
                <w:szCs w:val="22"/>
                <w:lang w:eastAsia="en-US"/>
              </w:rPr>
            </w:pPr>
            <w:r w:rsidRPr="004002DA">
              <w:rPr>
                <w:rFonts w:cs="Tahoma"/>
                <w:b/>
                <w:sz w:val="22"/>
                <w:szCs w:val="22"/>
                <w:lang w:eastAsia="en-US"/>
              </w:rPr>
              <w:t>Indicator Baseline</w:t>
            </w:r>
          </w:p>
        </w:tc>
        <w:tc>
          <w:tcPr>
            <w:tcW w:w="1698" w:type="dxa"/>
            <w:shd w:val="clear" w:color="auto" w:fill="EEECE1"/>
          </w:tcPr>
          <w:p w14:paraId="5B598CD5" w14:textId="77777777" w:rsidR="00FF1954" w:rsidRPr="004002DA" w:rsidRDefault="00FF1954" w:rsidP="00A3368C">
            <w:pPr>
              <w:jc w:val="center"/>
              <w:rPr>
                <w:rFonts w:cs="Tahoma"/>
                <w:b/>
                <w:sz w:val="22"/>
                <w:szCs w:val="22"/>
                <w:lang w:eastAsia="en-US"/>
              </w:rPr>
            </w:pPr>
            <w:r w:rsidRPr="004002DA">
              <w:rPr>
                <w:rFonts w:cs="Tahoma"/>
                <w:b/>
                <w:sz w:val="22"/>
                <w:szCs w:val="22"/>
                <w:lang w:eastAsia="en-US"/>
              </w:rPr>
              <w:t>End of project Indicator Target</w:t>
            </w:r>
          </w:p>
        </w:tc>
        <w:tc>
          <w:tcPr>
            <w:tcW w:w="1710" w:type="dxa"/>
          </w:tcPr>
          <w:p w14:paraId="157CA0C5" w14:textId="77777777" w:rsidR="00FF1954" w:rsidRPr="004002DA" w:rsidRDefault="00FF1954" w:rsidP="00A3368C">
            <w:pPr>
              <w:jc w:val="center"/>
              <w:rPr>
                <w:rFonts w:cs="Tahoma"/>
                <w:b/>
                <w:sz w:val="22"/>
                <w:szCs w:val="22"/>
                <w:lang w:eastAsia="en-US"/>
              </w:rPr>
            </w:pPr>
            <w:r w:rsidRPr="004002DA">
              <w:rPr>
                <w:rFonts w:cs="Tahoma"/>
                <w:b/>
                <w:sz w:val="22"/>
                <w:szCs w:val="22"/>
                <w:lang w:eastAsia="en-US"/>
              </w:rPr>
              <w:t>Indicator Milestone</w:t>
            </w:r>
          </w:p>
        </w:tc>
        <w:tc>
          <w:tcPr>
            <w:tcW w:w="2610" w:type="dxa"/>
          </w:tcPr>
          <w:p w14:paraId="693073CA" w14:textId="77777777" w:rsidR="00FF1954" w:rsidRPr="004002DA" w:rsidRDefault="00FF1954" w:rsidP="00A3368C">
            <w:pPr>
              <w:jc w:val="center"/>
              <w:rPr>
                <w:rFonts w:cs="Tahoma"/>
                <w:b/>
                <w:sz w:val="22"/>
                <w:szCs w:val="22"/>
                <w:lang w:eastAsia="en-US"/>
              </w:rPr>
            </w:pPr>
            <w:r w:rsidRPr="004002DA">
              <w:rPr>
                <w:rFonts w:cs="Tahoma"/>
                <w:b/>
                <w:sz w:val="22"/>
                <w:szCs w:val="22"/>
                <w:lang w:eastAsia="en-US"/>
              </w:rPr>
              <w:t>Current indicator progress</w:t>
            </w:r>
          </w:p>
        </w:tc>
        <w:tc>
          <w:tcPr>
            <w:tcW w:w="1890" w:type="dxa"/>
          </w:tcPr>
          <w:p w14:paraId="02D6FE81" w14:textId="77777777" w:rsidR="00FF1954" w:rsidRPr="004002DA" w:rsidRDefault="00FF1954" w:rsidP="00A3368C">
            <w:pPr>
              <w:jc w:val="center"/>
              <w:rPr>
                <w:rFonts w:cs="Tahoma"/>
                <w:b/>
                <w:sz w:val="22"/>
                <w:szCs w:val="22"/>
                <w:lang w:eastAsia="en-US"/>
              </w:rPr>
            </w:pPr>
            <w:r w:rsidRPr="004002DA">
              <w:rPr>
                <w:rFonts w:cs="Tahoma"/>
                <w:b/>
                <w:sz w:val="22"/>
                <w:szCs w:val="22"/>
                <w:lang w:eastAsia="en-US"/>
              </w:rPr>
              <w:t>Reasons for Variance/ Delay</w:t>
            </w:r>
          </w:p>
          <w:p w14:paraId="0CEE407B" w14:textId="77777777" w:rsidR="00FF1954" w:rsidRPr="004002DA" w:rsidRDefault="00FF1954" w:rsidP="00A3368C">
            <w:pPr>
              <w:jc w:val="center"/>
              <w:rPr>
                <w:rFonts w:cs="Tahoma"/>
                <w:b/>
                <w:sz w:val="22"/>
                <w:szCs w:val="22"/>
                <w:lang w:eastAsia="en-US"/>
              </w:rPr>
            </w:pPr>
            <w:r w:rsidRPr="004002DA">
              <w:rPr>
                <w:rFonts w:cs="Tahoma"/>
                <w:b/>
                <w:sz w:val="22"/>
                <w:szCs w:val="22"/>
                <w:lang w:eastAsia="en-US"/>
              </w:rPr>
              <w:t>(if any)</w:t>
            </w:r>
          </w:p>
        </w:tc>
      </w:tr>
      <w:tr w:rsidR="00FF1954" w:rsidRPr="004002DA" w14:paraId="43E556CF" w14:textId="77777777" w:rsidTr="00390A4B">
        <w:trPr>
          <w:trHeight w:val="548"/>
        </w:trPr>
        <w:tc>
          <w:tcPr>
            <w:tcW w:w="2340" w:type="dxa"/>
            <w:vMerge w:val="restart"/>
          </w:tcPr>
          <w:p w14:paraId="61CCDB67" w14:textId="77777777" w:rsidR="00FF1954" w:rsidRPr="004002DA" w:rsidRDefault="00FF1954" w:rsidP="00A3368C">
            <w:pPr>
              <w:rPr>
                <w:rFonts w:cs="Tahoma"/>
                <w:b/>
                <w:sz w:val="22"/>
                <w:szCs w:val="22"/>
                <w:lang w:eastAsia="en-US"/>
              </w:rPr>
            </w:pPr>
            <w:r w:rsidRPr="004002DA">
              <w:rPr>
                <w:rFonts w:cs="Tahoma"/>
                <w:b/>
                <w:sz w:val="22"/>
                <w:szCs w:val="22"/>
                <w:lang w:eastAsia="en-US"/>
              </w:rPr>
              <w:t>Outcome 1</w:t>
            </w:r>
          </w:p>
          <w:p w14:paraId="0B09E21D" w14:textId="573AD9A3" w:rsidR="00FF1954" w:rsidRPr="004002DA" w:rsidRDefault="00FF1954" w:rsidP="00A3368C">
            <w:pPr>
              <w:rPr>
                <w:rFonts w:cs="Tahoma"/>
                <w:b/>
                <w:sz w:val="22"/>
                <w:szCs w:val="22"/>
                <w:lang w:eastAsia="en-US"/>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bookmarkStart w:id="16" w:name="_Hlk41411432"/>
            <w:r w:rsidRPr="004002DA">
              <w:rPr>
                <w:sz w:val="22"/>
                <w:szCs w:val="22"/>
                <w:lang w:eastAsia="en-US"/>
              </w:rPr>
              <w:t xml:space="preserve">Penitentiary and probation officers, as well as police and forensic experts effectively prevent and address </w:t>
            </w:r>
            <w:r w:rsidR="002F4BA2" w:rsidRPr="004002DA">
              <w:rPr>
                <w:sz w:val="22"/>
                <w:szCs w:val="22"/>
                <w:lang w:eastAsia="en-US"/>
              </w:rPr>
              <w:t>radicalisation</w:t>
            </w:r>
            <w:r w:rsidRPr="004002DA">
              <w:rPr>
                <w:sz w:val="22"/>
                <w:szCs w:val="22"/>
                <w:lang w:eastAsia="en-US"/>
              </w:rPr>
              <w:t xml:space="preserve"> to violence by ensuring adequate safeguards in compliance with national law and international standards</w:t>
            </w:r>
            <w:bookmarkEnd w:id="16"/>
            <w:r w:rsidRPr="004002DA">
              <w:rPr>
                <w:b/>
                <w:sz w:val="22"/>
                <w:szCs w:val="22"/>
                <w:lang w:eastAsia="en-US"/>
              </w:rPr>
              <w:fldChar w:fldCharType="end"/>
            </w:r>
          </w:p>
        </w:tc>
        <w:tc>
          <w:tcPr>
            <w:tcW w:w="2982" w:type="dxa"/>
            <w:shd w:val="clear" w:color="auto" w:fill="EEECE1"/>
          </w:tcPr>
          <w:p w14:paraId="15342CAF" w14:textId="77777777" w:rsidR="00FF1954" w:rsidRPr="004002DA" w:rsidRDefault="00FF1954" w:rsidP="00A3368C">
            <w:pPr>
              <w:jc w:val="both"/>
              <w:rPr>
                <w:rFonts w:cs="Tahoma"/>
                <w:sz w:val="22"/>
                <w:szCs w:val="22"/>
                <w:lang w:eastAsia="en-US"/>
              </w:rPr>
            </w:pPr>
            <w:r w:rsidRPr="004002DA">
              <w:rPr>
                <w:rFonts w:cs="Tahoma"/>
                <w:sz w:val="22"/>
                <w:szCs w:val="22"/>
                <w:lang w:eastAsia="en-US"/>
              </w:rPr>
              <w:t>Indicator 1.1</w:t>
            </w:r>
          </w:p>
          <w:p w14:paraId="0DA2E741" w14:textId="77777777" w:rsidR="00FF1954" w:rsidRPr="004002DA" w:rsidRDefault="00FF1954" w:rsidP="00A3368C">
            <w:pPr>
              <w:jc w:val="both"/>
              <w:rPr>
                <w:rFonts w:cs="Tahoma"/>
                <w:sz w:val="22"/>
                <w:szCs w:val="22"/>
                <w:lang w:eastAsia="en-US"/>
              </w:rPr>
            </w:pPr>
            <w:r w:rsidRPr="004002DA">
              <w:rPr>
                <w:b/>
                <w:sz w:val="22"/>
                <w:szCs w:val="22"/>
                <w:lang w:eastAsia="en-US"/>
              </w:rPr>
              <w:fldChar w:fldCharType="begin">
                <w:ffData>
                  <w:name w:val=""/>
                  <w:enabled/>
                  <w:calcOnExit w:val="0"/>
                  <w:textInput>
                    <w:maxLength w:val="25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 xml:space="preserve">Recidivism rate among violent extremist offenders </w:t>
            </w:r>
            <w:r w:rsidRPr="004002DA">
              <w:rPr>
                <w:b/>
                <w:sz w:val="22"/>
                <w:szCs w:val="22"/>
                <w:lang w:eastAsia="en-US"/>
              </w:rPr>
              <w:fldChar w:fldCharType="end"/>
            </w:r>
          </w:p>
        </w:tc>
        <w:tc>
          <w:tcPr>
            <w:tcW w:w="1530" w:type="dxa"/>
            <w:shd w:val="clear" w:color="auto" w:fill="EEECE1"/>
          </w:tcPr>
          <w:p w14:paraId="3D8E6C80" w14:textId="0B546A4D" w:rsidR="00FF1954" w:rsidRPr="004002DA" w:rsidRDefault="00FF1954" w:rsidP="00A3368C">
            <w:pPr>
              <w:rPr>
                <w:rFonts w:cs="Tahoma"/>
                <w:sz w:val="22"/>
                <w:szCs w:val="22"/>
                <w:lang w:eastAsia="en-US"/>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00390A4B">
              <w:rPr>
                <w:sz w:val="22"/>
                <w:szCs w:val="22"/>
                <w:lang w:eastAsia="en-US"/>
              </w:rPr>
              <w:t>o</w:t>
            </w:r>
            <w:r w:rsidRPr="004002DA">
              <w:rPr>
                <w:sz w:val="22"/>
                <w:szCs w:val="22"/>
                <w:lang w:eastAsia="en-US"/>
              </w:rPr>
              <w:t>ver 50%</w:t>
            </w:r>
            <w:r w:rsidRPr="004002DA">
              <w:rPr>
                <w:b/>
                <w:sz w:val="22"/>
                <w:szCs w:val="22"/>
                <w:lang w:eastAsia="en-US"/>
              </w:rPr>
              <w:fldChar w:fldCharType="end"/>
            </w:r>
          </w:p>
        </w:tc>
        <w:tc>
          <w:tcPr>
            <w:tcW w:w="1698" w:type="dxa"/>
            <w:shd w:val="clear" w:color="auto" w:fill="EEECE1"/>
          </w:tcPr>
          <w:p w14:paraId="1BE533B5" w14:textId="77777777" w:rsidR="00FF1954" w:rsidRPr="004002DA" w:rsidRDefault="00FF1954" w:rsidP="00A3368C">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10% decrease by 2020</w:t>
            </w:r>
            <w:r w:rsidRPr="004002DA">
              <w:rPr>
                <w:b/>
                <w:sz w:val="22"/>
                <w:szCs w:val="22"/>
                <w:lang w:eastAsia="en-US"/>
              </w:rPr>
              <w:fldChar w:fldCharType="end"/>
            </w:r>
          </w:p>
        </w:tc>
        <w:tc>
          <w:tcPr>
            <w:tcW w:w="1710" w:type="dxa"/>
          </w:tcPr>
          <w:p w14:paraId="42FD6BFD" w14:textId="77777777" w:rsidR="00FF1954" w:rsidRPr="004002DA" w:rsidRDefault="00FF1954" w:rsidP="00A3368C">
            <w:pPr>
              <w:jc w:val="center"/>
              <w:rPr>
                <w:rFonts w:cs="Tahoma"/>
                <w:b/>
                <w:sz w:val="22"/>
                <w:szCs w:val="22"/>
                <w:lang w:eastAsia="en-US"/>
              </w:rPr>
            </w:pPr>
          </w:p>
        </w:tc>
        <w:tc>
          <w:tcPr>
            <w:tcW w:w="2610" w:type="dxa"/>
          </w:tcPr>
          <w:p w14:paraId="0F249C75" w14:textId="2636C19E" w:rsidR="00FF1954" w:rsidRPr="004002DA" w:rsidRDefault="00C5608F" w:rsidP="00C5608F">
            <w:pPr>
              <w:rPr>
                <w:bCs/>
                <w:sz w:val="22"/>
                <w:szCs w:val="22"/>
              </w:rPr>
            </w:pPr>
            <w:r w:rsidRPr="00C5608F">
              <w:rPr>
                <w:bCs/>
                <w:sz w:val="22"/>
                <w:szCs w:val="22"/>
              </w:rPr>
              <w:t>40% decrease (10% actual recidivism rate for VEPs</w:t>
            </w:r>
            <w:r w:rsidR="005E1228">
              <w:rPr>
                <w:bCs/>
                <w:sz w:val="22"/>
                <w:szCs w:val="22"/>
              </w:rPr>
              <w:t xml:space="preserve">; </w:t>
            </w:r>
            <w:r w:rsidRPr="00C5608F">
              <w:rPr>
                <w:bCs/>
                <w:sz w:val="22"/>
                <w:szCs w:val="22"/>
              </w:rPr>
              <w:t xml:space="preserve">21% actual recidivism rate </w:t>
            </w:r>
            <w:r>
              <w:rPr>
                <w:bCs/>
                <w:sz w:val="22"/>
                <w:szCs w:val="22"/>
              </w:rPr>
              <w:t xml:space="preserve">for the whole </w:t>
            </w:r>
            <w:r w:rsidRPr="00C5608F">
              <w:rPr>
                <w:bCs/>
                <w:sz w:val="22"/>
                <w:szCs w:val="22"/>
              </w:rPr>
              <w:t>prison population)</w:t>
            </w:r>
          </w:p>
        </w:tc>
        <w:tc>
          <w:tcPr>
            <w:tcW w:w="1890" w:type="dxa"/>
          </w:tcPr>
          <w:p w14:paraId="0A92FC4A" w14:textId="77777777" w:rsidR="00FF1954" w:rsidRPr="004002DA" w:rsidRDefault="00FF1954" w:rsidP="00A3368C">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fldChar w:fldCharType="end"/>
            </w:r>
          </w:p>
        </w:tc>
      </w:tr>
      <w:tr w:rsidR="007A0633" w:rsidRPr="004002DA" w14:paraId="4E7AEA73" w14:textId="77777777" w:rsidTr="00390A4B">
        <w:trPr>
          <w:trHeight w:val="548"/>
        </w:trPr>
        <w:tc>
          <w:tcPr>
            <w:tcW w:w="2340" w:type="dxa"/>
            <w:vMerge/>
          </w:tcPr>
          <w:p w14:paraId="50401851" w14:textId="77777777" w:rsidR="007A0633" w:rsidRPr="004002DA" w:rsidRDefault="007A0633" w:rsidP="007A0633">
            <w:pPr>
              <w:rPr>
                <w:rFonts w:cs="Tahoma"/>
                <w:b/>
                <w:sz w:val="22"/>
                <w:szCs w:val="22"/>
                <w:lang w:eastAsia="en-US"/>
              </w:rPr>
            </w:pPr>
          </w:p>
        </w:tc>
        <w:tc>
          <w:tcPr>
            <w:tcW w:w="2982" w:type="dxa"/>
            <w:shd w:val="clear" w:color="auto" w:fill="EEECE1"/>
          </w:tcPr>
          <w:p w14:paraId="45F1C274" w14:textId="77777777" w:rsidR="007A0633" w:rsidRPr="004002DA" w:rsidRDefault="007A0633" w:rsidP="007A0633">
            <w:pPr>
              <w:jc w:val="both"/>
              <w:rPr>
                <w:rFonts w:cs="Tahoma"/>
                <w:sz w:val="22"/>
                <w:szCs w:val="22"/>
                <w:lang w:eastAsia="en-US"/>
              </w:rPr>
            </w:pPr>
            <w:r w:rsidRPr="004002DA">
              <w:rPr>
                <w:rFonts w:cs="Tahoma"/>
                <w:sz w:val="22"/>
                <w:szCs w:val="22"/>
                <w:lang w:eastAsia="en-US"/>
              </w:rPr>
              <w:t>Indicator 1.2</w:t>
            </w:r>
          </w:p>
          <w:p w14:paraId="66BDAC9D" w14:textId="77777777" w:rsidR="007A0633" w:rsidRPr="004002DA" w:rsidRDefault="007A0633" w:rsidP="007A0633">
            <w:pPr>
              <w:jc w:val="both"/>
              <w:rPr>
                <w:rFonts w:cs="Tahoma"/>
                <w:sz w:val="22"/>
                <w:szCs w:val="22"/>
                <w:lang w:eastAsia="en-US"/>
              </w:rPr>
            </w:pPr>
            <w:r w:rsidRPr="004002DA">
              <w:rPr>
                <w:b/>
                <w:sz w:val="22"/>
                <w:szCs w:val="22"/>
                <w:lang w:eastAsia="en-US"/>
              </w:rPr>
              <w:fldChar w:fldCharType="begin">
                <w:ffData>
                  <w:name w:val=""/>
                  <w:enabled/>
                  <w:calcOnExit w:val="0"/>
                  <w:textInput>
                    <w:maxLength w:val="25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Ratio of violent extremist offenders enjoying social and economic rights (enrolled in educational institutions, employed, etc.) to the total number of VEPs</w:t>
            </w:r>
            <w:r w:rsidRPr="004002DA">
              <w:rPr>
                <w:b/>
                <w:sz w:val="22"/>
                <w:szCs w:val="22"/>
                <w:lang w:eastAsia="en-US"/>
              </w:rPr>
              <w:fldChar w:fldCharType="end"/>
            </w:r>
          </w:p>
        </w:tc>
        <w:tc>
          <w:tcPr>
            <w:tcW w:w="1530" w:type="dxa"/>
            <w:shd w:val="clear" w:color="auto" w:fill="EEECE1"/>
          </w:tcPr>
          <w:p w14:paraId="1593E006" w14:textId="1B7EFA1B" w:rsidR="007A0633" w:rsidRPr="004002DA" w:rsidRDefault="007A0633" w:rsidP="007A0633">
            <w:pPr>
              <w:rPr>
                <w:sz w:val="22"/>
                <w:szCs w:val="22"/>
              </w:rPr>
            </w:pPr>
            <w:r w:rsidRPr="004002DA">
              <w:rPr>
                <w:sz w:val="22"/>
                <w:szCs w:val="22"/>
              </w:rPr>
              <w:fldChar w:fldCharType="begin">
                <w:ffData>
                  <w:name w:val=""/>
                  <w:enabled/>
                  <w:calcOnExit w:val="0"/>
                  <w:textInput>
                    <w:maxLength w:val="300"/>
                  </w:textInput>
                </w:ffData>
              </w:fldChar>
            </w:r>
            <w:r w:rsidRPr="004002DA">
              <w:rPr>
                <w:sz w:val="22"/>
                <w:szCs w:val="22"/>
              </w:rPr>
              <w:instrText xml:space="preserve"> FORMTEXT </w:instrText>
            </w:r>
            <w:r w:rsidRPr="004002DA">
              <w:rPr>
                <w:sz w:val="22"/>
                <w:szCs w:val="22"/>
              </w:rPr>
            </w:r>
            <w:r w:rsidRPr="004002DA">
              <w:rPr>
                <w:sz w:val="22"/>
                <w:szCs w:val="22"/>
              </w:rPr>
              <w:fldChar w:fldCharType="separate"/>
            </w:r>
            <w:r w:rsidRPr="004002DA">
              <w:rPr>
                <w:sz w:val="22"/>
                <w:szCs w:val="22"/>
              </w:rPr>
              <w:t>200 offenders</w:t>
            </w:r>
            <w:r w:rsidRPr="004002DA">
              <w:rPr>
                <w:sz w:val="22"/>
                <w:szCs w:val="22"/>
              </w:rPr>
              <w:fldChar w:fldCharType="end"/>
            </w:r>
            <w:r w:rsidRPr="004002DA">
              <w:rPr>
                <w:sz w:val="22"/>
                <w:szCs w:val="22"/>
              </w:rPr>
              <w:t xml:space="preserve"> (&lt;50%) to the total of 483 VEPs</w:t>
            </w:r>
          </w:p>
        </w:tc>
        <w:tc>
          <w:tcPr>
            <w:tcW w:w="1698" w:type="dxa"/>
            <w:shd w:val="clear" w:color="auto" w:fill="EEECE1"/>
          </w:tcPr>
          <w:p w14:paraId="6506099D" w14:textId="714D934E" w:rsidR="007A0633" w:rsidRPr="004002DA" w:rsidRDefault="007A0633" w:rsidP="007A0633">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15% (at least 3% of women) increase by 2020</w:t>
            </w:r>
            <w:r w:rsidRPr="004002DA">
              <w:rPr>
                <w:b/>
                <w:sz w:val="22"/>
                <w:szCs w:val="22"/>
                <w:lang w:eastAsia="en-US"/>
              </w:rPr>
              <w:fldChar w:fldCharType="end"/>
            </w:r>
          </w:p>
        </w:tc>
        <w:tc>
          <w:tcPr>
            <w:tcW w:w="1710" w:type="dxa"/>
          </w:tcPr>
          <w:p w14:paraId="33ABB828" w14:textId="77777777" w:rsidR="007A0633" w:rsidRPr="004002DA" w:rsidRDefault="007A0633" w:rsidP="007A0633">
            <w:pPr>
              <w:jc w:val="center"/>
              <w:rPr>
                <w:rFonts w:cs="Tahoma"/>
                <w:b/>
                <w:sz w:val="22"/>
                <w:szCs w:val="22"/>
                <w:lang w:eastAsia="en-US"/>
              </w:rPr>
            </w:pPr>
          </w:p>
        </w:tc>
        <w:tc>
          <w:tcPr>
            <w:tcW w:w="2610" w:type="dxa"/>
          </w:tcPr>
          <w:p w14:paraId="2E6F30DE" w14:textId="2AC8810C" w:rsidR="007A0633" w:rsidRPr="004002DA" w:rsidRDefault="007A0633" w:rsidP="007A0633">
            <w:pPr>
              <w:rPr>
                <w:bCs/>
                <w:sz w:val="22"/>
                <w:szCs w:val="22"/>
              </w:rPr>
            </w:pPr>
            <w:r w:rsidRPr="004002DA">
              <w:rPr>
                <w:bCs/>
                <w:sz w:val="22"/>
                <w:szCs w:val="22"/>
              </w:rPr>
              <w:t>4</w:t>
            </w:r>
            <w:r w:rsidR="00065D24" w:rsidRPr="004002DA">
              <w:rPr>
                <w:bCs/>
                <w:sz w:val="22"/>
                <w:szCs w:val="22"/>
              </w:rPr>
              <w:t>5</w:t>
            </w:r>
            <w:r w:rsidR="00E94776" w:rsidRPr="004002DA">
              <w:rPr>
                <w:bCs/>
                <w:sz w:val="22"/>
                <w:szCs w:val="22"/>
              </w:rPr>
              <w:t>0</w:t>
            </w:r>
            <w:r w:rsidRPr="004002DA">
              <w:rPr>
                <w:bCs/>
                <w:sz w:val="22"/>
                <w:szCs w:val="22"/>
              </w:rPr>
              <w:t xml:space="preserve"> offenders, incl. </w:t>
            </w:r>
            <w:r w:rsidR="00065D24" w:rsidRPr="004002DA">
              <w:rPr>
                <w:bCs/>
                <w:sz w:val="22"/>
                <w:szCs w:val="22"/>
              </w:rPr>
              <w:t>9</w:t>
            </w:r>
            <w:r w:rsidRPr="004002DA">
              <w:rPr>
                <w:bCs/>
                <w:sz w:val="22"/>
                <w:szCs w:val="22"/>
              </w:rPr>
              <w:t xml:space="preserve">0 women (20% women) </w:t>
            </w:r>
            <w:r w:rsidR="00C96EA7">
              <w:rPr>
                <w:bCs/>
                <w:sz w:val="22"/>
                <w:szCs w:val="22"/>
              </w:rPr>
              <w:t>of</w:t>
            </w:r>
            <w:r w:rsidR="00C96EA7" w:rsidRPr="004002DA">
              <w:rPr>
                <w:bCs/>
                <w:sz w:val="22"/>
                <w:szCs w:val="22"/>
              </w:rPr>
              <w:t xml:space="preserve"> </w:t>
            </w:r>
            <w:r w:rsidRPr="004002DA">
              <w:rPr>
                <w:bCs/>
                <w:sz w:val="22"/>
                <w:szCs w:val="22"/>
              </w:rPr>
              <w:t>the total of 5</w:t>
            </w:r>
            <w:r w:rsidR="0038493C" w:rsidRPr="004002DA">
              <w:rPr>
                <w:bCs/>
                <w:sz w:val="22"/>
                <w:szCs w:val="22"/>
              </w:rPr>
              <w:t>34</w:t>
            </w:r>
          </w:p>
          <w:p w14:paraId="5DC4B47D" w14:textId="08AAB809" w:rsidR="007A0633" w:rsidRPr="004002DA" w:rsidRDefault="007A0633" w:rsidP="007A0633">
            <w:pPr>
              <w:rPr>
                <w:bCs/>
                <w:sz w:val="22"/>
                <w:szCs w:val="22"/>
              </w:rPr>
            </w:pPr>
          </w:p>
        </w:tc>
        <w:tc>
          <w:tcPr>
            <w:tcW w:w="1890" w:type="dxa"/>
          </w:tcPr>
          <w:p w14:paraId="5E4D1712" w14:textId="1862DB15" w:rsidR="007A0633" w:rsidRPr="004002DA" w:rsidRDefault="007A0633" w:rsidP="007A0633">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fldChar w:fldCharType="end"/>
            </w:r>
          </w:p>
        </w:tc>
      </w:tr>
      <w:tr w:rsidR="00FF1954" w:rsidRPr="004002DA" w14:paraId="4AA1A688" w14:textId="77777777" w:rsidTr="00390A4B">
        <w:trPr>
          <w:trHeight w:val="575"/>
        </w:trPr>
        <w:tc>
          <w:tcPr>
            <w:tcW w:w="2340" w:type="dxa"/>
            <w:vMerge/>
          </w:tcPr>
          <w:p w14:paraId="5C81209B" w14:textId="77777777" w:rsidR="00FF1954" w:rsidRPr="004002DA" w:rsidRDefault="00FF1954" w:rsidP="00A3368C">
            <w:pPr>
              <w:rPr>
                <w:rFonts w:cs="Tahoma"/>
                <w:sz w:val="22"/>
                <w:szCs w:val="22"/>
                <w:lang w:eastAsia="en-US"/>
              </w:rPr>
            </w:pPr>
          </w:p>
        </w:tc>
        <w:tc>
          <w:tcPr>
            <w:tcW w:w="2982" w:type="dxa"/>
            <w:shd w:val="clear" w:color="auto" w:fill="EEECE1"/>
          </w:tcPr>
          <w:p w14:paraId="60CCCA8D" w14:textId="77777777" w:rsidR="00FF1954" w:rsidRPr="004002DA" w:rsidRDefault="00FF1954" w:rsidP="00A3368C">
            <w:pPr>
              <w:jc w:val="both"/>
              <w:rPr>
                <w:rFonts w:cs="Tahoma"/>
                <w:sz w:val="22"/>
                <w:szCs w:val="22"/>
                <w:lang w:eastAsia="en-US"/>
              </w:rPr>
            </w:pPr>
            <w:r w:rsidRPr="004002DA">
              <w:rPr>
                <w:rFonts w:cs="Tahoma"/>
                <w:sz w:val="22"/>
                <w:szCs w:val="22"/>
                <w:lang w:eastAsia="en-US"/>
              </w:rPr>
              <w:t>Indicator 1.3</w:t>
            </w:r>
          </w:p>
          <w:p w14:paraId="2B8360CF" w14:textId="4154882F" w:rsidR="00FF1954" w:rsidRPr="004002DA" w:rsidRDefault="00FF1954" w:rsidP="00A3368C">
            <w:pPr>
              <w:jc w:val="both"/>
              <w:rPr>
                <w:rFonts w:cs="Tahoma"/>
                <w:bCs/>
                <w:sz w:val="22"/>
                <w:szCs w:val="22"/>
                <w:lang w:eastAsia="en-US"/>
              </w:rPr>
            </w:pPr>
            <w:r w:rsidRPr="004002DA">
              <w:rPr>
                <w:bCs/>
                <w:sz w:val="22"/>
                <w:szCs w:val="22"/>
                <w:lang w:eastAsia="en-US"/>
              </w:rPr>
              <w:fldChar w:fldCharType="begin">
                <w:ffData>
                  <w:name w:val=""/>
                  <w:enabled/>
                  <w:calcOnExit w:val="0"/>
                  <w:textInput>
                    <w:maxLength w:val="250"/>
                  </w:textInput>
                </w:ffData>
              </w:fldChar>
            </w:r>
            <w:r w:rsidRPr="004002DA">
              <w:rPr>
                <w:bCs/>
                <w:sz w:val="22"/>
                <w:szCs w:val="22"/>
                <w:lang w:eastAsia="en-US"/>
              </w:rPr>
              <w:instrText xml:space="preserve"> FORMTEXT </w:instrText>
            </w:r>
            <w:r w:rsidRPr="004002DA">
              <w:rPr>
                <w:bCs/>
                <w:sz w:val="22"/>
                <w:szCs w:val="22"/>
                <w:lang w:eastAsia="en-US"/>
              </w:rPr>
            </w:r>
            <w:r w:rsidRPr="004002DA">
              <w:rPr>
                <w:bCs/>
                <w:sz w:val="22"/>
                <w:szCs w:val="22"/>
                <w:lang w:eastAsia="en-US"/>
              </w:rPr>
              <w:fldChar w:fldCharType="separate"/>
            </w:r>
            <w:r w:rsidRPr="004002DA">
              <w:rPr>
                <w:bCs/>
                <w:sz w:val="22"/>
                <w:szCs w:val="22"/>
                <w:lang w:eastAsia="en-US"/>
              </w:rPr>
              <w:t>Perception of key stakeholders (experts, civil society) on adherence to fair trial standards in terrorism and extremism related cases as a result of forensic examinations in line with national and internat</w:t>
            </w:r>
            <w:r w:rsidRPr="004002DA">
              <w:rPr>
                <w:bCs/>
                <w:sz w:val="22"/>
                <w:szCs w:val="22"/>
                <w:lang w:eastAsia="en-US"/>
              </w:rPr>
              <w:fldChar w:fldCharType="end"/>
            </w:r>
            <w:r w:rsidR="00FE27B1" w:rsidRPr="004002DA">
              <w:rPr>
                <w:bCs/>
                <w:sz w:val="22"/>
                <w:szCs w:val="22"/>
                <w:lang w:eastAsia="en-US"/>
              </w:rPr>
              <w:t>ional standards.</w:t>
            </w:r>
          </w:p>
        </w:tc>
        <w:tc>
          <w:tcPr>
            <w:tcW w:w="1530" w:type="dxa"/>
            <w:shd w:val="clear" w:color="auto" w:fill="EEECE1"/>
          </w:tcPr>
          <w:p w14:paraId="6A25BA04" w14:textId="0BB097F5" w:rsidR="00FF1954" w:rsidRPr="004002DA" w:rsidRDefault="00FF1954" w:rsidP="00A3368C">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00390A4B">
              <w:rPr>
                <w:sz w:val="22"/>
                <w:szCs w:val="22"/>
              </w:rPr>
              <w:t>l</w:t>
            </w:r>
            <w:r w:rsidRPr="004002DA">
              <w:rPr>
                <w:sz w:val="22"/>
                <w:szCs w:val="22"/>
              </w:rPr>
              <w:t xml:space="preserve">ess </w:t>
            </w:r>
            <w:r w:rsidR="00390A4B">
              <w:rPr>
                <w:sz w:val="22"/>
                <w:szCs w:val="22"/>
              </w:rPr>
              <w:t>4</w:t>
            </w:r>
            <w:r w:rsidRPr="004002DA">
              <w:rPr>
                <w:sz w:val="22"/>
                <w:szCs w:val="22"/>
              </w:rPr>
              <w:t>0%</w:t>
            </w:r>
            <w:r w:rsidRPr="004002DA">
              <w:rPr>
                <w:b/>
                <w:sz w:val="22"/>
                <w:szCs w:val="22"/>
                <w:lang w:eastAsia="en-US"/>
              </w:rPr>
              <w:fldChar w:fldCharType="end"/>
            </w:r>
          </w:p>
        </w:tc>
        <w:tc>
          <w:tcPr>
            <w:tcW w:w="1698" w:type="dxa"/>
            <w:shd w:val="clear" w:color="auto" w:fill="EEECE1"/>
          </w:tcPr>
          <w:p w14:paraId="445E1CF8" w14:textId="6BCA5915" w:rsidR="00FF1954" w:rsidRPr="004002DA" w:rsidRDefault="00FF1954" w:rsidP="00A3368C">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 xml:space="preserve">20% increase in </w:t>
            </w:r>
            <w:r w:rsidR="008B2779" w:rsidRPr="004002DA">
              <w:rPr>
                <w:sz w:val="22"/>
                <w:szCs w:val="22"/>
                <w:lang w:eastAsia="en-US"/>
              </w:rPr>
              <w:t xml:space="preserve">the </w:t>
            </w:r>
            <w:r w:rsidRPr="004002DA">
              <w:rPr>
                <w:sz w:val="22"/>
                <w:szCs w:val="22"/>
                <w:lang w:eastAsia="en-US"/>
              </w:rPr>
              <w:t xml:space="preserve">average score by 2020 </w:t>
            </w:r>
            <w:r w:rsidRPr="004002DA">
              <w:rPr>
                <w:b/>
                <w:sz w:val="22"/>
                <w:szCs w:val="22"/>
                <w:lang w:eastAsia="en-US"/>
              </w:rPr>
              <w:fldChar w:fldCharType="end"/>
            </w:r>
          </w:p>
        </w:tc>
        <w:tc>
          <w:tcPr>
            <w:tcW w:w="1710" w:type="dxa"/>
          </w:tcPr>
          <w:p w14:paraId="698A370C" w14:textId="77777777" w:rsidR="00FF1954" w:rsidRPr="004002DA" w:rsidRDefault="00FF1954" w:rsidP="00A3368C">
            <w:pPr>
              <w:jc w:val="center"/>
              <w:rPr>
                <w:rFonts w:cs="Tahoma"/>
                <w:b/>
                <w:sz w:val="22"/>
                <w:szCs w:val="22"/>
                <w:lang w:eastAsia="en-US"/>
              </w:rPr>
            </w:pPr>
          </w:p>
        </w:tc>
        <w:tc>
          <w:tcPr>
            <w:tcW w:w="2610" w:type="dxa"/>
          </w:tcPr>
          <w:p w14:paraId="766EC935" w14:textId="59AB45EF" w:rsidR="00390A4B" w:rsidRPr="004002DA" w:rsidRDefault="00390A4B" w:rsidP="00A3368C">
            <w:pPr>
              <w:rPr>
                <w:bCs/>
                <w:sz w:val="22"/>
                <w:szCs w:val="22"/>
              </w:rPr>
            </w:pPr>
            <w:r>
              <w:rPr>
                <w:bCs/>
                <w:sz w:val="22"/>
                <w:szCs w:val="22"/>
              </w:rPr>
              <w:t xml:space="preserve">over </w:t>
            </w:r>
            <w:r w:rsidRPr="00390A4B">
              <w:rPr>
                <w:bCs/>
                <w:sz w:val="22"/>
                <w:szCs w:val="22"/>
              </w:rPr>
              <w:t>20% increase</w:t>
            </w:r>
            <w:r>
              <w:rPr>
                <w:bCs/>
                <w:sz w:val="22"/>
                <w:szCs w:val="22"/>
              </w:rPr>
              <w:t xml:space="preserve"> (</w:t>
            </w:r>
            <w:r w:rsidRPr="00390A4B">
              <w:rPr>
                <w:bCs/>
                <w:sz w:val="22"/>
                <w:szCs w:val="22"/>
              </w:rPr>
              <w:t>60%</w:t>
            </w:r>
            <w:r>
              <w:rPr>
                <w:bCs/>
                <w:sz w:val="22"/>
                <w:szCs w:val="22"/>
              </w:rPr>
              <w:t xml:space="preserve"> stakeholders</w:t>
            </w:r>
            <w:r w:rsidRPr="00390A4B">
              <w:rPr>
                <w:bCs/>
                <w:sz w:val="22"/>
                <w:szCs w:val="22"/>
              </w:rPr>
              <w:t>)</w:t>
            </w:r>
          </w:p>
        </w:tc>
        <w:tc>
          <w:tcPr>
            <w:tcW w:w="1890" w:type="dxa"/>
          </w:tcPr>
          <w:p w14:paraId="1329EE24" w14:textId="77777777" w:rsidR="00FF1954" w:rsidRPr="004002DA" w:rsidRDefault="00FF1954" w:rsidP="00A3368C">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fldChar w:fldCharType="end"/>
            </w:r>
          </w:p>
        </w:tc>
      </w:tr>
      <w:tr w:rsidR="007922F9" w:rsidRPr="004002DA" w14:paraId="26574C25" w14:textId="77777777" w:rsidTr="00390A4B">
        <w:trPr>
          <w:trHeight w:val="3635"/>
        </w:trPr>
        <w:tc>
          <w:tcPr>
            <w:tcW w:w="2340" w:type="dxa"/>
            <w:vMerge w:val="restart"/>
          </w:tcPr>
          <w:p w14:paraId="367E85E0" w14:textId="77777777" w:rsidR="007922F9" w:rsidRPr="004002DA" w:rsidRDefault="007922F9" w:rsidP="007922F9">
            <w:pPr>
              <w:rPr>
                <w:rFonts w:cs="Tahoma"/>
                <w:sz w:val="22"/>
                <w:szCs w:val="22"/>
                <w:lang w:eastAsia="en-US"/>
              </w:rPr>
            </w:pPr>
            <w:r w:rsidRPr="004002DA">
              <w:rPr>
                <w:rFonts w:cs="Tahoma"/>
                <w:sz w:val="22"/>
                <w:szCs w:val="22"/>
                <w:lang w:eastAsia="en-US"/>
              </w:rPr>
              <w:lastRenderedPageBreak/>
              <w:t>Output 1.1</w:t>
            </w:r>
          </w:p>
          <w:p w14:paraId="2EE2AD61" w14:textId="04B9ED1E" w:rsidR="007922F9" w:rsidRPr="004002DA" w:rsidRDefault="007922F9" w:rsidP="007922F9">
            <w:pPr>
              <w:rPr>
                <w:rFonts w:cs="Tahoma"/>
                <w:sz w:val="22"/>
                <w:szCs w:val="22"/>
                <w:lang w:eastAsia="en-US"/>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Penitentiary staff enhance their expertise in addressing violent extremism in prisons by developing methodologies for the prevention of radicalisation to violence in prisons as well as on disengagement interventions for violent extremist offenders</w:t>
            </w:r>
            <w:r w:rsidRPr="004002DA">
              <w:rPr>
                <w:b/>
                <w:sz w:val="22"/>
                <w:szCs w:val="22"/>
                <w:lang w:eastAsia="en-US"/>
              </w:rPr>
              <w:fldChar w:fldCharType="end"/>
            </w:r>
          </w:p>
          <w:p w14:paraId="49223542" w14:textId="77777777" w:rsidR="007922F9" w:rsidRPr="004002DA" w:rsidRDefault="007922F9" w:rsidP="007922F9">
            <w:pPr>
              <w:rPr>
                <w:rFonts w:cs="Tahoma"/>
                <w:b/>
                <w:sz w:val="22"/>
                <w:szCs w:val="22"/>
                <w:lang w:eastAsia="en-US"/>
              </w:rPr>
            </w:pPr>
          </w:p>
        </w:tc>
        <w:tc>
          <w:tcPr>
            <w:tcW w:w="2982" w:type="dxa"/>
            <w:shd w:val="clear" w:color="auto" w:fill="EEECE1"/>
          </w:tcPr>
          <w:p w14:paraId="406208B5" w14:textId="77777777" w:rsidR="007922F9" w:rsidRPr="004002DA" w:rsidRDefault="007922F9" w:rsidP="007922F9">
            <w:pPr>
              <w:jc w:val="both"/>
              <w:rPr>
                <w:rFonts w:cs="Tahoma"/>
                <w:sz w:val="22"/>
                <w:szCs w:val="22"/>
                <w:lang w:eastAsia="en-US"/>
              </w:rPr>
            </w:pPr>
            <w:proofErr w:type="gramStart"/>
            <w:r w:rsidRPr="004002DA">
              <w:rPr>
                <w:rFonts w:cs="Tahoma"/>
                <w:sz w:val="22"/>
                <w:szCs w:val="22"/>
                <w:lang w:eastAsia="en-US"/>
              </w:rPr>
              <w:t>Indicator  1.1.1</w:t>
            </w:r>
            <w:proofErr w:type="gramEnd"/>
          </w:p>
          <w:p w14:paraId="0BF4D888" w14:textId="121ABD89" w:rsidR="007922F9" w:rsidRPr="004002DA" w:rsidRDefault="007922F9" w:rsidP="007922F9">
            <w:pPr>
              <w:jc w:val="both"/>
              <w:rPr>
                <w:sz w:val="22"/>
                <w:szCs w:val="22"/>
              </w:rPr>
            </w:pPr>
            <w:r w:rsidRPr="004002DA">
              <w:rPr>
                <w:b/>
                <w:sz w:val="22"/>
                <w:szCs w:val="22"/>
                <w:lang w:eastAsia="en-US"/>
              </w:rPr>
              <w:fldChar w:fldCharType="begin">
                <w:ffData>
                  <w:name w:val=""/>
                  <w:enabled/>
                  <w:calcOnExit w:val="0"/>
                  <w:textInput>
                    <w:maxLength w:val="25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Number of laws and policies on prevention of radicalisation to violence and management of violent extremist offenders endorsed</w:t>
            </w:r>
          </w:p>
          <w:p w14:paraId="4B23858A" w14:textId="77777777" w:rsidR="007922F9" w:rsidRPr="004002DA" w:rsidRDefault="007922F9" w:rsidP="007922F9">
            <w:pPr>
              <w:jc w:val="both"/>
              <w:rPr>
                <w:sz w:val="22"/>
                <w:szCs w:val="22"/>
              </w:rPr>
            </w:pPr>
          </w:p>
          <w:p w14:paraId="2875D7CD" w14:textId="77777777" w:rsidR="000857FC" w:rsidRDefault="000857FC" w:rsidP="007922F9">
            <w:pPr>
              <w:jc w:val="both"/>
              <w:rPr>
                <w:sz w:val="22"/>
                <w:szCs w:val="22"/>
              </w:rPr>
            </w:pPr>
          </w:p>
          <w:p w14:paraId="1B672F71" w14:textId="77777777" w:rsidR="000857FC" w:rsidRDefault="000857FC" w:rsidP="007922F9">
            <w:pPr>
              <w:jc w:val="both"/>
              <w:rPr>
                <w:sz w:val="22"/>
                <w:szCs w:val="22"/>
              </w:rPr>
            </w:pPr>
          </w:p>
          <w:p w14:paraId="636A7B08" w14:textId="4BE4964F" w:rsidR="007922F9" w:rsidRPr="004002DA" w:rsidRDefault="007922F9" w:rsidP="007922F9">
            <w:pPr>
              <w:jc w:val="both"/>
              <w:rPr>
                <w:sz w:val="22"/>
                <w:szCs w:val="22"/>
              </w:rPr>
            </w:pPr>
            <w:r w:rsidRPr="004002DA">
              <w:rPr>
                <w:sz w:val="22"/>
                <w:szCs w:val="22"/>
              </w:rPr>
              <w:t>Indicator 1.1.2</w:t>
            </w:r>
          </w:p>
          <w:p w14:paraId="06FED826" w14:textId="03C57EF2" w:rsidR="007922F9" w:rsidRPr="004002DA" w:rsidRDefault="007922F9" w:rsidP="007922F9">
            <w:pPr>
              <w:jc w:val="both"/>
              <w:rPr>
                <w:sz w:val="22"/>
                <w:szCs w:val="22"/>
              </w:rPr>
            </w:pPr>
            <w:r w:rsidRPr="004002DA">
              <w:rPr>
                <w:sz w:val="22"/>
                <w:szCs w:val="22"/>
              </w:rPr>
              <w:t>Number of prison staff effectively applying new policies and procedures in the management of VEPs</w:t>
            </w:r>
          </w:p>
          <w:p w14:paraId="79B6CF0A" w14:textId="77777777" w:rsidR="007922F9" w:rsidRPr="004002DA" w:rsidRDefault="007922F9" w:rsidP="007922F9">
            <w:pPr>
              <w:jc w:val="both"/>
              <w:rPr>
                <w:rFonts w:cs="Tahoma"/>
                <w:sz w:val="22"/>
                <w:szCs w:val="22"/>
                <w:lang w:eastAsia="en-US"/>
              </w:rPr>
            </w:pPr>
            <w:r w:rsidRPr="004002DA">
              <w:rPr>
                <w:b/>
                <w:sz w:val="22"/>
                <w:szCs w:val="22"/>
                <w:lang w:eastAsia="en-US"/>
              </w:rPr>
              <w:fldChar w:fldCharType="end"/>
            </w:r>
          </w:p>
        </w:tc>
        <w:tc>
          <w:tcPr>
            <w:tcW w:w="1530" w:type="dxa"/>
            <w:shd w:val="clear" w:color="auto" w:fill="EEECE1"/>
          </w:tcPr>
          <w:p w14:paraId="0B9BEDEE" w14:textId="77777777" w:rsidR="007922F9" w:rsidRPr="004002DA" w:rsidRDefault="007922F9" w:rsidP="007922F9">
            <w:pPr>
              <w:rPr>
                <w:b/>
                <w:sz w:val="22"/>
                <w:szCs w:val="22"/>
                <w:lang w:eastAsia="en-US"/>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rPr>
              <w:t>0</w:t>
            </w:r>
            <w:r w:rsidRPr="004002DA">
              <w:rPr>
                <w:b/>
                <w:sz w:val="22"/>
                <w:szCs w:val="22"/>
                <w:lang w:eastAsia="en-US"/>
              </w:rPr>
              <w:fldChar w:fldCharType="end"/>
            </w:r>
          </w:p>
          <w:p w14:paraId="7803883E" w14:textId="77777777" w:rsidR="007922F9" w:rsidRPr="004002DA" w:rsidRDefault="007922F9" w:rsidP="007922F9">
            <w:pPr>
              <w:rPr>
                <w:b/>
                <w:sz w:val="22"/>
                <w:szCs w:val="22"/>
                <w:lang w:eastAsia="en-US"/>
              </w:rPr>
            </w:pPr>
          </w:p>
          <w:p w14:paraId="3A8EA8FC" w14:textId="77777777" w:rsidR="007922F9" w:rsidRPr="004002DA" w:rsidRDefault="007922F9" w:rsidP="007922F9">
            <w:pPr>
              <w:rPr>
                <w:b/>
                <w:sz w:val="22"/>
                <w:szCs w:val="22"/>
                <w:lang w:eastAsia="en-US"/>
              </w:rPr>
            </w:pPr>
          </w:p>
          <w:p w14:paraId="0DF5AC22" w14:textId="77777777" w:rsidR="007922F9" w:rsidRPr="004002DA" w:rsidRDefault="007922F9" w:rsidP="007922F9">
            <w:pPr>
              <w:rPr>
                <w:b/>
                <w:sz w:val="22"/>
                <w:szCs w:val="22"/>
                <w:lang w:eastAsia="en-US"/>
              </w:rPr>
            </w:pPr>
          </w:p>
          <w:p w14:paraId="24D94D00" w14:textId="77777777" w:rsidR="007922F9" w:rsidRPr="004002DA" w:rsidRDefault="007922F9" w:rsidP="007922F9">
            <w:pPr>
              <w:rPr>
                <w:b/>
                <w:sz w:val="22"/>
                <w:szCs w:val="22"/>
                <w:lang w:eastAsia="en-US"/>
              </w:rPr>
            </w:pPr>
          </w:p>
          <w:p w14:paraId="3F6BB8C4" w14:textId="77777777" w:rsidR="007922F9" w:rsidRPr="004002DA" w:rsidRDefault="007922F9" w:rsidP="007922F9">
            <w:pPr>
              <w:rPr>
                <w:b/>
                <w:sz w:val="22"/>
                <w:szCs w:val="22"/>
                <w:lang w:eastAsia="en-US"/>
              </w:rPr>
            </w:pPr>
          </w:p>
          <w:p w14:paraId="229C00C9" w14:textId="77777777" w:rsidR="007922F9" w:rsidRPr="004002DA" w:rsidRDefault="007922F9" w:rsidP="007922F9">
            <w:pPr>
              <w:rPr>
                <w:b/>
                <w:sz w:val="22"/>
                <w:szCs w:val="22"/>
                <w:lang w:eastAsia="en-US"/>
              </w:rPr>
            </w:pPr>
          </w:p>
          <w:p w14:paraId="55D6E0BB" w14:textId="77777777" w:rsidR="007922F9" w:rsidRPr="004002DA" w:rsidRDefault="007922F9" w:rsidP="007922F9">
            <w:pPr>
              <w:rPr>
                <w:b/>
                <w:sz w:val="22"/>
                <w:szCs w:val="22"/>
                <w:lang w:eastAsia="en-US"/>
              </w:rPr>
            </w:pPr>
          </w:p>
          <w:p w14:paraId="2F784B3D" w14:textId="77777777" w:rsidR="007922F9" w:rsidRPr="004002DA" w:rsidRDefault="007922F9" w:rsidP="007922F9">
            <w:pPr>
              <w:rPr>
                <w:b/>
                <w:sz w:val="22"/>
                <w:szCs w:val="22"/>
                <w:lang w:eastAsia="en-US"/>
              </w:rPr>
            </w:pPr>
          </w:p>
          <w:p w14:paraId="7531BD66" w14:textId="237B75BE" w:rsidR="007922F9" w:rsidRPr="004002DA" w:rsidRDefault="007922F9" w:rsidP="007922F9">
            <w:pPr>
              <w:rPr>
                <w:sz w:val="22"/>
                <w:szCs w:val="22"/>
              </w:rPr>
            </w:pPr>
            <w:r w:rsidRPr="004002DA">
              <w:rPr>
                <w:sz w:val="22"/>
                <w:szCs w:val="22"/>
              </w:rPr>
              <w:t>0</w:t>
            </w:r>
          </w:p>
        </w:tc>
        <w:tc>
          <w:tcPr>
            <w:tcW w:w="1698" w:type="dxa"/>
            <w:shd w:val="clear" w:color="auto" w:fill="EEECE1"/>
          </w:tcPr>
          <w:p w14:paraId="619D191A" w14:textId="77777777"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Up to 5 by 2020</w:t>
            </w:r>
          </w:p>
          <w:p w14:paraId="62D8D422" w14:textId="77777777" w:rsidR="007922F9" w:rsidRPr="004002DA" w:rsidRDefault="007922F9" w:rsidP="007922F9">
            <w:pPr>
              <w:rPr>
                <w:sz w:val="22"/>
                <w:szCs w:val="22"/>
              </w:rPr>
            </w:pPr>
          </w:p>
          <w:p w14:paraId="334F0673" w14:textId="77777777" w:rsidR="007922F9" w:rsidRPr="004002DA" w:rsidRDefault="007922F9" w:rsidP="007922F9">
            <w:pPr>
              <w:rPr>
                <w:sz w:val="22"/>
                <w:szCs w:val="22"/>
              </w:rPr>
            </w:pPr>
          </w:p>
          <w:p w14:paraId="79B74B68" w14:textId="77777777" w:rsidR="007922F9" w:rsidRPr="004002DA" w:rsidRDefault="007922F9" w:rsidP="007922F9">
            <w:pPr>
              <w:rPr>
                <w:sz w:val="22"/>
                <w:szCs w:val="22"/>
              </w:rPr>
            </w:pPr>
          </w:p>
          <w:p w14:paraId="07D4C8A0" w14:textId="77777777" w:rsidR="007922F9" w:rsidRPr="004002DA" w:rsidRDefault="007922F9" w:rsidP="007922F9">
            <w:pPr>
              <w:rPr>
                <w:sz w:val="22"/>
                <w:szCs w:val="22"/>
              </w:rPr>
            </w:pPr>
          </w:p>
          <w:p w14:paraId="09214EB6" w14:textId="77777777" w:rsidR="007922F9" w:rsidRPr="004002DA" w:rsidRDefault="007922F9" w:rsidP="007922F9">
            <w:pPr>
              <w:rPr>
                <w:sz w:val="22"/>
                <w:szCs w:val="22"/>
              </w:rPr>
            </w:pPr>
          </w:p>
          <w:p w14:paraId="238A62A3" w14:textId="77777777" w:rsidR="000857FC" w:rsidRDefault="000857FC" w:rsidP="007922F9">
            <w:pPr>
              <w:rPr>
                <w:sz w:val="22"/>
                <w:szCs w:val="22"/>
                <w:lang w:eastAsia="en-US"/>
              </w:rPr>
            </w:pPr>
          </w:p>
          <w:p w14:paraId="2CEE8CBF" w14:textId="77777777" w:rsidR="000857FC" w:rsidRDefault="000857FC" w:rsidP="007922F9">
            <w:pPr>
              <w:rPr>
                <w:sz w:val="22"/>
                <w:szCs w:val="22"/>
                <w:lang w:eastAsia="en-US"/>
              </w:rPr>
            </w:pPr>
          </w:p>
          <w:p w14:paraId="781AF6E1" w14:textId="77777777" w:rsidR="000857FC" w:rsidRDefault="000857FC" w:rsidP="007922F9">
            <w:pPr>
              <w:rPr>
                <w:sz w:val="22"/>
                <w:szCs w:val="22"/>
                <w:lang w:eastAsia="en-US"/>
              </w:rPr>
            </w:pPr>
          </w:p>
          <w:p w14:paraId="6B73047D" w14:textId="569A4A23" w:rsidR="007922F9" w:rsidRPr="004002DA" w:rsidRDefault="007922F9" w:rsidP="007922F9">
            <w:pPr>
              <w:rPr>
                <w:sz w:val="22"/>
                <w:szCs w:val="22"/>
              </w:rPr>
            </w:pPr>
            <w:r w:rsidRPr="004002DA">
              <w:rPr>
                <w:sz w:val="22"/>
                <w:szCs w:val="22"/>
                <w:lang w:eastAsia="en-US"/>
              </w:rPr>
              <w:t>200 persons (100 % of staff) working with violent extremist prisoners (15 % female staff) by 2018</w:t>
            </w:r>
            <w:r w:rsidRPr="004002DA">
              <w:rPr>
                <w:b/>
                <w:sz w:val="22"/>
                <w:szCs w:val="22"/>
                <w:lang w:eastAsia="en-US"/>
              </w:rPr>
              <w:fldChar w:fldCharType="end"/>
            </w:r>
          </w:p>
        </w:tc>
        <w:tc>
          <w:tcPr>
            <w:tcW w:w="1710" w:type="dxa"/>
          </w:tcPr>
          <w:p w14:paraId="48E84916" w14:textId="77777777" w:rsidR="000857FC" w:rsidRPr="004002DA" w:rsidRDefault="000857FC" w:rsidP="000857FC">
            <w:pPr>
              <w:rPr>
                <w:bCs/>
                <w:sz w:val="22"/>
                <w:szCs w:val="22"/>
              </w:rPr>
            </w:pPr>
            <w:r w:rsidRPr="004002DA">
              <w:rPr>
                <w:bCs/>
                <w:sz w:val="22"/>
                <w:szCs w:val="22"/>
              </w:rPr>
              <w:t>10 regulatory documents developed:1 draft law on combatting terrorism;</w:t>
            </w:r>
          </w:p>
          <w:p w14:paraId="1248AD75" w14:textId="77777777" w:rsidR="000857FC" w:rsidRPr="004002DA" w:rsidRDefault="000857FC" w:rsidP="000857FC">
            <w:pPr>
              <w:rPr>
                <w:bCs/>
                <w:sz w:val="22"/>
                <w:szCs w:val="22"/>
              </w:rPr>
            </w:pPr>
            <w:r w:rsidRPr="004002DA">
              <w:rPr>
                <w:bCs/>
                <w:sz w:val="22"/>
                <w:szCs w:val="22"/>
              </w:rPr>
              <w:t>9 probation regulations</w:t>
            </w:r>
          </w:p>
          <w:p w14:paraId="36802054" w14:textId="1BA86B2F" w:rsidR="007922F9" w:rsidRPr="004002DA" w:rsidRDefault="007922F9" w:rsidP="000857FC">
            <w:pPr>
              <w:jc w:val="center"/>
              <w:rPr>
                <w:rFonts w:cs="Tahoma"/>
                <w:b/>
                <w:sz w:val="22"/>
                <w:szCs w:val="22"/>
                <w:lang w:eastAsia="en-US"/>
              </w:rPr>
            </w:pPr>
          </w:p>
        </w:tc>
        <w:tc>
          <w:tcPr>
            <w:tcW w:w="2610" w:type="dxa"/>
          </w:tcPr>
          <w:p w14:paraId="2736CF9E" w14:textId="50B0D0BF" w:rsidR="007922F9" w:rsidRPr="004002DA" w:rsidRDefault="007922F9" w:rsidP="000857FC">
            <w:pPr>
              <w:rPr>
                <w:bCs/>
                <w:sz w:val="22"/>
                <w:szCs w:val="22"/>
              </w:rPr>
            </w:pPr>
            <w:r w:rsidRPr="004002DA">
              <w:rPr>
                <w:bCs/>
                <w:sz w:val="22"/>
                <w:szCs w:val="22"/>
              </w:rPr>
              <w:t>10 regulatory documents:</w:t>
            </w:r>
            <w:r w:rsidR="000857FC">
              <w:rPr>
                <w:bCs/>
                <w:sz w:val="22"/>
                <w:szCs w:val="22"/>
              </w:rPr>
              <w:t xml:space="preserve"> 2</w:t>
            </w:r>
            <w:r w:rsidRPr="004002DA">
              <w:rPr>
                <w:bCs/>
                <w:sz w:val="22"/>
                <w:szCs w:val="22"/>
              </w:rPr>
              <w:t xml:space="preserve"> law</w:t>
            </w:r>
            <w:r w:rsidR="000857FC">
              <w:rPr>
                <w:bCs/>
                <w:sz w:val="22"/>
                <w:szCs w:val="22"/>
              </w:rPr>
              <w:t>s</w:t>
            </w:r>
            <w:r w:rsidRPr="004002DA">
              <w:rPr>
                <w:bCs/>
                <w:sz w:val="22"/>
                <w:szCs w:val="22"/>
              </w:rPr>
              <w:t xml:space="preserve"> on combatting terrorism</w:t>
            </w:r>
            <w:r w:rsidR="000857FC">
              <w:rPr>
                <w:bCs/>
                <w:sz w:val="22"/>
                <w:szCs w:val="22"/>
              </w:rPr>
              <w:t xml:space="preserve"> and countering extremism</w:t>
            </w:r>
            <w:r w:rsidRPr="004002DA">
              <w:rPr>
                <w:bCs/>
                <w:sz w:val="22"/>
                <w:szCs w:val="22"/>
              </w:rPr>
              <w:t>;</w:t>
            </w:r>
            <w:r w:rsidR="000857FC">
              <w:rPr>
                <w:bCs/>
                <w:sz w:val="22"/>
                <w:szCs w:val="22"/>
              </w:rPr>
              <w:t xml:space="preserve"> 13</w:t>
            </w:r>
            <w:r w:rsidRPr="004002DA">
              <w:rPr>
                <w:bCs/>
                <w:sz w:val="22"/>
                <w:szCs w:val="22"/>
              </w:rPr>
              <w:t xml:space="preserve"> regulations</w:t>
            </w:r>
            <w:r w:rsidR="000857FC" w:rsidRPr="000857FC">
              <w:rPr>
                <w:rFonts w:cs="Tahoma"/>
                <w:b/>
                <w:sz w:val="22"/>
                <w:szCs w:val="22"/>
                <w:lang w:eastAsia="en-US"/>
              </w:rPr>
              <w:t xml:space="preserve"> </w:t>
            </w:r>
            <w:r w:rsidR="000857FC" w:rsidRPr="000857FC">
              <w:rPr>
                <w:rFonts w:cs="Tahoma"/>
                <w:bCs/>
                <w:sz w:val="22"/>
                <w:szCs w:val="22"/>
                <w:lang w:eastAsia="en-US"/>
              </w:rPr>
              <w:t xml:space="preserve">relating to probation and management/organization of penitentiary system, </w:t>
            </w:r>
            <w:proofErr w:type="spellStart"/>
            <w:proofErr w:type="gramStart"/>
            <w:r w:rsidR="000857FC" w:rsidRPr="000857FC">
              <w:rPr>
                <w:rFonts w:cs="Tahoma"/>
                <w:bCs/>
                <w:sz w:val="22"/>
                <w:szCs w:val="22"/>
                <w:lang w:eastAsia="en-US"/>
              </w:rPr>
              <w:t>incl.work</w:t>
            </w:r>
            <w:proofErr w:type="spellEnd"/>
            <w:proofErr w:type="gramEnd"/>
            <w:r w:rsidR="000857FC" w:rsidRPr="000857FC">
              <w:rPr>
                <w:rFonts w:cs="Tahoma"/>
                <w:bCs/>
                <w:sz w:val="22"/>
                <w:szCs w:val="22"/>
                <w:lang w:eastAsia="en-US"/>
              </w:rPr>
              <w:t xml:space="preserve"> with VEPs</w:t>
            </w:r>
          </w:p>
          <w:p w14:paraId="7CC7A4A8" w14:textId="77777777" w:rsidR="007922F9" w:rsidRPr="004002DA" w:rsidRDefault="007922F9" w:rsidP="007922F9">
            <w:pPr>
              <w:rPr>
                <w:bCs/>
                <w:sz w:val="22"/>
                <w:szCs w:val="22"/>
              </w:rPr>
            </w:pPr>
          </w:p>
          <w:p w14:paraId="6769C99E" w14:textId="4379E8FA" w:rsidR="007922F9" w:rsidRPr="004002DA" w:rsidRDefault="007922F9" w:rsidP="007922F9">
            <w:pPr>
              <w:rPr>
                <w:sz w:val="22"/>
                <w:szCs w:val="22"/>
              </w:rPr>
            </w:pPr>
            <w:r w:rsidRPr="004002DA">
              <w:rPr>
                <w:bCs/>
                <w:sz w:val="22"/>
                <w:szCs w:val="22"/>
              </w:rPr>
              <w:t>2</w:t>
            </w:r>
            <w:r w:rsidR="00390A4B">
              <w:rPr>
                <w:bCs/>
                <w:sz w:val="22"/>
                <w:szCs w:val="22"/>
              </w:rPr>
              <w:t>60</w:t>
            </w:r>
            <w:r w:rsidRPr="004002DA">
              <w:rPr>
                <w:bCs/>
                <w:sz w:val="22"/>
                <w:szCs w:val="22"/>
              </w:rPr>
              <w:t xml:space="preserve"> prison staff (97 women) working with VEPs applying new criminal legislation, policies and procedures on VEPs management</w:t>
            </w:r>
          </w:p>
        </w:tc>
        <w:tc>
          <w:tcPr>
            <w:tcW w:w="1890" w:type="dxa"/>
          </w:tcPr>
          <w:p w14:paraId="2724ACD6" w14:textId="137ADC34" w:rsidR="000857FC" w:rsidRPr="000857FC" w:rsidRDefault="007922F9" w:rsidP="000857FC">
            <w:pPr>
              <w:jc w:val="center"/>
              <w:rPr>
                <w:rFonts w:cs="Tahoma"/>
                <w:b/>
                <w:sz w:val="22"/>
                <w:szCs w:val="22"/>
                <w:lang w:eastAsia="en-US"/>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fldChar w:fldCharType="end"/>
            </w:r>
          </w:p>
          <w:p w14:paraId="60688F88" w14:textId="2A4517C3" w:rsidR="007922F9" w:rsidRPr="004002DA" w:rsidRDefault="000857FC" w:rsidP="000857FC">
            <w:pPr>
              <w:rPr>
                <w:sz w:val="22"/>
                <w:szCs w:val="22"/>
              </w:rPr>
            </w:pPr>
            <w:r w:rsidRPr="000857FC">
              <w:rPr>
                <w:rFonts w:cs="Tahoma"/>
                <w:b/>
                <w:sz w:val="22"/>
                <w:szCs w:val="22"/>
                <w:lang w:eastAsia="en-US"/>
              </w:rPr>
              <w:t xml:space="preserve"> </w:t>
            </w:r>
          </w:p>
        </w:tc>
      </w:tr>
      <w:tr w:rsidR="007922F9" w:rsidRPr="004002DA" w14:paraId="40AE0320" w14:textId="77777777" w:rsidTr="000857FC">
        <w:trPr>
          <w:trHeight w:val="58"/>
        </w:trPr>
        <w:tc>
          <w:tcPr>
            <w:tcW w:w="2340" w:type="dxa"/>
            <w:vMerge/>
          </w:tcPr>
          <w:p w14:paraId="7E10E4F4" w14:textId="77777777" w:rsidR="007922F9" w:rsidRPr="004002DA" w:rsidRDefault="007922F9" w:rsidP="007922F9">
            <w:pPr>
              <w:rPr>
                <w:rFonts w:cs="Tahoma"/>
                <w:b/>
                <w:sz w:val="22"/>
                <w:szCs w:val="22"/>
                <w:lang w:eastAsia="en-US"/>
              </w:rPr>
            </w:pPr>
          </w:p>
        </w:tc>
        <w:tc>
          <w:tcPr>
            <w:tcW w:w="2982" w:type="dxa"/>
            <w:shd w:val="clear" w:color="auto" w:fill="EEECE1"/>
          </w:tcPr>
          <w:p w14:paraId="692C69B6" w14:textId="77777777" w:rsidR="007922F9" w:rsidRPr="004002DA" w:rsidRDefault="007922F9" w:rsidP="007922F9">
            <w:pPr>
              <w:jc w:val="both"/>
              <w:rPr>
                <w:rFonts w:cs="Tahoma"/>
                <w:sz w:val="22"/>
                <w:szCs w:val="22"/>
                <w:lang w:eastAsia="en-US"/>
              </w:rPr>
            </w:pPr>
            <w:r w:rsidRPr="004002DA">
              <w:rPr>
                <w:rFonts w:cs="Tahoma"/>
                <w:sz w:val="22"/>
                <w:szCs w:val="22"/>
                <w:lang w:eastAsia="en-US"/>
              </w:rPr>
              <w:t>Indicator 1.1.2</w:t>
            </w:r>
          </w:p>
          <w:p w14:paraId="67E05BBB" w14:textId="77777777" w:rsidR="007922F9" w:rsidRPr="004002DA" w:rsidRDefault="007922F9" w:rsidP="007922F9">
            <w:pPr>
              <w:rPr>
                <w:rFonts w:cs="Tahoma"/>
                <w:sz w:val="22"/>
                <w:szCs w:val="22"/>
                <w:lang w:eastAsia="en-US"/>
              </w:rPr>
            </w:pPr>
            <w:r w:rsidRPr="004002DA">
              <w:rPr>
                <w:b/>
                <w:sz w:val="22"/>
                <w:szCs w:val="22"/>
                <w:lang w:eastAsia="en-US"/>
              </w:rPr>
              <w:fldChar w:fldCharType="begin">
                <w:ffData>
                  <w:name w:val=""/>
                  <w:enabled/>
                  <w:calcOnExit w:val="0"/>
                  <w:textInput>
                    <w:maxLength w:val="25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 xml:space="preserve">Number of violent extremist offenders and members of their families involved in social reintegration programmes </w:t>
            </w:r>
            <w:r w:rsidRPr="004002DA">
              <w:rPr>
                <w:b/>
                <w:sz w:val="22"/>
                <w:szCs w:val="22"/>
                <w:lang w:eastAsia="en-US"/>
              </w:rPr>
              <w:fldChar w:fldCharType="end"/>
            </w:r>
          </w:p>
        </w:tc>
        <w:tc>
          <w:tcPr>
            <w:tcW w:w="1530" w:type="dxa"/>
            <w:shd w:val="clear" w:color="auto" w:fill="EEECE1"/>
          </w:tcPr>
          <w:p w14:paraId="252C155D" w14:textId="4EACA160"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rPr>
              <w:t>0</w:t>
            </w:r>
            <w:r w:rsidRPr="004002DA">
              <w:rPr>
                <w:b/>
                <w:sz w:val="22"/>
                <w:szCs w:val="22"/>
                <w:lang w:eastAsia="en-US"/>
              </w:rPr>
              <w:fldChar w:fldCharType="end"/>
            </w:r>
          </w:p>
        </w:tc>
        <w:tc>
          <w:tcPr>
            <w:tcW w:w="1698" w:type="dxa"/>
            <w:shd w:val="clear" w:color="auto" w:fill="EEECE1"/>
          </w:tcPr>
          <w:p w14:paraId="273C5100" w14:textId="4FB7CAF2"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150 persons (at least 50 women) by 2020</w:t>
            </w:r>
            <w:r w:rsidRPr="004002DA">
              <w:rPr>
                <w:b/>
                <w:sz w:val="22"/>
                <w:szCs w:val="22"/>
                <w:lang w:eastAsia="en-US"/>
              </w:rPr>
              <w:fldChar w:fldCharType="end"/>
            </w:r>
          </w:p>
        </w:tc>
        <w:tc>
          <w:tcPr>
            <w:tcW w:w="1710" w:type="dxa"/>
          </w:tcPr>
          <w:p w14:paraId="4FFC3A07" w14:textId="42E8D947" w:rsidR="007922F9" w:rsidRPr="004002DA" w:rsidRDefault="00F56EC3" w:rsidP="000857FC">
            <w:pPr>
              <w:rPr>
                <w:rFonts w:cs="Tahoma"/>
                <w:b/>
                <w:sz w:val="22"/>
                <w:szCs w:val="22"/>
                <w:lang w:eastAsia="en-US"/>
              </w:rPr>
            </w:pPr>
            <w:r w:rsidRPr="004002DA">
              <w:rPr>
                <w:rFonts w:cstheme="minorHAnsi"/>
                <w:sz w:val="22"/>
                <w:szCs w:val="22"/>
                <w:lang w:val="en-US"/>
              </w:rPr>
              <w:t xml:space="preserve">23 probation clients (13 men, 10 women) and 10 vulnerable families (selected cases) underwent through the pilot rehabilitation and resocialization </w:t>
            </w:r>
            <w:proofErr w:type="spellStart"/>
            <w:r w:rsidRPr="004002DA">
              <w:rPr>
                <w:rFonts w:cstheme="minorHAnsi"/>
                <w:sz w:val="22"/>
                <w:szCs w:val="22"/>
                <w:lang w:val="en-US"/>
              </w:rPr>
              <w:t>programme</w:t>
            </w:r>
            <w:proofErr w:type="spellEnd"/>
          </w:p>
        </w:tc>
        <w:tc>
          <w:tcPr>
            <w:tcW w:w="2610" w:type="dxa"/>
          </w:tcPr>
          <w:p w14:paraId="085AAEB2" w14:textId="4790DFE1" w:rsidR="00F56EC3" w:rsidRPr="004002DA" w:rsidRDefault="00F56EC3" w:rsidP="00F56EC3">
            <w:pPr>
              <w:rPr>
                <w:sz w:val="22"/>
                <w:szCs w:val="22"/>
              </w:rPr>
            </w:pPr>
            <w:r w:rsidRPr="004002DA">
              <w:rPr>
                <w:sz w:val="22"/>
                <w:szCs w:val="22"/>
              </w:rPr>
              <w:t>over 400 violent extremist prisoners (20% women) engaged in the social rehabilitation program incl. psychological support, legal aid, health and social services, vocational training and employment opportunities</w:t>
            </w:r>
          </w:p>
          <w:p w14:paraId="1A4AEDE5" w14:textId="083F323E" w:rsidR="007922F9" w:rsidRPr="004002DA" w:rsidRDefault="007922F9" w:rsidP="00F56EC3">
            <w:pPr>
              <w:rPr>
                <w:bCs/>
                <w:sz w:val="22"/>
                <w:szCs w:val="22"/>
              </w:rPr>
            </w:pPr>
          </w:p>
        </w:tc>
        <w:tc>
          <w:tcPr>
            <w:tcW w:w="1890" w:type="dxa"/>
          </w:tcPr>
          <w:p w14:paraId="47952B61" w14:textId="4050C4AC" w:rsidR="007922F9" w:rsidRPr="004002DA" w:rsidRDefault="007922F9" w:rsidP="00F56EC3">
            <w:pPr>
              <w:rPr>
                <w:sz w:val="22"/>
                <w:szCs w:val="22"/>
              </w:rPr>
            </w:pPr>
          </w:p>
        </w:tc>
      </w:tr>
      <w:tr w:rsidR="007922F9" w:rsidRPr="004002DA" w14:paraId="0E5A836C" w14:textId="77777777" w:rsidTr="00390A4B">
        <w:trPr>
          <w:trHeight w:val="440"/>
        </w:trPr>
        <w:tc>
          <w:tcPr>
            <w:tcW w:w="2340" w:type="dxa"/>
            <w:vMerge w:val="restart"/>
          </w:tcPr>
          <w:p w14:paraId="6EBAC920" w14:textId="77777777" w:rsidR="007922F9" w:rsidRPr="004002DA" w:rsidRDefault="007922F9" w:rsidP="007922F9">
            <w:pPr>
              <w:rPr>
                <w:rFonts w:cs="Tahoma"/>
                <w:sz w:val="22"/>
                <w:szCs w:val="22"/>
                <w:lang w:eastAsia="en-US"/>
              </w:rPr>
            </w:pPr>
            <w:r w:rsidRPr="004002DA">
              <w:rPr>
                <w:rFonts w:cs="Tahoma"/>
                <w:sz w:val="22"/>
                <w:szCs w:val="22"/>
                <w:lang w:eastAsia="en-US"/>
              </w:rPr>
              <w:lastRenderedPageBreak/>
              <w:t>Output 1.2</w:t>
            </w:r>
          </w:p>
          <w:p w14:paraId="0EC2BD0D" w14:textId="77777777" w:rsidR="007922F9" w:rsidRPr="004002DA" w:rsidRDefault="007922F9" w:rsidP="007922F9">
            <w:pPr>
              <w:rPr>
                <w:rFonts w:cs="Tahoma"/>
                <w:sz w:val="22"/>
                <w:szCs w:val="22"/>
                <w:lang w:eastAsia="en-US"/>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 xml:space="preserve">Probation staff and police officers facilitate the social reintegration of violent extremist offenders into the community and promote community partnerships to prevent violent extremism </w:t>
            </w:r>
            <w:r w:rsidRPr="004002DA">
              <w:rPr>
                <w:b/>
                <w:sz w:val="22"/>
                <w:szCs w:val="22"/>
                <w:lang w:eastAsia="en-US"/>
              </w:rPr>
              <w:fldChar w:fldCharType="end"/>
            </w:r>
          </w:p>
        </w:tc>
        <w:tc>
          <w:tcPr>
            <w:tcW w:w="2982" w:type="dxa"/>
            <w:shd w:val="clear" w:color="auto" w:fill="EEECE1"/>
          </w:tcPr>
          <w:p w14:paraId="5FDB48E7" w14:textId="77777777" w:rsidR="007922F9" w:rsidRPr="004002DA" w:rsidRDefault="007922F9" w:rsidP="007922F9">
            <w:pPr>
              <w:jc w:val="both"/>
              <w:rPr>
                <w:rFonts w:cs="Tahoma"/>
                <w:sz w:val="22"/>
                <w:szCs w:val="22"/>
                <w:lang w:eastAsia="en-US"/>
              </w:rPr>
            </w:pPr>
            <w:proofErr w:type="gramStart"/>
            <w:r w:rsidRPr="004002DA">
              <w:rPr>
                <w:rFonts w:cs="Tahoma"/>
                <w:sz w:val="22"/>
                <w:szCs w:val="22"/>
                <w:lang w:eastAsia="en-US"/>
              </w:rPr>
              <w:t>Indicator  1.2.1</w:t>
            </w:r>
            <w:proofErr w:type="gramEnd"/>
          </w:p>
          <w:p w14:paraId="7A88B40F" w14:textId="77777777" w:rsidR="007922F9" w:rsidRPr="004002DA" w:rsidRDefault="007922F9" w:rsidP="007922F9">
            <w:pPr>
              <w:jc w:val="both"/>
              <w:rPr>
                <w:rFonts w:cs="Tahoma"/>
                <w:sz w:val="22"/>
                <w:szCs w:val="22"/>
                <w:lang w:eastAsia="en-US"/>
              </w:rPr>
            </w:pPr>
            <w:r w:rsidRPr="004002DA">
              <w:rPr>
                <w:b/>
                <w:sz w:val="22"/>
                <w:szCs w:val="22"/>
                <w:lang w:eastAsia="en-US"/>
              </w:rPr>
              <w:fldChar w:fldCharType="begin">
                <w:ffData>
                  <w:name w:val=""/>
                  <w:enabled/>
                  <w:calcOnExit w:val="0"/>
                  <w:textInput>
                    <w:maxLength w:val="25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 xml:space="preserve">Number of vulnerable persons who benefited from community initiatives to prevent extremism and recidivism </w:t>
            </w:r>
            <w:r w:rsidRPr="004002DA">
              <w:rPr>
                <w:b/>
                <w:sz w:val="22"/>
                <w:szCs w:val="22"/>
                <w:lang w:eastAsia="en-US"/>
              </w:rPr>
              <w:fldChar w:fldCharType="end"/>
            </w:r>
          </w:p>
        </w:tc>
        <w:tc>
          <w:tcPr>
            <w:tcW w:w="1530" w:type="dxa"/>
            <w:shd w:val="clear" w:color="auto" w:fill="EEECE1"/>
          </w:tcPr>
          <w:p w14:paraId="6970A419" w14:textId="541763E7"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rPr>
              <w:t>0</w:t>
            </w:r>
            <w:r w:rsidRPr="004002DA">
              <w:rPr>
                <w:b/>
                <w:sz w:val="22"/>
                <w:szCs w:val="22"/>
                <w:lang w:eastAsia="en-US"/>
              </w:rPr>
              <w:fldChar w:fldCharType="end"/>
            </w:r>
          </w:p>
        </w:tc>
        <w:tc>
          <w:tcPr>
            <w:tcW w:w="1698" w:type="dxa"/>
            <w:shd w:val="clear" w:color="auto" w:fill="EEECE1"/>
          </w:tcPr>
          <w:p w14:paraId="21544EA4" w14:textId="20607EA5"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250 (at least 30% women) by 2020</w:t>
            </w:r>
            <w:r w:rsidRPr="004002DA">
              <w:rPr>
                <w:b/>
                <w:sz w:val="22"/>
                <w:szCs w:val="22"/>
                <w:lang w:eastAsia="en-US"/>
              </w:rPr>
              <w:fldChar w:fldCharType="end"/>
            </w:r>
          </w:p>
        </w:tc>
        <w:tc>
          <w:tcPr>
            <w:tcW w:w="1710" w:type="dxa"/>
          </w:tcPr>
          <w:p w14:paraId="3FB3BF99" w14:textId="77777777" w:rsidR="007922F9" w:rsidRPr="004002DA" w:rsidRDefault="007922F9" w:rsidP="007922F9">
            <w:pPr>
              <w:rPr>
                <w:bCs/>
                <w:sz w:val="22"/>
                <w:szCs w:val="22"/>
                <w:lang w:eastAsia="en-US"/>
              </w:rPr>
            </w:pPr>
            <w:r w:rsidRPr="004002DA">
              <w:rPr>
                <w:bCs/>
                <w:sz w:val="22"/>
                <w:szCs w:val="22"/>
                <w:lang w:eastAsia="en-US"/>
              </w:rPr>
              <w:t>135 probation clients (3rd year of project implementation)</w:t>
            </w:r>
          </w:p>
          <w:p w14:paraId="6DCA2061" w14:textId="77777777" w:rsidR="007922F9" w:rsidRPr="004002DA" w:rsidRDefault="007922F9" w:rsidP="007922F9">
            <w:pPr>
              <w:rPr>
                <w:bCs/>
                <w:sz w:val="22"/>
                <w:szCs w:val="22"/>
                <w:lang w:eastAsia="en-US"/>
              </w:rPr>
            </w:pPr>
          </w:p>
          <w:p w14:paraId="549A2A52" w14:textId="77777777" w:rsidR="007922F9" w:rsidRPr="004002DA" w:rsidRDefault="007922F9" w:rsidP="007922F9">
            <w:pPr>
              <w:rPr>
                <w:bCs/>
                <w:sz w:val="22"/>
                <w:szCs w:val="22"/>
                <w:lang w:eastAsia="en-US"/>
              </w:rPr>
            </w:pPr>
            <w:r w:rsidRPr="004002DA">
              <w:rPr>
                <w:bCs/>
                <w:sz w:val="22"/>
                <w:szCs w:val="22"/>
                <w:lang w:eastAsia="en-US"/>
              </w:rPr>
              <w:t>83 probation officers (26 women) from 24 regions enhanced skills on implementation of social reintegration programs.</w:t>
            </w:r>
          </w:p>
          <w:p w14:paraId="3A59B136" w14:textId="77777777" w:rsidR="007922F9" w:rsidRPr="004002DA" w:rsidRDefault="007922F9" w:rsidP="007922F9">
            <w:pPr>
              <w:jc w:val="center"/>
              <w:rPr>
                <w:rFonts w:cs="Tahoma"/>
                <w:b/>
                <w:sz w:val="22"/>
                <w:szCs w:val="22"/>
                <w:lang w:eastAsia="en-US"/>
              </w:rPr>
            </w:pPr>
          </w:p>
        </w:tc>
        <w:tc>
          <w:tcPr>
            <w:tcW w:w="2610" w:type="dxa"/>
          </w:tcPr>
          <w:p w14:paraId="33A9005C" w14:textId="77777777" w:rsidR="007922F9" w:rsidRPr="004002DA" w:rsidRDefault="007922F9" w:rsidP="007922F9">
            <w:pPr>
              <w:rPr>
                <w:sz w:val="22"/>
                <w:szCs w:val="22"/>
              </w:rPr>
            </w:pPr>
            <w:r w:rsidRPr="004002DA">
              <w:rPr>
                <w:bCs/>
                <w:sz w:val="22"/>
                <w:szCs w:val="22"/>
                <w:lang w:eastAsia="en-US"/>
              </w:rPr>
              <w:t xml:space="preserve">554 probation clients (305 women), including 101 (41 women, 40%) sentenced for extremism/ terrorism related </w:t>
            </w:r>
            <w:proofErr w:type="gramStart"/>
            <w:r w:rsidRPr="004002DA">
              <w:rPr>
                <w:bCs/>
                <w:sz w:val="22"/>
                <w:szCs w:val="22"/>
                <w:lang w:eastAsia="en-US"/>
              </w:rPr>
              <w:t>crimes,  employed</w:t>
            </w:r>
            <w:proofErr w:type="gramEnd"/>
            <w:r w:rsidRPr="004002DA">
              <w:rPr>
                <w:bCs/>
                <w:sz w:val="22"/>
                <w:szCs w:val="22"/>
                <w:lang w:eastAsia="en-US"/>
              </w:rPr>
              <w:t xml:space="preserve">, documented, received legal aid and placed in rehabilitation centres </w:t>
            </w:r>
          </w:p>
          <w:p w14:paraId="757F9A6B" w14:textId="77777777" w:rsidR="007922F9" w:rsidRPr="004002DA" w:rsidRDefault="007922F9" w:rsidP="007922F9">
            <w:pPr>
              <w:rPr>
                <w:sz w:val="22"/>
                <w:szCs w:val="22"/>
              </w:rPr>
            </w:pPr>
          </w:p>
          <w:p w14:paraId="1DF030F9" w14:textId="3BD51A62" w:rsidR="007922F9" w:rsidRPr="004002DA" w:rsidRDefault="007922F9" w:rsidP="007922F9">
            <w:pPr>
              <w:rPr>
                <w:bCs/>
                <w:sz w:val="22"/>
                <w:szCs w:val="22"/>
              </w:rPr>
            </w:pPr>
          </w:p>
        </w:tc>
        <w:tc>
          <w:tcPr>
            <w:tcW w:w="1890" w:type="dxa"/>
          </w:tcPr>
          <w:p w14:paraId="22937775" w14:textId="48FE8050" w:rsidR="007922F9" w:rsidRPr="004002DA" w:rsidRDefault="007922F9" w:rsidP="007922F9">
            <w:pPr>
              <w:rPr>
                <w:sz w:val="22"/>
                <w:szCs w:val="22"/>
              </w:rPr>
            </w:pPr>
            <w:r w:rsidRPr="004002DA">
              <w:rPr>
                <w:sz w:val="22"/>
                <w:szCs w:val="22"/>
              </w:rPr>
              <w:t xml:space="preserve"> </w:t>
            </w:r>
          </w:p>
        </w:tc>
      </w:tr>
      <w:tr w:rsidR="007922F9" w:rsidRPr="004002DA" w14:paraId="1C020FCF" w14:textId="77777777" w:rsidTr="00390A4B">
        <w:trPr>
          <w:trHeight w:val="467"/>
        </w:trPr>
        <w:tc>
          <w:tcPr>
            <w:tcW w:w="2340" w:type="dxa"/>
            <w:vMerge/>
          </w:tcPr>
          <w:p w14:paraId="41707763" w14:textId="77777777" w:rsidR="007922F9" w:rsidRPr="004002DA" w:rsidRDefault="007922F9" w:rsidP="007922F9">
            <w:pPr>
              <w:rPr>
                <w:rFonts w:cs="Tahoma"/>
                <w:b/>
                <w:sz w:val="22"/>
                <w:szCs w:val="22"/>
                <w:lang w:eastAsia="en-US"/>
              </w:rPr>
            </w:pPr>
          </w:p>
        </w:tc>
        <w:tc>
          <w:tcPr>
            <w:tcW w:w="2982" w:type="dxa"/>
            <w:shd w:val="clear" w:color="auto" w:fill="EEECE1"/>
          </w:tcPr>
          <w:p w14:paraId="12A0F0CD" w14:textId="77777777" w:rsidR="007922F9" w:rsidRPr="004002DA" w:rsidRDefault="007922F9" w:rsidP="007922F9">
            <w:pPr>
              <w:jc w:val="both"/>
              <w:rPr>
                <w:rFonts w:cs="Tahoma"/>
                <w:sz w:val="22"/>
                <w:szCs w:val="22"/>
                <w:lang w:eastAsia="en-US"/>
              </w:rPr>
            </w:pPr>
            <w:r w:rsidRPr="004002DA">
              <w:rPr>
                <w:rFonts w:cs="Tahoma"/>
                <w:sz w:val="22"/>
                <w:szCs w:val="22"/>
                <w:lang w:eastAsia="en-US"/>
              </w:rPr>
              <w:t>Indicator 1.2.2</w:t>
            </w:r>
          </w:p>
          <w:p w14:paraId="4342A829" w14:textId="5063B7B3" w:rsidR="007922F9" w:rsidRPr="004002DA" w:rsidRDefault="007922F9" w:rsidP="007922F9">
            <w:pPr>
              <w:jc w:val="both"/>
              <w:rPr>
                <w:sz w:val="22"/>
                <w:szCs w:val="22"/>
              </w:rPr>
            </w:pPr>
            <w:r w:rsidRPr="004002DA">
              <w:rPr>
                <w:b/>
                <w:sz w:val="22"/>
                <w:szCs w:val="22"/>
                <w:lang w:eastAsia="en-US"/>
              </w:rPr>
              <w:fldChar w:fldCharType="begin">
                <w:ffData>
                  <w:name w:val=""/>
                  <w:enabled/>
                  <w:calcOnExit w:val="0"/>
                  <w:textInput>
                    <w:maxLength w:val="25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Percentage of duty bearers and rights holders who believe that community initiatives contribute to the prevention of extremism and recidivism</w:t>
            </w:r>
          </w:p>
          <w:p w14:paraId="6F3A15DE" w14:textId="77777777" w:rsidR="007922F9" w:rsidRPr="004002DA" w:rsidRDefault="007922F9" w:rsidP="007922F9">
            <w:pPr>
              <w:jc w:val="both"/>
              <w:rPr>
                <w:rFonts w:cs="Tahoma"/>
                <w:sz w:val="22"/>
                <w:szCs w:val="22"/>
                <w:lang w:eastAsia="en-US"/>
              </w:rPr>
            </w:pPr>
            <w:r w:rsidRPr="004002DA">
              <w:rPr>
                <w:b/>
                <w:sz w:val="22"/>
                <w:szCs w:val="22"/>
                <w:lang w:eastAsia="en-US"/>
              </w:rPr>
              <w:fldChar w:fldCharType="end"/>
            </w:r>
          </w:p>
        </w:tc>
        <w:tc>
          <w:tcPr>
            <w:tcW w:w="1530" w:type="dxa"/>
            <w:shd w:val="clear" w:color="auto" w:fill="EEECE1"/>
          </w:tcPr>
          <w:p w14:paraId="0843CBFC" w14:textId="77777777" w:rsidR="007922F9" w:rsidRPr="004002DA" w:rsidRDefault="007922F9" w:rsidP="007922F9">
            <w:pPr>
              <w:rPr>
                <w:sz w:val="22"/>
                <w:szCs w:val="22"/>
              </w:rPr>
            </w:pPr>
          </w:p>
          <w:p w14:paraId="2265D1D9" w14:textId="2BF547DB" w:rsidR="007922F9" w:rsidRPr="004002DA" w:rsidRDefault="007922F9" w:rsidP="007922F9">
            <w:pPr>
              <w:rPr>
                <w:sz w:val="22"/>
                <w:szCs w:val="22"/>
              </w:rPr>
            </w:pPr>
            <w:r w:rsidRPr="004002DA">
              <w:rPr>
                <w:sz w:val="22"/>
                <w:szCs w:val="22"/>
              </w:rPr>
              <w:t xml:space="preserve">16% duty bearers and 3.9% right holders </w:t>
            </w:r>
          </w:p>
        </w:tc>
        <w:tc>
          <w:tcPr>
            <w:tcW w:w="1698" w:type="dxa"/>
            <w:shd w:val="clear" w:color="auto" w:fill="EEECE1"/>
          </w:tcPr>
          <w:p w14:paraId="37303066" w14:textId="668D5C72"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15% increase in the perception that community initiatives are effective</w:t>
            </w:r>
            <w:r w:rsidRPr="004002DA">
              <w:rPr>
                <w:b/>
                <w:sz w:val="22"/>
                <w:szCs w:val="22"/>
                <w:lang w:eastAsia="en-US"/>
              </w:rPr>
              <w:fldChar w:fldCharType="end"/>
            </w:r>
          </w:p>
        </w:tc>
        <w:tc>
          <w:tcPr>
            <w:tcW w:w="1710" w:type="dxa"/>
          </w:tcPr>
          <w:p w14:paraId="4EBD863B" w14:textId="417BE1CB" w:rsidR="007922F9" w:rsidRPr="004002DA" w:rsidRDefault="007922F9" w:rsidP="007922F9">
            <w:pPr>
              <w:jc w:val="center"/>
              <w:rPr>
                <w:rFonts w:cs="Tahoma"/>
                <w:b/>
                <w:sz w:val="22"/>
                <w:szCs w:val="22"/>
                <w:lang w:eastAsia="en-US"/>
              </w:rPr>
            </w:pPr>
            <w:r w:rsidRPr="004002DA">
              <w:rPr>
                <w:bCs/>
                <w:sz w:val="22"/>
                <w:szCs w:val="22"/>
                <w:lang w:eastAsia="en-US"/>
              </w:rPr>
              <w:t xml:space="preserve">2018 </w:t>
            </w:r>
            <w:r w:rsidRPr="004002DA">
              <w:rPr>
                <w:bCs/>
                <w:sz w:val="22"/>
                <w:szCs w:val="22"/>
                <w:lang w:val="en-US" w:eastAsia="en-US"/>
              </w:rPr>
              <w:t xml:space="preserve">situational analysis on the system of rehabilitation and probation of vulnerable population (109 respondents incl.9 ex-offenders); 2019 monitoring report on management of </w:t>
            </w:r>
            <w:r w:rsidRPr="004002DA">
              <w:rPr>
                <w:bCs/>
                <w:sz w:val="22"/>
                <w:szCs w:val="22"/>
                <w:lang w:val="en-US" w:eastAsia="en-US"/>
              </w:rPr>
              <w:lastRenderedPageBreak/>
              <w:t xml:space="preserve">VEPs in open-type prisons and on probation (101 respondents, incl.76 offenders) </w:t>
            </w:r>
          </w:p>
        </w:tc>
        <w:tc>
          <w:tcPr>
            <w:tcW w:w="2610" w:type="dxa"/>
          </w:tcPr>
          <w:p w14:paraId="57D362B8" w14:textId="58206405" w:rsidR="007922F9" w:rsidRPr="004002DA" w:rsidRDefault="007922F9" w:rsidP="007922F9">
            <w:pPr>
              <w:rPr>
                <w:sz w:val="22"/>
                <w:szCs w:val="22"/>
              </w:rPr>
            </w:pPr>
            <w:r w:rsidRPr="004002DA">
              <w:rPr>
                <w:b/>
                <w:sz w:val="22"/>
                <w:szCs w:val="22"/>
                <w:lang w:eastAsia="en-US"/>
              </w:rPr>
              <w:lastRenderedPageBreak/>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progress indicator</w:t>
            </w:r>
            <w:r w:rsidRPr="004002DA">
              <w:rPr>
                <w:b/>
                <w:sz w:val="22"/>
                <w:szCs w:val="22"/>
                <w:lang w:eastAsia="en-US"/>
              </w:rPr>
              <w:fldChar w:fldCharType="end"/>
            </w:r>
            <w:r w:rsidRPr="004002DA">
              <w:rPr>
                <w:b/>
                <w:sz w:val="22"/>
                <w:szCs w:val="22"/>
                <w:lang w:eastAsia="en-US"/>
              </w:rPr>
              <w:t xml:space="preserve"> </w:t>
            </w:r>
            <w:r w:rsidRPr="004002DA">
              <w:rPr>
                <w:bCs/>
                <w:sz w:val="22"/>
                <w:szCs w:val="22"/>
                <w:lang w:eastAsia="en-US"/>
              </w:rPr>
              <w:t>will be set based on the final evaluation results</w:t>
            </w:r>
          </w:p>
        </w:tc>
        <w:tc>
          <w:tcPr>
            <w:tcW w:w="1890" w:type="dxa"/>
          </w:tcPr>
          <w:p w14:paraId="637F0C27" w14:textId="6DA9EF27" w:rsidR="007922F9" w:rsidRPr="004002DA" w:rsidRDefault="007922F9" w:rsidP="007922F9">
            <w:pPr>
              <w:rPr>
                <w:sz w:val="22"/>
                <w:szCs w:val="22"/>
              </w:rPr>
            </w:pPr>
            <w:r w:rsidRPr="004002DA">
              <w:rPr>
                <w:bCs/>
                <w:sz w:val="22"/>
                <w:szCs w:val="22"/>
                <w:lang w:eastAsia="en-US"/>
              </w:rPr>
              <w:fldChar w:fldCharType="begin">
                <w:ffData>
                  <w:name w:val=""/>
                  <w:enabled/>
                  <w:calcOnExit w:val="0"/>
                  <w:textInput>
                    <w:maxLength w:val="300"/>
                  </w:textInput>
                </w:ffData>
              </w:fldChar>
            </w:r>
            <w:r w:rsidRPr="004002DA">
              <w:rPr>
                <w:bCs/>
                <w:sz w:val="22"/>
                <w:szCs w:val="22"/>
                <w:lang w:eastAsia="en-US"/>
              </w:rPr>
              <w:instrText xml:space="preserve"> FORMTEXT </w:instrText>
            </w:r>
            <w:r w:rsidRPr="004002DA">
              <w:rPr>
                <w:bCs/>
                <w:sz w:val="22"/>
                <w:szCs w:val="22"/>
                <w:lang w:eastAsia="en-US"/>
              </w:rPr>
            </w:r>
            <w:r w:rsidRPr="004002DA">
              <w:rPr>
                <w:bCs/>
                <w:sz w:val="22"/>
                <w:szCs w:val="22"/>
                <w:lang w:eastAsia="en-US"/>
              </w:rPr>
              <w:fldChar w:fldCharType="separate"/>
            </w:r>
            <w:r w:rsidRPr="004002DA">
              <w:rPr>
                <w:bCs/>
                <w:sz w:val="22"/>
                <w:szCs w:val="22"/>
                <w:lang w:eastAsia="en-US"/>
              </w:rPr>
              <w:t xml:space="preserve">The initially planned baseline-/end-line surveys have been cancelled due to COVID </w:t>
            </w:r>
            <w:r w:rsidRPr="004002DA">
              <w:rPr>
                <w:bCs/>
                <w:sz w:val="22"/>
                <w:szCs w:val="22"/>
                <w:lang w:eastAsia="en-US"/>
              </w:rPr>
              <w:fldChar w:fldCharType="end"/>
            </w:r>
            <w:r w:rsidRPr="004002DA">
              <w:rPr>
                <w:bCs/>
                <w:sz w:val="22"/>
                <w:szCs w:val="22"/>
                <w:lang w:eastAsia="en-US"/>
              </w:rPr>
              <w:t xml:space="preserve">quarantine restrictions; the baseline proxy data source: situational analysis and </w:t>
            </w:r>
            <w:r w:rsidRPr="004002DA">
              <w:rPr>
                <w:bCs/>
                <w:sz w:val="22"/>
                <w:szCs w:val="22"/>
                <w:lang w:eastAsia="en-US"/>
              </w:rPr>
              <w:lastRenderedPageBreak/>
              <w:t>public monitoring report</w:t>
            </w:r>
          </w:p>
        </w:tc>
      </w:tr>
      <w:tr w:rsidR="007922F9" w:rsidRPr="004002DA" w14:paraId="6F73F499" w14:textId="77777777" w:rsidTr="00390A4B">
        <w:trPr>
          <w:trHeight w:val="422"/>
        </w:trPr>
        <w:tc>
          <w:tcPr>
            <w:tcW w:w="2340" w:type="dxa"/>
            <w:vMerge w:val="restart"/>
          </w:tcPr>
          <w:p w14:paraId="1625314C" w14:textId="77777777" w:rsidR="007922F9" w:rsidRPr="004002DA" w:rsidRDefault="007922F9" w:rsidP="007922F9">
            <w:pPr>
              <w:rPr>
                <w:rFonts w:cs="Tahoma"/>
                <w:sz w:val="22"/>
                <w:szCs w:val="22"/>
                <w:lang w:eastAsia="en-US"/>
              </w:rPr>
            </w:pPr>
            <w:r w:rsidRPr="004002DA">
              <w:rPr>
                <w:rFonts w:cs="Tahoma"/>
                <w:sz w:val="22"/>
                <w:szCs w:val="22"/>
                <w:lang w:eastAsia="en-US"/>
              </w:rPr>
              <w:lastRenderedPageBreak/>
              <w:t>Output 1.3</w:t>
            </w:r>
          </w:p>
          <w:p w14:paraId="2BE0F3D2" w14:textId="77777777" w:rsidR="007922F9" w:rsidRPr="004002DA" w:rsidRDefault="007922F9" w:rsidP="007922F9">
            <w:pPr>
              <w:rPr>
                <w:rFonts w:cs="Tahoma"/>
                <w:sz w:val="22"/>
                <w:szCs w:val="22"/>
                <w:lang w:eastAsia="en-US"/>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Forensic experts provide high-quality expertise in terrorism and extremism related cases</w:t>
            </w:r>
            <w:r w:rsidRPr="004002DA">
              <w:rPr>
                <w:b/>
                <w:sz w:val="22"/>
                <w:szCs w:val="22"/>
                <w:lang w:eastAsia="en-US"/>
              </w:rPr>
              <w:fldChar w:fldCharType="end"/>
            </w:r>
          </w:p>
        </w:tc>
        <w:tc>
          <w:tcPr>
            <w:tcW w:w="2982" w:type="dxa"/>
            <w:shd w:val="clear" w:color="auto" w:fill="EEECE1"/>
          </w:tcPr>
          <w:p w14:paraId="6FF69681" w14:textId="77777777" w:rsidR="007922F9" w:rsidRPr="004002DA" w:rsidRDefault="007922F9" w:rsidP="007922F9">
            <w:pPr>
              <w:jc w:val="both"/>
              <w:rPr>
                <w:rFonts w:cs="Tahoma"/>
                <w:sz w:val="22"/>
                <w:szCs w:val="22"/>
                <w:lang w:eastAsia="en-US"/>
              </w:rPr>
            </w:pPr>
            <w:r w:rsidRPr="004002DA">
              <w:rPr>
                <w:rFonts w:cs="Tahoma"/>
                <w:sz w:val="22"/>
                <w:szCs w:val="22"/>
                <w:lang w:eastAsia="en-US"/>
              </w:rPr>
              <w:t>Indicator 1.3.1</w:t>
            </w:r>
          </w:p>
          <w:p w14:paraId="61F8BD2F" w14:textId="77777777" w:rsidR="007922F9" w:rsidRPr="004002DA" w:rsidRDefault="007922F9" w:rsidP="007922F9">
            <w:pPr>
              <w:jc w:val="both"/>
              <w:rPr>
                <w:rFonts w:cs="Tahoma"/>
                <w:sz w:val="22"/>
                <w:szCs w:val="22"/>
                <w:lang w:eastAsia="en-US"/>
              </w:rPr>
            </w:pPr>
            <w:r w:rsidRPr="004002DA">
              <w:rPr>
                <w:b/>
                <w:sz w:val="22"/>
                <w:szCs w:val="22"/>
                <w:lang w:eastAsia="en-US"/>
              </w:rPr>
              <w:fldChar w:fldCharType="begin">
                <w:ffData>
                  <w:name w:val=""/>
                  <w:enabled/>
                  <w:calcOnExit w:val="0"/>
                  <w:textInput>
                    <w:maxLength w:val="25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 xml:space="preserve">Number of forensic examinations conducted by the State Forensic Service in relation to terrorism and extremism related crimes in line with national and international standards </w:t>
            </w:r>
            <w:r w:rsidRPr="004002DA">
              <w:rPr>
                <w:b/>
                <w:sz w:val="22"/>
                <w:szCs w:val="22"/>
                <w:lang w:eastAsia="en-US"/>
              </w:rPr>
              <w:fldChar w:fldCharType="end"/>
            </w:r>
          </w:p>
        </w:tc>
        <w:tc>
          <w:tcPr>
            <w:tcW w:w="1530" w:type="dxa"/>
            <w:shd w:val="clear" w:color="auto" w:fill="EEECE1"/>
          </w:tcPr>
          <w:p w14:paraId="1E7EAAB0" w14:textId="2B48951E"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rPr>
              <w:t>0</w:t>
            </w:r>
            <w:r w:rsidRPr="004002DA">
              <w:rPr>
                <w:b/>
                <w:sz w:val="22"/>
                <w:szCs w:val="22"/>
                <w:lang w:eastAsia="en-US"/>
              </w:rPr>
              <w:fldChar w:fldCharType="end"/>
            </w:r>
          </w:p>
        </w:tc>
        <w:tc>
          <w:tcPr>
            <w:tcW w:w="1698" w:type="dxa"/>
            <w:shd w:val="clear" w:color="auto" w:fill="EEECE1"/>
          </w:tcPr>
          <w:p w14:paraId="7C66EA04" w14:textId="1A8D73BF"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rPr>
              <w:t>50</w:t>
            </w:r>
            <w:r w:rsidRPr="004002DA">
              <w:rPr>
                <w:b/>
                <w:sz w:val="22"/>
                <w:szCs w:val="22"/>
                <w:lang w:eastAsia="en-US"/>
              </w:rPr>
              <w:fldChar w:fldCharType="end"/>
            </w:r>
          </w:p>
        </w:tc>
        <w:tc>
          <w:tcPr>
            <w:tcW w:w="1710" w:type="dxa"/>
          </w:tcPr>
          <w:p w14:paraId="132C919E" w14:textId="1EF6197A" w:rsidR="007922F9" w:rsidRPr="004002DA" w:rsidRDefault="007922F9" w:rsidP="007922F9">
            <w:pPr>
              <w:jc w:val="center"/>
              <w:rPr>
                <w:rFonts w:cs="Tahoma"/>
                <w:b/>
                <w:sz w:val="22"/>
                <w:szCs w:val="22"/>
                <w:lang w:eastAsia="en-US"/>
              </w:rPr>
            </w:pPr>
            <w:r w:rsidRPr="004002DA">
              <w:rPr>
                <w:bCs/>
                <w:sz w:val="22"/>
                <w:szCs w:val="22"/>
                <w:lang w:eastAsia="en-US"/>
              </w:rPr>
              <w:t>74 examinations (3</w:t>
            </w:r>
            <w:r w:rsidRPr="004002DA">
              <w:rPr>
                <w:bCs/>
                <w:sz w:val="22"/>
                <w:szCs w:val="22"/>
                <w:vertAlign w:val="superscript"/>
                <w:lang w:eastAsia="en-US"/>
              </w:rPr>
              <w:t>rd</w:t>
            </w:r>
            <w:r w:rsidRPr="004002DA">
              <w:rPr>
                <w:bCs/>
                <w:sz w:val="22"/>
                <w:szCs w:val="22"/>
                <w:lang w:eastAsia="en-US"/>
              </w:rPr>
              <w:t xml:space="preserve"> year of project implementation)</w:t>
            </w:r>
          </w:p>
        </w:tc>
        <w:tc>
          <w:tcPr>
            <w:tcW w:w="2610" w:type="dxa"/>
          </w:tcPr>
          <w:p w14:paraId="2FDB1F1C" w14:textId="60638411" w:rsidR="007922F9" w:rsidRPr="004002DA" w:rsidRDefault="007922F9" w:rsidP="007922F9">
            <w:pPr>
              <w:spacing w:line="360" w:lineRule="auto"/>
              <w:rPr>
                <w:bCs/>
                <w:sz w:val="22"/>
                <w:szCs w:val="22"/>
              </w:rPr>
            </w:pPr>
            <w:r w:rsidRPr="004002DA">
              <w:rPr>
                <w:bCs/>
                <w:sz w:val="22"/>
                <w:szCs w:val="22"/>
                <w:lang w:eastAsia="en-US"/>
              </w:rPr>
              <w:t>176</w:t>
            </w:r>
            <w:r w:rsidR="009048A1">
              <w:rPr>
                <w:bCs/>
                <w:sz w:val="22"/>
                <w:szCs w:val="22"/>
                <w:lang w:eastAsia="en-US"/>
              </w:rPr>
              <w:t xml:space="preserve"> </w:t>
            </w:r>
            <w:r w:rsidR="00533C36">
              <w:rPr>
                <w:bCs/>
                <w:sz w:val="22"/>
                <w:szCs w:val="22"/>
                <w:lang w:eastAsia="en-US"/>
              </w:rPr>
              <w:t xml:space="preserve">complex </w:t>
            </w:r>
            <w:r w:rsidR="009048A1">
              <w:rPr>
                <w:bCs/>
                <w:sz w:val="22"/>
                <w:szCs w:val="22"/>
                <w:lang w:eastAsia="en-US"/>
              </w:rPr>
              <w:t>examinations</w:t>
            </w:r>
          </w:p>
        </w:tc>
        <w:tc>
          <w:tcPr>
            <w:tcW w:w="1890" w:type="dxa"/>
          </w:tcPr>
          <w:p w14:paraId="04453E4E" w14:textId="30CB9404" w:rsidR="007922F9" w:rsidRPr="004002DA" w:rsidRDefault="007922F9" w:rsidP="007922F9">
            <w:pPr>
              <w:rPr>
                <w:sz w:val="22"/>
                <w:szCs w:val="22"/>
              </w:rPr>
            </w:pPr>
            <w:r w:rsidRPr="004002DA">
              <w:rPr>
                <w:sz w:val="22"/>
                <w:szCs w:val="22"/>
              </w:rPr>
              <w:t xml:space="preserve"> </w:t>
            </w:r>
          </w:p>
        </w:tc>
      </w:tr>
      <w:tr w:rsidR="007922F9" w:rsidRPr="004002DA" w14:paraId="14DE44CA" w14:textId="77777777" w:rsidTr="00390A4B">
        <w:trPr>
          <w:trHeight w:val="422"/>
        </w:trPr>
        <w:tc>
          <w:tcPr>
            <w:tcW w:w="2340" w:type="dxa"/>
            <w:vMerge/>
          </w:tcPr>
          <w:p w14:paraId="4E7B8F9C" w14:textId="77777777" w:rsidR="007922F9" w:rsidRPr="004002DA" w:rsidRDefault="007922F9" w:rsidP="007922F9">
            <w:pPr>
              <w:rPr>
                <w:rFonts w:cs="Tahoma"/>
                <w:b/>
                <w:sz w:val="22"/>
                <w:szCs w:val="22"/>
                <w:lang w:eastAsia="en-US"/>
              </w:rPr>
            </w:pPr>
          </w:p>
        </w:tc>
        <w:tc>
          <w:tcPr>
            <w:tcW w:w="2982" w:type="dxa"/>
            <w:shd w:val="clear" w:color="auto" w:fill="EEECE1"/>
          </w:tcPr>
          <w:p w14:paraId="75414197" w14:textId="77777777" w:rsidR="007922F9" w:rsidRPr="004002DA" w:rsidRDefault="007922F9" w:rsidP="007922F9">
            <w:pPr>
              <w:jc w:val="both"/>
              <w:rPr>
                <w:rFonts w:cs="Tahoma"/>
                <w:sz w:val="22"/>
                <w:szCs w:val="22"/>
                <w:lang w:eastAsia="en-US"/>
              </w:rPr>
            </w:pPr>
            <w:r w:rsidRPr="004002DA">
              <w:rPr>
                <w:rFonts w:cs="Tahoma"/>
                <w:sz w:val="22"/>
                <w:szCs w:val="22"/>
                <w:lang w:eastAsia="en-US"/>
              </w:rPr>
              <w:t>Indicator 1.3.2</w:t>
            </w:r>
          </w:p>
          <w:p w14:paraId="637E299A" w14:textId="7FF95173" w:rsidR="007922F9" w:rsidRPr="004002DA" w:rsidRDefault="007922F9" w:rsidP="007922F9">
            <w:pPr>
              <w:jc w:val="both"/>
              <w:rPr>
                <w:rFonts w:cs="Tahoma"/>
                <w:sz w:val="22"/>
                <w:szCs w:val="22"/>
                <w:lang w:eastAsia="en-US"/>
              </w:rPr>
            </w:pPr>
            <w:r w:rsidRPr="004002DA">
              <w:rPr>
                <w:b/>
                <w:sz w:val="22"/>
                <w:szCs w:val="22"/>
                <w:lang w:eastAsia="en-US"/>
              </w:rPr>
              <w:fldChar w:fldCharType="begin">
                <w:ffData>
                  <w:name w:val=""/>
                  <w:enabled/>
                  <w:calcOnExit w:val="0"/>
                  <w:textInput>
                    <w:maxLength w:val="25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Number of forensics experts effectively applying new methodological guidance on the provision of psycholinguistic and religious expertise</w:t>
            </w:r>
            <w:r w:rsidRPr="004002DA">
              <w:rPr>
                <w:b/>
                <w:sz w:val="22"/>
                <w:szCs w:val="22"/>
                <w:lang w:eastAsia="en-US"/>
              </w:rPr>
              <w:fldChar w:fldCharType="end"/>
            </w:r>
          </w:p>
        </w:tc>
        <w:tc>
          <w:tcPr>
            <w:tcW w:w="1530" w:type="dxa"/>
            <w:shd w:val="clear" w:color="auto" w:fill="EEECE1"/>
          </w:tcPr>
          <w:p w14:paraId="7A0EDA93" w14:textId="0CFA3413"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rPr>
              <w:t>0</w:t>
            </w:r>
            <w:r w:rsidRPr="004002DA">
              <w:rPr>
                <w:b/>
                <w:sz w:val="22"/>
                <w:szCs w:val="22"/>
                <w:lang w:eastAsia="en-US"/>
              </w:rPr>
              <w:fldChar w:fldCharType="end"/>
            </w:r>
          </w:p>
        </w:tc>
        <w:tc>
          <w:tcPr>
            <w:tcW w:w="1698" w:type="dxa"/>
            <w:shd w:val="clear" w:color="auto" w:fill="EEECE1"/>
          </w:tcPr>
          <w:p w14:paraId="26E42D3E" w14:textId="75AC6F7A"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sz w:val="22"/>
                <w:szCs w:val="22"/>
                <w:lang w:eastAsia="en-US"/>
              </w:rPr>
              <w:t>100% (15% women) by 2019</w:t>
            </w:r>
            <w:r w:rsidRPr="004002DA">
              <w:rPr>
                <w:b/>
                <w:sz w:val="22"/>
                <w:szCs w:val="22"/>
                <w:lang w:eastAsia="en-US"/>
              </w:rPr>
              <w:fldChar w:fldCharType="end"/>
            </w:r>
          </w:p>
        </w:tc>
        <w:tc>
          <w:tcPr>
            <w:tcW w:w="1710" w:type="dxa"/>
          </w:tcPr>
          <w:p w14:paraId="59EB5AB0" w14:textId="77777777" w:rsidR="007922F9" w:rsidRPr="004002DA" w:rsidRDefault="007922F9" w:rsidP="007922F9">
            <w:pPr>
              <w:jc w:val="center"/>
              <w:rPr>
                <w:bCs/>
                <w:sz w:val="22"/>
                <w:szCs w:val="22"/>
                <w:lang w:eastAsia="en-US"/>
              </w:rPr>
            </w:pPr>
            <w:r w:rsidRPr="004002DA">
              <w:rPr>
                <w:bCs/>
                <w:sz w:val="22"/>
                <w:szCs w:val="22"/>
                <w:lang w:eastAsia="en-US"/>
              </w:rPr>
              <w:t xml:space="preserve">50% forensic experts </w:t>
            </w:r>
          </w:p>
          <w:p w14:paraId="1AA87679" w14:textId="350306E7" w:rsidR="007922F9" w:rsidRPr="004002DA" w:rsidRDefault="007922F9" w:rsidP="007922F9">
            <w:pPr>
              <w:jc w:val="center"/>
              <w:rPr>
                <w:rFonts w:cs="Tahoma"/>
                <w:b/>
                <w:sz w:val="22"/>
                <w:szCs w:val="22"/>
                <w:lang w:eastAsia="en-US"/>
              </w:rPr>
            </w:pPr>
            <w:r w:rsidRPr="004002DA">
              <w:rPr>
                <w:bCs/>
                <w:sz w:val="22"/>
                <w:szCs w:val="22"/>
                <w:lang w:eastAsia="en-US"/>
              </w:rPr>
              <w:t>(2nd year of project implementation)</w:t>
            </w:r>
          </w:p>
        </w:tc>
        <w:tc>
          <w:tcPr>
            <w:tcW w:w="2610" w:type="dxa"/>
          </w:tcPr>
          <w:p w14:paraId="7020C60B" w14:textId="77777777" w:rsidR="004A2841" w:rsidRDefault="007922F9" w:rsidP="007922F9">
            <w:pPr>
              <w:rPr>
                <w:b/>
                <w:sz w:val="22"/>
                <w:szCs w:val="22"/>
                <w:lang w:eastAsia="en-US"/>
              </w:rPr>
            </w:pPr>
            <w:r w:rsidRPr="004002DA">
              <w:rPr>
                <w:bCs/>
                <w:sz w:val="22"/>
                <w:szCs w:val="22"/>
                <w:lang w:eastAsia="en-US"/>
              </w:rPr>
              <w:t xml:space="preserve">100% forensic </w:t>
            </w:r>
            <w:r w:rsidRPr="004002DA">
              <w:rPr>
                <w:sz w:val="22"/>
                <w:szCs w:val="22"/>
              </w:rPr>
              <w:t>experts</w:t>
            </w:r>
            <w:r w:rsidRPr="004002DA">
              <w:rPr>
                <w:b/>
                <w:sz w:val="22"/>
                <w:szCs w:val="22"/>
                <w:lang w:eastAsia="en-US"/>
              </w:rPr>
              <w:t xml:space="preserve"> </w:t>
            </w:r>
          </w:p>
          <w:p w14:paraId="5D71BAD3" w14:textId="0F259A9C" w:rsidR="007922F9" w:rsidRPr="004002DA" w:rsidRDefault="007922F9" w:rsidP="007922F9">
            <w:pPr>
              <w:rPr>
                <w:sz w:val="22"/>
                <w:szCs w:val="22"/>
              </w:rPr>
            </w:pPr>
            <w:r w:rsidRPr="004002DA">
              <w:rPr>
                <w:b/>
                <w:sz w:val="22"/>
                <w:szCs w:val="22"/>
                <w:lang w:eastAsia="en-US"/>
              </w:rPr>
              <w:t>(</w:t>
            </w:r>
            <w:r w:rsidRPr="004002DA">
              <w:rPr>
                <w:sz w:val="22"/>
                <w:szCs w:val="22"/>
              </w:rPr>
              <w:t xml:space="preserve">28 men and 20 women) capacitated to </w:t>
            </w:r>
            <w:r w:rsidR="004A2841" w:rsidRPr="004002DA">
              <w:rPr>
                <w:sz w:val="22"/>
                <w:szCs w:val="22"/>
              </w:rPr>
              <w:t>apply psycholinguistic</w:t>
            </w:r>
            <w:r w:rsidRPr="004002DA">
              <w:rPr>
                <w:sz w:val="22"/>
                <w:szCs w:val="22"/>
              </w:rPr>
              <w:t xml:space="preserve"> and religious expertise in criminal cases involving signs of extremism and terrorism</w:t>
            </w:r>
          </w:p>
          <w:p w14:paraId="6F1925EA" w14:textId="77777777" w:rsidR="007922F9" w:rsidRPr="004002DA" w:rsidRDefault="007922F9" w:rsidP="007922F9">
            <w:pPr>
              <w:rPr>
                <w:sz w:val="22"/>
                <w:szCs w:val="22"/>
              </w:rPr>
            </w:pPr>
          </w:p>
          <w:p w14:paraId="7DA283C2" w14:textId="32962DBE" w:rsidR="007922F9" w:rsidRPr="004002DA" w:rsidRDefault="007922F9" w:rsidP="007922F9">
            <w:pPr>
              <w:rPr>
                <w:sz w:val="22"/>
                <w:szCs w:val="22"/>
              </w:rPr>
            </w:pPr>
          </w:p>
        </w:tc>
        <w:tc>
          <w:tcPr>
            <w:tcW w:w="1890" w:type="dxa"/>
          </w:tcPr>
          <w:p w14:paraId="5EA5ACAD" w14:textId="4783B0F6" w:rsidR="007922F9" w:rsidRPr="004002DA" w:rsidRDefault="007922F9" w:rsidP="007922F9">
            <w:pPr>
              <w:rPr>
                <w:sz w:val="22"/>
                <w:szCs w:val="22"/>
              </w:rPr>
            </w:pPr>
            <w:r w:rsidRPr="004002DA">
              <w:rPr>
                <w:b/>
                <w:sz w:val="22"/>
                <w:szCs w:val="22"/>
                <w:lang w:eastAsia="en-US"/>
              </w:rPr>
              <w:fldChar w:fldCharType="begin">
                <w:ffData>
                  <w:name w:val=""/>
                  <w:enabled/>
                  <w:calcOnExit w:val="0"/>
                  <w:textInput>
                    <w:maxLength w:val="300"/>
                  </w:textInput>
                </w:ffData>
              </w:fldChar>
            </w:r>
            <w:r w:rsidRPr="004002DA">
              <w:rPr>
                <w:b/>
                <w:sz w:val="22"/>
                <w:szCs w:val="22"/>
                <w:lang w:eastAsia="en-US"/>
              </w:rPr>
              <w:instrText xml:space="preserve"> FORMTEXT </w:instrText>
            </w:r>
            <w:r w:rsidRPr="004002DA">
              <w:rPr>
                <w:b/>
                <w:sz w:val="22"/>
                <w:szCs w:val="22"/>
                <w:lang w:eastAsia="en-US"/>
              </w:rPr>
            </w:r>
            <w:r w:rsidRPr="004002DA">
              <w:rPr>
                <w:b/>
                <w:sz w:val="22"/>
                <w:szCs w:val="22"/>
                <w:lang w:eastAsia="en-US"/>
              </w:rPr>
              <w:fldChar w:fldCharType="separate"/>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t> </w:t>
            </w:r>
            <w:r w:rsidRPr="004002DA">
              <w:rPr>
                <w:b/>
                <w:sz w:val="22"/>
                <w:szCs w:val="22"/>
                <w:lang w:eastAsia="en-US"/>
              </w:rPr>
              <w:fldChar w:fldCharType="end"/>
            </w:r>
          </w:p>
        </w:tc>
      </w:tr>
    </w:tbl>
    <w:p w14:paraId="0916B1C4" w14:textId="77777777" w:rsidR="00B652A1" w:rsidRPr="000D6ACA" w:rsidRDefault="00B652A1" w:rsidP="00FF1954">
      <w:pPr>
        <w:ind w:firstLine="990"/>
        <w:jc w:val="both"/>
      </w:pPr>
    </w:p>
    <w:sectPr w:rsidR="00B652A1" w:rsidRPr="000D6ACA" w:rsidSect="00390A4B">
      <w:pgSz w:w="16838" w:h="11906" w:orient="landscape"/>
      <w:pgMar w:top="1800" w:right="1440" w:bottom="1800" w:left="153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D8D9" w16cex:dateUtc="2021-10-05T08:59:00Z"/>
  <w16cex:commentExtensible w16cex:durableId="2506D8F0" w16cex:dateUtc="2021-10-05T09:00:00Z"/>
  <w16cex:commentExtensible w16cex:durableId="250710B6" w16cex:dateUtc="2021-10-05T12:58:00Z"/>
  <w16cex:commentExtensible w16cex:durableId="25098010" w16cex:dateUtc="2021-10-07T09:17:00Z"/>
  <w16cex:commentExtensible w16cex:durableId="250981E5" w16cex:dateUtc="2021-10-07T09:25:00Z"/>
  <w16cex:commentExtensible w16cex:durableId="250710FB" w16cex:dateUtc="2021-10-05T12:59:00Z"/>
  <w16cex:commentExtensible w16cex:durableId="2507119F" w16cex:dateUtc="2021-10-05T13:02:00Z"/>
  <w16cex:commentExtensible w16cex:durableId="250711B6" w16cex:dateUtc="2021-10-05T13:02:00Z"/>
  <w16cex:commentExtensible w16cex:durableId="2507127F" w16cex:dateUtc="2021-10-05T13:05:00Z"/>
  <w16cex:commentExtensible w16cex:durableId="2509C513" w16cex:dateUtc="2021-10-07T14:12:00Z"/>
  <w16cex:commentExtensible w16cex:durableId="2509D014" w16cex:dateUtc="2021-10-07T14:59:00Z"/>
  <w16cex:commentExtensible w16cex:durableId="2509C82D" w16cex:dateUtc="2021-10-07T14:25:00Z"/>
  <w16cex:commentExtensible w16cex:durableId="2509CF48" w16cex:dateUtc="2021-10-07T14:55:00Z"/>
  <w16cex:commentExtensible w16cex:durableId="2509CFBA" w16cex:dateUtc="2021-10-07T14:57:00Z"/>
  <w16cex:commentExtensible w16cex:durableId="2509D1CD" w16cex:dateUtc="2021-10-07T15:06:00Z"/>
  <w16cex:commentExtensible w16cex:durableId="2509D38C" w16cex:dateUtc="2021-10-07T15:14:00Z"/>
  <w16cex:commentExtensible w16cex:durableId="2509D47D" w16cex:dateUtc="2021-10-07T15:18:00Z"/>
  <w16cex:commentExtensible w16cex:durableId="2509D5CD" w16cex:dateUtc="2021-10-07T15:23:00Z"/>
  <w16cex:commentExtensible w16cex:durableId="2509D690" w16cex:dateUtc="2021-10-07T15:26:00Z"/>
  <w16cex:commentExtensible w16cex:durableId="2509D6C3" w16cex:dateUtc="2021-10-07T15:27:00Z"/>
  <w16cex:commentExtensible w16cex:durableId="2509D911" w16cex:dateUtc="2021-10-07T15:37:00Z"/>
  <w16cex:commentExtensible w16cex:durableId="2509DAA1" w16cex:dateUtc="2021-10-07T15:44:00Z"/>
  <w16cex:commentExtensible w16cex:durableId="2509DCFF" w16cex:dateUtc="2021-10-07T15:54:00Z"/>
  <w16cex:commentExtensible w16cex:durableId="2509DF66" w16cex:dateUtc="2021-10-07T16:04:00Z"/>
  <w16cex:commentExtensible w16cex:durableId="2509E1C7" w16cex:dateUtc="2021-10-07T16:14:00Z"/>
  <w16cex:commentExtensible w16cex:durableId="2509E204" w16cex:dateUtc="2021-10-07T16:15:00Z"/>
  <w16cex:commentExtensible w16cex:durableId="2509E277" w16cex:dateUtc="2021-10-07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A91E" w14:textId="77777777" w:rsidR="00F17F94" w:rsidRDefault="00F17F94" w:rsidP="00E76CA1">
      <w:r>
        <w:separator/>
      </w:r>
    </w:p>
  </w:endnote>
  <w:endnote w:type="continuationSeparator" w:id="0">
    <w:p w14:paraId="0337FFFA" w14:textId="77777777" w:rsidR="00F17F94" w:rsidRDefault="00F17F9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3E4F67" w:rsidRDefault="003E4F67">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3E4F67" w:rsidRDefault="003E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FC8FC" w14:textId="77777777" w:rsidR="00F17F94" w:rsidRDefault="00F17F94" w:rsidP="00E76CA1">
      <w:r>
        <w:separator/>
      </w:r>
    </w:p>
  </w:footnote>
  <w:footnote w:type="continuationSeparator" w:id="0">
    <w:p w14:paraId="75301F2C" w14:textId="77777777" w:rsidR="00F17F94" w:rsidRDefault="00F17F94" w:rsidP="00E76CA1">
      <w:r>
        <w:continuationSeparator/>
      </w:r>
    </w:p>
  </w:footnote>
  <w:footnote w:id="1">
    <w:p w14:paraId="6CDB3018" w14:textId="77777777" w:rsidR="003E4F67" w:rsidRPr="003846EA" w:rsidRDefault="003E4F67" w:rsidP="00EF3313">
      <w:pPr>
        <w:jc w:val="both"/>
        <w:rPr>
          <w:rFonts w:cs="Calibri"/>
          <w:sz w:val="18"/>
          <w:szCs w:val="18"/>
        </w:rPr>
      </w:pPr>
      <w:r>
        <w:rPr>
          <w:rStyle w:val="FootnoteReference"/>
        </w:rPr>
        <w:footnoteRef/>
      </w:r>
      <w:r>
        <w:t xml:space="preserve"> </w:t>
      </w:r>
      <w:r w:rsidRPr="003846EA">
        <w:rPr>
          <w:rFonts w:cs="Calibri"/>
          <w:b/>
          <w:bCs/>
          <w:sz w:val="18"/>
          <w:szCs w:val="18"/>
        </w:rPr>
        <w:t>Score 3</w:t>
      </w:r>
      <w:r w:rsidRPr="003846EA">
        <w:rPr>
          <w:rFonts w:cs="Calibri"/>
          <w:sz w:val="18"/>
          <w:szCs w:val="18"/>
        </w:rPr>
        <w:t xml:space="preserve"> for projects that have gender equality as a principal objective and allocate at least 80% of the total project budget to Gender Equality and Women’s Empowerment (GEWE) </w:t>
      </w:r>
    </w:p>
    <w:p w14:paraId="2FD0F79D" w14:textId="77777777" w:rsidR="003E4F67" w:rsidRPr="003846EA" w:rsidRDefault="003E4F67" w:rsidP="00EF3313">
      <w:pPr>
        <w:jc w:val="both"/>
        <w:rPr>
          <w:rFonts w:cs="Calibri"/>
          <w:sz w:val="18"/>
          <w:szCs w:val="18"/>
        </w:rPr>
      </w:pPr>
      <w:r w:rsidRPr="003846EA">
        <w:rPr>
          <w:rFonts w:cs="Calibri"/>
          <w:b/>
          <w:bCs/>
          <w:sz w:val="18"/>
          <w:szCs w:val="18"/>
        </w:rPr>
        <w:t>Score 2</w:t>
      </w:r>
      <w:r w:rsidRPr="003846EA">
        <w:rPr>
          <w:rFonts w:cs="Calibri"/>
          <w:sz w:val="18"/>
          <w:szCs w:val="18"/>
        </w:rPr>
        <w:t xml:space="preserve"> for projects that have gender equality as a significant objective and allocate at least 30% of the total project budget to GEWE</w:t>
      </w:r>
    </w:p>
    <w:p w14:paraId="7EB81547" w14:textId="77777777" w:rsidR="003E4F67" w:rsidRPr="003846EA" w:rsidRDefault="003E4F67" w:rsidP="00EF3313">
      <w:pPr>
        <w:pStyle w:val="FootnoteText"/>
        <w:rPr>
          <w:sz w:val="18"/>
          <w:szCs w:val="18"/>
        </w:rPr>
      </w:pPr>
      <w:r w:rsidRPr="003846EA">
        <w:rPr>
          <w:rFonts w:cs="Calibri"/>
          <w:b/>
          <w:bCs/>
          <w:sz w:val="18"/>
          <w:szCs w:val="18"/>
        </w:rPr>
        <w:t>Score 1</w:t>
      </w:r>
      <w:r w:rsidRPr="003846EA">
        <w:rPr>
          <w:rFonts w:cs="Calibri"/>
          <w:sz w:val="18"/>
          <w:szCs w:val="18"/>
        </w:rPr>
        <w:t xml:space="preserve"> for projects that contribute in some way to gender equality, but not significantly (less than 30% of the total budget for GEWE)</w:t>
      </w:r>
    </w:p>
  </w:footnote>
  <w:footnote w:id="2">
    <w:p w14:paraId="27702501" w14:textId="77777777" w:rsidR="003E4F67" w:rsidRPr="003846EA" w:rsidRDefault="003E4F67" w:rsidP="00EF3313">
      <w:pPr>
        <w:jc w:val="both"/>
        <w:rPr>
          <w:rFonts w:cs="Calibri"/>
          <w:sz w:val="18"/>
          <w:szCs w:val="18"/>
        </w:rPr>
      </w:pPr>
      <w:r w:rsidRPr="003846EA">
        <w:rPr>
          <w:rStyle w:val="FootnoteReference"/>
          <w:sz w:val="18"/>
          <w:szCs w:val="18"/>
        </w:rPr>
        <w:footnoteRef/>
      </w:r>
      <w:r w:rsidRPr="003846EA">
        <w:rPr>
          <w:sz w:val="18"/>
          <w:szCs w:val="18"/>
        </w:rPr>
        <w:t xml:space="preserve"> </w:t>
      </w:r>
      <w:r w:rsidRPr="003846EA">
        <w:rPr>
          <w:rFonts w:cs="Calibri"/>
          <w:b/>
          <w:bCs/>
          <w:sz w:val="18"/>
          <w:szCs w:val="18"/>
        </w:rPr>
        <w:t>Risk marker 0</w:t>
      </w:r>
      <w:r w:rsidRPr="003846EA">
        <w:rPr>
          <w:rFonts w:cs="Calibri"/>
          <w:sz w:val="18"/>
          <w:szCs w:val="18"/>
        </w:rPr>
        <w:t xml:space="preserve"> = low risk to achieving outcomes</w:t>
      </w:r>
    </w:p>
    <w:p w14:paraId="14486CC9" w14:textId="77777777" w:rsidR="003E4F67" w:rsidRPr="003846EA" w:rsidRDefault="003E4F67" w:rsidP="00EF3313">
      <w:pPr>
        <w:jc w:val="both"/>
        <w:rPr>
          <w:rFonts w:cs="Calibri"/>
          <w:sz w:val="18"/>
          <w:szCs w:val="18"/>
        </w:rPr>
      </w:pPr>
      <w:r w:rsidRPr="003846EA">
        <w:rPr>
          <w:rFonts w:cs="Calibri"/>
          <w:b/>
          <w:bCs/>
          <w:sz w:val="18"/>
          <w:szCs w:val="18"/>
        </w:rPr>
        <w:t>Risk marker 1</w:t>
      </w:r>
      <w:r w:rsidRPr="003846EA">
        <w:rPr>
          <w:rFonts w:cs="Calibri"/>
          <w:sz w:val="18"/>
          <w:szCs w:val="18"/>
        </w:rPr>
        <w:t xml:space="preserve"> = medium risk to achieving outcomes</w:t>
      </w:r>
    </w:p>
    <w:p w14:paraId="39821132" w14:textId="77777777" w:rsidR="003E4F67" w:rsidRPr="003846EA" w:rsidRDefault="003E4F67" w:rsidP="00EF3313">
      <w:pPr>
        <w:jc w:val="both"/>
        <w:rPr>
          <w:sz w:val="18"/>
          <w:szCs w:val="18"/>
        </w:rPr>
      </w:pPr>
      <w:r w:rsidRPr="003846EA">
        <w:rPr>
          <w:rFonts w:cs="Calibri"/>
          <w:b/>
          <w:bCs/>
          <w:sz w:val="18"/>
          <w:szCs w:val="18"/>
        </w:rPr>
        <w:t>Risk marker 2</w:t>
      </w:r>
      <w:r w:rsidRPr="003846EA">
        <w:rPr>
          <w:rFonts w:cs="Calibri"/>
          <w:sz w:val="18"/>
          <w:szCs w:val="18"/>
        </w:rPr>
        <w:t xml:space="preserve"> = high risk to achieving outcomes</w:t>
      </w:r>
    </w:p>
    <w:p w14:paraId="4DDA6B27" w14:textId="77777777" w:rsidR="003E4F67" w:rsidRPr="004714F4" w:rsidRDefault="003E4F67" w:rsidP="00EF3313">
      <w:pPr>
        <w:pStyle w:val="FootnoteText"/>
      </w:pPr>
    </w:p>
  </w:footnote>
  <w:footnote w:id="3">
    <w:p w14:paraId="4DC6FFEB" w14:textId="77777777" w:rsidR="003E4F67" w:rsidRDefault="003E4F67" w:rsidP="00600C72">
      <w:pPr>
        <w:pStyle w:val="FootnoteText"/>
        <w:rPr>
          <w:sz w:val="18"/>
          <w:szCs w:val="18"/>
        </w:rPr>
      </w:pPr>
      <w:r>
        <w:rPr>
          <w:rStyle w:val="FootnoteReference"/>
        </w:rPr>
        <w:footnoteRef/>
      </w:r>
      <w:r>
        <w:t xml:space="preserve"> </w:t>
      </w:r>
      <w:r w:rsidRPr="001F39EB">
        <w:rPr>
          <w:sz w:val="18"/>
          <w:szCs w:val="18"/>
        </w:rPr>
        <w:t xml:space="preserve"> </w:t>
      </w:r>
      <w:r w:rsidRPr="006379CF">
        <w:rPr>
          <w:b/>
          <w:bCs/>
          <w:sz w:val="18"/>
          <w:szCs w:val="18"/>
        </w:rPr>
        <w:t>PBF Focus Areas</w:t>
      </w:r>
      <w:r>
        <w:rPr>
          <w:sz w:val="18"/>
          <w:szCs w:val="18"/>
        </w:rPr>
        <w:t xml:space="preserve"> are:</w:t>
      </w:r>
    </w:p>
    <w:p w14:paraId="6654BEEC" w14:textId="77777777" w:rsidR="003E4F67" w:rsidRPr="001F39EB" w:rsidRDefault="003E4F67" w:rsidP="00600C72">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sidRPr="001F39EB">
        <w:rPr>
          <w:bCs/>
          <w:sz w:val="18"/>
          <w:szCs w:val="18"/>
        </w:rPr>
        <w:t xml:space="preserve"> R</w:t>
      </w:r>
      <w:r>
        <w:rPr>
          <w:bCs/>
          <w:sz w:val="18"/>
          <w:szCs w:val="18"/>
        </w:rPr>
        <w:t xml:space="preserve">ule </w:t>
      </w:r>
      <w:r w:rsidRPr="001F39EB">
        <w:rPr>
          <w:bCs/>
          <w:sz w:val="18"/>
          <w:szCs w:val="18"/>
        </w:rPr>
        <w:t>o</w:t>
      </w:r>
      <w:r>
        <w:rPr>
          <w:bCs/>
          <w:sz w:val="18"/>
          <w:szCs w:val="18"/>
        </w:rPr>
        <w:t xml:space="preserve">f </w:t>
      </w:r>
      <w:r w:rsidRPr="001F39EB">
        <w:rPr>
          <w:bCs/>
          <w:sz w:val="18"/>
          <w:szCs w:val="18"/>
        </w:rPr>
        <w:t>L</w:t>
      </w:r>
      <w:r>
        <w:rPr>
          <w:bCs/>
          <w:sz w:val="18"/>
          <w:szCs w:val="18"/>
        </w:rPr>
        <w:t>aw</w:t>
      </w:r>
      <w:r w:rsidRPr="001F39EB">
        <w:rPr>
          <w:sz w:val="18"/>
          <w:szCs w:val="18"/>
        </w:rPr>
        <w:t xml:space="preserve">; (1.3) DDR; (1.4) Political Dialogue; </w:t>
      </w:r>
    </w:p>
    <w:p w14:paraId="5C2D5ACB" w14:textId="77777777" w:rsidR="003E4F67" w:rsidRPr="001F39EB" w:rsidRDefault="003E4F67" w:rsidP="00600C72">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14:paraId="53010FA3" w14:textId="77777777" w:rsidR="003E4F67" w:rsidRPr="001F39EB" w:rsidRDefault="003E4F67" w:rsidP="00600C72">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14:paraId="6AC1BDA6" w14:textId="77777777" w:rsidR="003E4F67" w:rsidRDefault="003E4F67" w:rsidP="00600C72">
      <w:pPr>
        <w:pStyle w:val="Header"/>
        <w:rPr>
          <w:bCs/>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PBF Secretariats)</w:t>
      </w:r>
    </w:p>
    <w:p w14:paraId="2595768D" w14:textId="77777777" w:rsidR="003E4F67" w:rsidRPr="006379CF" w:rsidRDefault="003E4F67" w:rsidP="00600C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506E4"/>
    <w:multiLevelType w:val="hybridMultilevel"/>
    <w:tmpl w:val="252E9CCC"/>
    <w:lvl w:ilvl="0" w:tplc="2922847E">
      <w:numFmt w:val="bullet"/>
      <w:lvlText w:val="-"/>
      <w:lvlJc w:val="left"/>
      <w:pPr>
        <w:ind w:left="-90" w:hanging="360"/>
      </w:pPr>
      <w:rPr>
        <w:rFonts w:ascii="Arial Narrow" w:eastAsia="Times New Roman" w:hAnsi="Arial Narrow" w:cs="Times New Roman" w:hint="default"/>
      </w:rPr>
    </w:lvl>
    <w:lvl w:ilvl="1" w:tplc="2922847E">
      <w:numFmt w:val="bullet"/>
      <w:lvlText w:val="-"/>
      <w:lvlJc w:val="left"/>
      <w:pPr>
        <w:ind w:left="630" w:hanging="360"/>
      </w:pPr>
      <w:rPr>
        <w:rFonts w:ascii="Arial Narrow" w:eastAsia="Times New Roman" w:hAnsi="Arial Narrow" w:cs="Times New Roman"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561A8"/>
    <w:multiLevelType w:val="hybridMultilevel"/>
    <w:tmpl w:val="9A3ED590"/>
    <w:lvl w:ilvl="0" w:tplc="9C389FD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6F45B23"/>
    <w:multiLevelType w:val="multilevel"/>
    <w:tmpl w:val="1EE209C0"/>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0712D8"/>
    <w:multiLevelType w:val="hybridMultilevel"/>
    <w:tmpl w:val="1C6A519C"/>
    <w:lvl w:ilvl="0" w:tplc="DCC86FDC">
      <w:start w:val="1"/>
      <w:numFmt w:val="bullet"/>
      <w:lvlText w:val="-"/>
      <w:lvlJc w:val="left"/>
      <w:pPr>
        <w:ind w:left="720" w:hanging="360"/>
      </w:pPr>
      <w:rPr>
        <w:rFonts w:ascii="Arial Narrow" w:eastAsia="MS Mincho"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FC6F45"/>
    <w:multiLevelType w:val="hybridMultilevel"/>
    <w:tmpl w:val="DE6671D8"/>
    <w:lvl w:ilvl="0" w:tplc="F918A17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F300B"/>
    <w:multiLevelType w:val="hybridMultilevel"/>
    <w:tmpl w:val="8B70B002"/>
    <w:lvl w:ilvl="0" w:tplc="2922847E">
      <w:numFmt w:val="bullet"/>
      <w:lvlText w:val="-"/>
      <w:lvlJc w:val="left"/>
      <w:pPr>
        <w:ind w:left="-90" w:hanging="360"/>
      </w:pPr>
      <w:rPr>
        <w:rFonts w:ascii="Arial Narrow" w:eastAsia="Times New Roman" w:hAnsi="Arial Narrow" w:cs="Times New Roman" w:hint="default"/>
      </w:rPr>
    </w:lvl>
    <w:lvl w:ilvl="1" w:tplc="2922847E">
      <w:numFmt w:val="bullet"/>
      <w:lvlText w:val="-"/>
      <w:lvlJc w:val="left"/>
      <w:pPr>
        <w:ind w:left="630" w:hanging="360"/>
      </w:pPr>
      <w:rPr>
        <w:rFonts w:ascii="Arial Narrow" w:eastAsia="Times New Roman" w:hAnsi="Arial Narrow" w:cs="Times New Roman"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598C2A25"/>
    <w:multiLevelType w:val="hybridMultilevel"/>
    <w:tmpl w:val="199CEA70"/>
    <w:lvl w:ilvl="0" w:tplc="DCC86FDC">
      <w:start w:val="1"/>
      <w:numFmt w:val="bullet"/>
      <w:lvlText w:val="-"/>
      <w:lvlJc w:val="left"/>
      <w:pPr>
        <w:ind w:left="720" w:hanging="360"/>
      </w:pPr>
      <w:rPr>
        <w:rFonts w:ascii="Arial Narrow" w:eastAsia="MS Mincho"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4B33A2A"/>
    <w:multiLevelType w:val="multilevel"/>
    <w:tmpl w:val="25742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80B7EAB"/>
    <w:multiLevelType w:val="hybridMultilevel"/>
    <w:tmpl w:val="680869EE"/>
    <w:lvl w:ilvl="0" w:tplc="111CE5EE">
      <w:start w:val="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4"/>
  </w:num>
  <w:num w:numId="5">
    <w:abstractNumId w:val="7"/>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0"/>
  </w:num>
  <w:num w:numId="11">
    <w:abstractNumId w:val="3"/>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25FAE"/>
    <w:rsid w:val="00030398"/>
    <w:rsid w:val="00031640"/>
    <w:rsid w:val="00033D25"/>
    <w:rsid w:val="00034A4C"/>
    <w:rsid w:val="00043C72"/>
    <w:rsid w:val="00045C24"/>
    <w:rsid w:val="00050759"/>
    <w:rsid w:val="00051F71"/>
    <w:rsid w:val="0005216F"/>
    <w:rsid w:val="00052745"/>
    <w:rsid w:val="00052DE5"/>
    <w:rsid w:val="00053964"/>
    <w:rsid w:val="000554F8"/>
    <w:rsid w:val="000561F4"/>
    <w:rsid w:val="000562CE"/>
    <w:rsid w:val="00056D72"/>
    <w:rsid w:val="00063017"/>
    <w:rsid w:val="00065A67"/>
    <w:rsid w:val="00065D24"/>
    <w:rsid w:val="000731D0"/>
    <w:rsid w:val="00075D98"/>
    <w:rsid w:val="0008134A"/>
    <w:rsid w:val="0008233D"/>
    <w:rsid w:val="00082738"/>
    <w:rsid w:val="00084F64"/>
    <w:rsid w:val="000857FC"/>
    <w:rsid w:val="00091CFD"/>
    <w:rsid w:val="00092442"/>
    <w:rsid w:val="000A3F21"/>
    <w:rsid w:val="000A45F4"/>
    <w:rsid w:val="000A4660"/>
    <w:rsid w:val="000A51DA"/>
    <w:rsid w:val="000A6719"/>
    <w:rsid w:val="000B4E5C"/>
    <w:rsid w:val="000B57F1"/>
    <w:rsid w:val="000B6CBD"/>
    <w:rsid w:val="000B7954"/>
    <w:rsid w:val="000C1561"/>
    <w:rsid w:val="000C3520"/>
    <w:rsid w:val="000C7EA0"/>
    <w:rsid w:val="000D1D3D"/>
    <w:rsid w:val="000D4A32"/>
    <w:rsid w:val="000D4F4B"/>
    <w:rsid w:val="000D6ACA"/>
    <w:rsid w:val="000D7D0A"/>
    <w:rsid w:val="000E05AE"/>
    <w:rsid w:val="000E6A96"/>
    <w:rsid w:val="000F05A2"/>
    <w:rsid w:val="000F13B1"/>
    <w:rsid w:val="00102C0E"/>
    <w:rsid w:val="001063AD"/>
    <w:rsid w:val="00112741"/>
    <w:rsid w:val="00113D2B"/>
    <w:rsid w:val="00113EC4"/>
    <w:rsid w:val="00116449"/>
    <w:rsid w:val="0011666C"/>
    <w:rsid w:val="00121B2D"/>
    <w:rsid w:val="0012206C"/>
    <w:rsid w:val="001245AD"/>
    <w:rsid w:val="001307FA"/>
    <w:rsid w:val="00131824"/>
    <w:rsid w:val="00136B32"/>
    <w:rsid w:val="001401BE"/>
    <w:rsid w:val="00141B2A"/>
    <w:rsid w:val="00141CDE"/>
    <w:rsid w:val="001444EE"/>
    <w:rsid w:val="00145766"/>
    <w:rsid w:val="001458E9"/>
    <w:rsid w:val="00145AE1"/>
    <w:rsid w:val="0015241E"/>
    <w:rsid w:val="00153CD9"/>
    <w:rsid w:val="001563E8"/>
    <w:rsid w:val="00156AFA"/>
    <w:rsid w:val="00156C4C"/>
    <w:rsid w:val="00157BF2"/>
    <w:rsid w:val="001607B2"/>
    <w:rsid w:val="0016088D"/>
    <w:rsid w:val="00161D02"/>
    <w:rsid w:val="0018095F"/>
    <w:rsid w:val="001824F5"/>
    <w:rsid w:val="00182F70"/>
    <w:rsid w:val="001830C4"/>
    <w:rsid w:val="0018313E"/>
    <w:rsid w:val="0018446E"/>
    <w:rsid w:val="00185425"/>
    <w:rsid w:val="00186529"/>
    <w:rsid w:val="00186584"/>
    <w:rsid w:val="0019152F"/>
    <w:rsid w:val="00192F1D"/>
    <w:rsid w:val="00194D4C"/>
    <w:rsid w:val="00196AA8"/>
    <w:rsid w:val="001A16E3"/>
    <w:rsid w:val="001A1E31"/>
    <w:rsid w:val="001A1E86"/>
    <w:rsid w:val="001A27A3"/>
    <w:rsid w:val="001A3157"/>
    <w:rsid w:val="001A374F"/>
    <w:rsid w:val="001A4786"/>
    <w:rsid w:val="001A4EB9"/>
    <w:rsid w:val="001A67BB"/>
    <w:rsid w:val="001B1EAF"/>
    <w:rsid w:val="001B3D9F"/>
    <w:rsid w:val="001B458D"/>
    <w:rsid w:val="001B54AC"/>
    <w:rsid w:val="001B5D16"/>
    <w:rsid w:val="001B6CC6"/>
    <w:rsid w:val="001B6DFD"/>
    <w:rsid w:val="001C4484"/>
    <w:rsid w:val="001C46E9"/>
    <w:rsid w:val="001C5691"/>
    <w:rsid w:val="001C56B8"/>
    <w:rsid w:val="001C5B82"/>
    <w:rsid w:val="001D1C14"/>
    <w:rsid w:val="001D455B"/>
    <w:rsid w:val="001D575F"/>
    <w:rsid w:val="001D6683"/>
    <w:rsid w:val="001D67F9"/>
    <w:rsid w:val="001E1DED"/>
    <w:rsid w:val="001E4C4E"/>
    <w:rsid w:val="001E4EF3"/>
    <w:rsid w:val="001E660A"/>
    <w:rsid w:val="001F308A"/>
    <w:rsid w:val="001F4CA9"/>
    <w:rsid w:val="001F6E70"/>
    <w:rsid w:val="0020130A"/>
    <w:rsid w:val="0020439A"/>
    <w:rsid w:val="0020535F"/>
    <w:rsid w:val="00205EB7"/>
    <w:rsid w:val="00206D45"/>
    <w:rsid w:val="00206FF7"/>
    <w:rsid w:val="0020791D"/>
    <w:rsid w:val="002129DA"/>
    <w:rsid w:val="0021550A"/>
    <w:rsid w:val="00215F41"/>
    <w:rsid w:val="00217A2E"/>
    <w:rsid w:val="00217EB6"/>
    <w:rsid w:val="00217EEE"/>
    <w:rsid w:val="00220956"/>
    <w:rsid w:val="002247C2"/>
    <w:rsid w:val="0023060C"/>
    <w:rsid w:val="00231D8B"/>
    <w:rsid w:val="002322E6"/>
    <w:rsid w:val="002324C8"/>
    <w:rsid w:val="00233827"/>
    <w:rsid w:val="00234A5E"/>
    <w:rsid w:val="00234CBD"/>
    <w:rsid w:val="00236072"/>
    <w:rsid w:val="0023672E"/>
    <w:rsid w:val="00236AB3"/>
    <w:rsid w:val="00241C5C"/>
    <w:rsid w:val="002436F0"/>
    <w:rsid w:val="00245E73"/>
    <w:rsid w:val="00246135"/>
    <w:rsid w:val="00247F4E"/>
    <w:rsid w:val="00251224"/>
    <w:rsid w:val="00251E92"/>
    <w:rsid w:val="0025220B"/>
    <w:rsid w:val="00252B39"/>
    <w:rsid w:val="00254AC2"/>
    <w:rsid w:val="0025525B"/>
    <w:rsid w:val="00255B5A"/>
    <w:rsid w:val="00257569"/>
    <w:rsid w:val="00257F7F"/>
    <w:rsid w:val="0027242A"/>
    <w:rsid w:val="00272A58"/>
    <w:rsid w:val="00273AD0"/>
    <w:rsid w:val="002822AF"/>
    <w:rsid w:val="00282BD9"/>
    <w:rsid w:val="0028533F"/>
    <w:rsid w:val="00286F66"/>
    <w:rsid w:val="00287878"/>
    <w:rsid w:val="0029086A"/>
    <w:rsid w:val="002940E8"/>
    <w:rsid w:val="002968F9"/>
    <w:rsid w:val="00296C15"/>
    <w:rsid w:val="002A1877"/>
    <w:rsid w:val="002B0787"/>
    <w:rsid w:val="002B2841"/>
    <w:rsid w:val="002B316E"/>
    <w:rsid w:val="002B3207"/>
    <w:rsid w:val="002B346A"/>
    <w:rsid w:val="002B351E"/>
    <w:rsid w:val="002B4426"/>
    <w:rsid w:val="002B5F4F"/>
    <w:rsid w:val="002B740B"/>
    <w:rsid w:val="002C187A"/>
    <w:rsid w:val="002C20A8"/>
    <w:rsid w:val="002C5DD0"/>
    <w:rsid w:val="002C654D"/>
    <w:rsid w:val="002C7051"/>
    <w:rsid w:val="002D1556"/>
    <w:rsid w:val="002D2FBB"/>
    <w:rsid w:val="002D4247"/>
    <w:rsid w:val="002D68D7"/>
    <w:rsid w:val="002E10E6"/>
    <w:rsid w:val="002E1CED"/>
    <w:rsid w:val="002E2792"/>
    <w:rsid w:val="002E5250"/>
    <w:rsid w:val="002E61AA"/>
    <w:rsid w:val="002E620A"/>
    <w:rsid w:val="002E63C8"/>
    <w:rsid w:val="002E6F58"/>
    <w:rsid w:val="002E745D"/>
    <w:rsid w:val="002F10F6"/>
    <w:rsid w:val="002F1554"/>
    <w:rsid w:val="002F15D9"/>
    <w:rsid w:val="002F26EC"/>
    <w:rsid w:val="002F42CA"/>
    <w:rsid w:val="002F42EA"/>
    <w:rsid w:val="002F469C"/>
    <w:rsid w:val="002F4BA2"/>
    <w:rsid w:val="002F7580"/>
    <w:rsid w:val="00303BFA"/>
    <w:rsid w:val="003040D8"/>
    <w:rsid w:val="0030455E"/>
    <w:rsid w:val="00305626"/>
    <w:rsid w:val="003125AE"/>
    <w:rsid w:val="00313883"/>
    <w:rsid w:val="00316D58"/>
    <w:rsid w:val="003212BB"/>
    <w:rsid w:val="00321C92"/>
    <w:rsid w:val="003235DF"/>
    <w:rsid w:val="00323ABC"/>
    <w:rsid w:val="00324A7C"/>
    <w:rsid w:val="00324FE5"/>
    <w:rsid w:val="00325CC2"/>
    <w:rsid w:val="0033079B"/>
    <w:rsid w:val="00333EC9"/>
    <w:rsid w:val="0033515C"/>
    <w:rsid w:val="00336BF8"/>
    <w:rsid w:val="0034204F"/>
    <w:rsid w:val="00342356"/>
    <w:rsid w:val="00343425"/>
    <w:rsid w:val="0034386B"/>
    <w:rsid w:val="003456A9"/>
    <w:rsid w:val="00346D73"/>
    <w:rsid w:val="003473C6"/>
    <w:rsid w:val="0035676B"/>
    <w:rsid w:val="0036386A"/>
    <w:rsid w:val="003646A1"/>
    <w:rsid w:val="00366549"/>
    <w:rsid w:val="00372156"/>
    <w:rsid w:val="003722AE"/>
    <w:rsid w:val="00372CC2"/>
    <w:rsid w:val="0037561F"/>
    <w:rsid w:val="00380849"/>
    <w:rsid w:val="003818DB"/>
    <w:rsid w:val="003834CD"/>
    <w:rsid w:val="00383908"/>
    <w:rsid w:val="0038493C"/>
    <w:rsid w:val="00387F60"/>
    <w:rsid w:val="00390A4B"/>
    <w:rsid w:val="003913F3"/>
    <w:rsid w:val="00391614"/>
    <w:rsid w:val="00395EB2"/>
    <w:rsid w:val="003966E6"/>
    <w:rsid w:val="003968D7"/>
    <w:rsid w:val="003A4A4E"/>
    <w:rsid w:val="003A4FE2"/>
    <w:rsid w:val="003A5397"/>
    <w:rsid w:val="003A5E72"/>
    <w:rsid w:val="003A613D"/>
    <w:rsid w:val="003A6341"/>
    <w:rsid w:val="003B1648"/>
    <w:rsid w:val="003B3A5F"/>
    <w:rsid w:val="003B5338"/>
    <w:rsid w:val="003B7522"/>
    <w:rsid w:val="003C0980"/>
    <w:rsid w:val="003C5283"/>
    <w:rsid w:val="003C5CC6"/>
    <w:rsid w:val="003D03E0"/>
    <w:rsid w:val="003D12C7"/>
    <w:rsid w:val="003D228B"/>
    <w:rsid w:val="003D3995"/>
    <w:rsid w:val="003D4CD7"/>
    <w:rsid w:val="003D4D7C"/>
    <w:rsid w:val="003D68FF"/>
    <w:rsid w:val="003E0208"/>
    <w:rsid w:val="003E0B86"/>
    <w:rsid w:val="003E1A63"/>
    <w:rsid w:val="003E3610"/>
    <w:rsid w:val="003E4F67"/>
    <w:rsid w:val="003F08B1"/>
    <w:rsid w:val="003F21BE"/>
    <w:rsid w:val="003F36FB"/>
    <w:rsid w:val="003F660A"/>
    <w:rsid w:val="004002DA"/>
    <w:rsid w:val="004017BD"/>
    <w:rsid w:val="00402083"/>
    <w:rsid w:val="004023AC"/>
    <w:rsid w:val="00402514"/>
    <w:rsid w:val="0040513F"/>
    <w:rsid w:val="00405DE7"/>
    <w:rsid w:val="00411A5F"/>
    <w:rsid w:val="00413EAF"/>
    <w:rsid w:val="00414097"/>
    <w:rsid w:val="00416B1F"/>
    <w:rsid w:val="004213AF"/>
    <w:rsid w:val="00422FA8"/>
    <w:rsid w:val="00425AF8"/>
    <w:rsid w:val="00437824"/>
    <w:rsid w:val="00437FF5"/>
    <w:rsid w:val="00440920"/>
    <w:rsid w:val="00442597"/>
    <w:rsid w:val="00453874"/>
    <w:rsid w:val="0046101E"/>
    <w:rsid w:val="00461944"/>
    <w:rsid w:val="00464188"/>
    <w:rsid w:val="00470EC3"/>
    <w:rsid w:val="00472E99"/>
    <w:rsid w:val="00476050"/>
    <w:rsid w:val="00477CF8"/>
    <w:rsid w:val="00480A02"/>
    <w:rsid w:val="0048168F"/>
    <w:rsid w:val="00483BF2"/>
    <w:rsid w:val="00484092"/>
    <w:rsid w:val="00484169"/>
    <w:rsid w:val="00485D00"/>
    <w:rsid w:val="00495AC5"/>
    <w:rsid w:val="004965A3"/>
    <w:rsid w:val="004A210E"/>
    <w:rsid w:val="004A2841"/>
    <w:rsid w:val="004A49E6"/>
    <w:rsid w:val="004A65B6"/>
    <w:rsid w:val="004B1E1E"/>
    <w:rsid w:val="004B5601"/>
    <w:rsid w:val="004B5B20"/>
    <w:rsid w:val="004B5C18"/>
    <w:rsid w:val="004B6861"/>
    <w:rsid w:val="004B6FDC"/>
    <w:rsid w:val="004C3DC3"/>
    <w:rsid w:val="004C4F3B"/>
    <w:rsid w:val="004D141E"/>
    <w:rsid w:val="004E0AE3"/>
    <w:rsid w:val="004E33A8"/>
    <w:rsid w:val="004E3B3E"/>
    <w:rsid w:val="004E3BD7"/>
    <w:rsid w:val="004E6614"/>
    <w:rsid w:val="004F016F"/>
    <w:rsid w:val="004F61C5"/>
    <w:rsid w:val="004F7D22"/>
    <w:rsid w:val="004F7F7F"/>
    <w:rsid w:val="005019E6"/>
    <w:rsid w:val="00505758"/>
    <w:rsid w:val="0050629E"/>
    <w:rsid w:val="005129DA"/>
    <w:rsid w:val="00513612"/>
    <w:rsid w:val="00513D8E"/>
    <w:rsid w:val="00515523"/>
    <w:rsid w:val="0051571C"/>
    <w:rsid w:val="00515EEF"/>
    <w:rsid w:val="005174D6"/>
    <w:rsid w:val="0051786C"/>
    <w:rsid w:val="005208FF"/>
    <w:rsid w:val="005211BB"/>
    <w:rsid w:val="00521468"/>
    <w:rsid w:val="005216B2"/>
    <w:rsid w:val="00526655"/>
    <w:rsid w:val="00526735"/>
    <w:rsid w:val="00526B32"/>
    <w:rsid w:val="00527E52"/>
    <w:rsid w:val="00530202"/>
    <w:rsid w:val="0053126F"/>
    <w:rsid w:val="00533C36"/>
    <w:rsid w:val="00535054"/>
    <w:rsid w:val="005357D9"/>
    <w:rsid w:val="00536175"/>
    <w:rsid w:val="00541F2E"/>
    <w:rsid w:val="00543470"/>
    <w:rsid w:val="0054416C"/>
    <w:rsid w:val="00544390"/>
    <w:rsid w:val="00544781"/>
    <w:rsid w:val="005460E0"/>
    <w:rsid w:val="005470AF"/>
    <w:rsid w:val="00550982"/>
    <w:rsid w:val="0055185F"/>
    <w:rsid w:val="00553A7C"/>
    <w:rsid w:val="00553D53"/>
    <w:rsid w:val="005560FA"/>
    <w:rsid w:val="00557261"/>
    <w:rsid w:val="0056086D"/>
    <w:rsid w:val="00561C6B"/>
    <w:rsid w:val="0057086A"/>
    <w:rsid w:val="005718ED"/>
    <w:rsid w:val="0058153F"/>
    <w:rsid w:val="0058301B"/>
    <w:rsid w:val="00590937"/>
    <w:rsid w:val="0059166A"/>
    <w:rsid w:val="00592733"/>
    <w:rsid w:val="00593B59"/>
    <w:rsid w:val="00595DBA"/>
    <w:rsid w:val="00595F80"/>
    <w:rsid w:val="005A1F6A"/>
    <w:rsid w:val="005A20D8"/>
    <w:rsid w:val="005A2661"/>
    <w:rsid w:val="005A26F8"/>
    <w:rsid w:val="005A56E0"/>
    <w:rsid w:val="005B746D"/>
    <w:rsid w:val="005C1048"/>
    <w:rsid w:val="005C187A"/>
    <w:rsid w:val="005C1B6D"/>
    <w:rsid w:val="005C1CC6"/>
    <w:rsid w:val="005C1FC7"/>
    <w:rsid w:val="005C4963"/>
    <w:rsid w:val="005C4BBA"/>
    <w:rsid w:val="005C5390"/>
    <w:rsid w:val="005C68B4"/>
    <w:rsid w:val="005D2343"/>
    <w:rsid w:val="005D545C"/>
    <w:rsid w:val="005E1228"/>
    <w:rsid w:val="005E3B28"/>
    <w:rsid w:val="005E73D2"/>
    <w:rsid w:val="005F0CC2"/>
    <w:rsid w:val="005F2B3F"/>
    <w:rsid w:val="005F439F"/>
    <w:rsid w:val="005F77DA"/>
    <w:rsid w:val="00600C72"/>
    <w:rsid w:val="00605275"/>
    <w:rsid w:val="006073A2"/>
    <w:rsid w:val="006073AB"/>
    <w:rsid w:val="0060796B"/>
    <w:rsid w:val="006100F5"/>
    <w:rsid w:val="00613916"/>
    <w:rsid w:val="0061467E"/>
    <w:rsid w:val="00615C30"/>
    <w:rsid w:val="0062033D"/>
    <w:rsid w:val="00620BE6"/>
    <w:rsid w:val="00620F1D"/>
    <w:rsid w:val="00624881"/>
    <w:rsid w:val="00624B2F"/>
    <w:rsid w:val="00624F31"/>
    <w:rsid w:val="00626B3F"/>
    <w:rsid w:val="00627A1C"/>
    <w:rsid w:val="00632971"/>
    <w:rsid w:val="00635112"/>
    <w:rsid w:val="0063690E"/>
    <w:rsid w:val="00641918"/>
    <w:rsid w:val="00643A9E"/>
    <w:rsid w:val="00644C11"/>
    <w:rsid w:val="00646132"/>
    <w:rsid w:val="00646FF7"/>
    <w:rsid w:val="006500AC"/>
    <w:rsid w:val="00651323"/>
    <w:rsid w:val="006514B8"/>
    <w:rsid w:val="00656A65"/>
    <w:rsid w:val="006578BB"/>
    <w:rsid w:val="00657A0F"/>
    <w:rsid w:val="006645BE"/>
    <w:rsid w:val="006648F5"/>
    <w:rsid w:val="00664EA0"/>
    <w:rsid w:val="006657E2"/>
    <w:rsid w:val="00666A93"/>
    <w:rsid w:val="006673EC"/>
    <w:rsid w:val="00667960"/>
    <w:rsid w:val="0067044E"/>
    <w:rsid w:val="00670D17"/>
    <w:rsid w:val="00671040"/>
    <w:rsid w:val="0067321D"/>
    <w:rsid w:val="006734B3"/>
    <w:rsid w:val="0067356E"/>
    <w:rsid w:val="00673D6E"/>
    <w:rsid w:val="0067417E"/>
    <w:rsid w:val="006811AD"/>
    <w:rsid w:val="00684EF1"/>
    <w:rsid w:val="006907EE"/>
    <w:rsid w:val="00691C2F"/>
    <w:rsid w:val="0069247C"/>
    <w:rsid w:val="00692E20"/>
    <w:rsid w:val="006947B7"/>
    <w:rsid w:val="006969E7"/>
    <w:rsid w:val="00697FE4"/>
    <w:rsid w:val="006A07CA"/>
    <w:rsid w:val="006A207B"/>
    <w:rsid w:val="006A2A75"/>
    <w:rsid w:val="006A2E42"/>
    <w:rsid w:val="006A5032"/>
    <w:rsid w:val="006A5B0E"/>
    <w:rsid w:val="006B4DED"/>
    <w:rsid w:val="006B5413"/>
    <w:rsid w:val="006C1819"/>
    <w:rsid w:val="006C29FB"/>
    <w:rsid w:val="006C6504"/>
    <w:rsid w:val="006D0366"/>
    <w:rsid w:val="006D12FA"/>
    <w:rsid w:val="006D3593"/>
    <w:rsid w:val="006D3F0B"/>
    <w:rsid w:val="006D5799"/>
    <w:rsid w:val="006D60AB"/>
    <w:rsid w:val="006D6B92"/>
    <w:rsid w:val="006E10BF"/>
    <w:rsid w:val="006E2489"/>
    <w:rsid w:val="006E4DA8"/>
    <w:rsid w:val="006E7CF8"/>
    <w:rsid w:val="006F0257"/>
    <w:rsid w:val="006F0654"/>
    <w:rsid w:val="006F0B62"/>
    <w:rsid w:val="006F0F2D"/>
    <w:rsid w:val="006F14D6"/>
    <w:rsid w:val="006F1516"/>
    <w:rsid w:val="006F3216"/>
    <w:rsid w:val="006F4A07"/>
    <w:rsid w:val="006F690E"/>
    <w:rsid w:val="006F74C9"/>
    <w:rsid w:val="007065B1"/>
    <w:rsid w:val="007073F6"/>
    <w:rsid w:val="0070795D"/>
    <w:rsid w:val="007118F5"/>
    <w:rsid w:val="0071286E"/>
    <w:rsid w:val="007133CF"/>
    <w:rsid w:val="0071506D"/>
    <w:rsid w:val="007154CB"/>
    <w:rsid w:val="00715EC6"/>
    <w:rsid w:val="00720431"/>
    <w:rsid w:val="00720C50"/>
    <w:rsid w:val="007266EC"/>
    <w:rsid w:val="007308CD"/>
    <w:rsid w:val="007317AD"/>
    <w:rsid w:val="00734278"/>
    <w:rsid w:val="00740B1E"/>
    <w:rsid w:val="0074108E"/>
    <w:rsid w:val="00741135"/>
    <w:rsid w:val="00742F27"/>
    <w:rsid w:val="00742FDD"/>
    <w:rsid w:val="007435E3"/>
    <w:rsid w:val="00744AB6"/>
    <w:rsid w:val="007451EC"/>
    <w:rsid w:val="00745803"/>
    <w:rsid w:val="007476A2"/>
    <w:rsid w:val="00751279"/>
    <w:rsid w:val="00751324"/>
    <w:rsid w:val="00751DAF"/>
    <w:rsid w:val="00753159"/>
    <w:rsid w:val="007569BB"/>
    <w:rsid w:val="00761508"/>
    <w:rsid w:val="007626C9"/>
    <w:rsid w:val="00764773"/>
    <w:rsid w:val="00764B9C"/>
    <w:rsid w:val="00765D82"/>
    <w:rsid w:val="0076624E"/>
    <w:rsid w:val="007712FB"/>
    <w:rsid w:val="007717E2"/>
    <w:rsid w:val="00772A5E"/>
    <w:rsid w:val="007740D4"/>
    <w:rsid w:val="007756B0"/>
    <w:rsid w:val="007766A5"/>
    <w:rsid w:val="00781A0B"/>
    <w:rsid w:val="00782E30"/>
    <w:rsid w:val="00784DE4"/>
    <w:rsid w:val="00785E5E"/>
    <w:rsid w:val="0078600B"/>
    <w:rsid w:val="0078643A"/>
    <w:rsid w:val="007870DC"/>
    <w:rsid w:val="007874FE"/>
    <w:rsid w:val="00790676"/>
    <w:rsid w:val="00791410"/>
    <w:rsid w:val="007922F9"/>
    <w:rsid w:val="007937AE"/>
    <w:rsid w:val="00793DE6"/>
    <w:rsid w:val="00793E8B"/>
    <w:rsid w:val="007958F2"/>
    <w:rsid w:val="007A0633"/>
    <w:rsid w:val="007A1B5F"/>
    <w:rsid w:val="007A3002"/>
    <w:rsid w:val="007A4F3E"/>
    <w:rsid w:val="007A5985"/>
    <w:rsid w:val="007A777F"/>
    <w:rsid w:val="007B10F6"/>
    <w:rsid w:val="007B130C"/>
    <w:rsid w:val="007B1BE5"/>
    <w:rsid w:val="007B368E"/>
    <w:rsid w:val="007B4176"/>
    <w:rsid w:val="007B5999"/>
    <w:rsid w:val="007B5D05"/>
    <w:rsid w:val="007C24F6"/>
    <w:rsid w:val="007C288F"/>
    <w:rsid w:val="007C304F"/>
    <w:rsid w:val="007C655A"/>
    <w:rsid w:val="007C78B2"/>
    <w:rsid w:val="007C78D3"/>
    <w:rsid w:val="007D127B"/>
    <w:rsid w:val="007D2DD6"/>
    <w:rsid w:val="007D5138"/>
    <w:rsid w:val="007D6A05"/>
    <w:rsid w:val="007D6E52"/>
    <w:rsid w:val="007D745B"/>
    <w:rsid w:val="007E1330"/>
    <w:rsid w:val="007E39AE"/>
    <w:rsid w:val="007E3EB8"/>
    <w:rsid w:val="007E4BF9"/>
    <w:rsid w:val="007E4FA1"/>
    <w:rsid w:val="007E7BE8"/>
    <w:rsid w:val="007F4C86"/>
    <w:rsid w:val="007F64F8"/>
    <w:rsid w:val="007F6890"/>
    <w:rsid w:val="007F6F6D"/>
    <w:rsid w:val="007F7257"/>
    <w:rsid w:val="00805ADB"/>
    <w:rsid w:val="00811F20"/>
    <w:rsid w:val="00812452"/>
    <w:rsid w:val="00817132"/>
    <w:rsid w:val="00823F50"/>
    <w:rsid w:val="00824A68"/>
    <w:rsid w:val="00825A9E"/>
    <w:rsid w:val="008342B5"/>
    <w:rsid w:val="0083461E"/>
    <w:rsid w:val="00834A9F"/>
    <w:rsid w:val="008364E5"/>
    <w:rsid w:val="00837B04"/>
    <w:rsid w:val="008406F2"/>
    <w:rsid w:val="0084221C"/>
    <w:rsid w:val="00842C3A"/>
    <w:rsid w:val="0084393C"/>
    <w:rsid w:val="00843B35"/>
    <w:rsid w:val="00847A89"/>
    <w:rsid w:val="00850AB9"/>
    <w:rsid w:val="00853068"/>
    <w:rsid w:val="00861669"/>
    <w:rsid w:val="008632DB"/>
    <w:rsid w:val="008640A5"/>
    <w:rsid w:val="00864A36"/>
    <w:rsid w:val="00865821"/>
    <w:rsid w:val="00865FA0"/>
    <w:rsid w:val="008664A8"/>
    <w:rsid w:val="00866E96"/>
    <w:rsid w:val="00870643"/>
    <w:rsid w:val="00874634"/>
    <w:rsid w:val="00875EA5"/>
    <w:rsid w:val="00881D4B"/>
    <w:rsid w:val="00891AE7"/>
    <w:rsid w:val="00892B3B"/>
    <w:rsid w:val="008A1155"/>
    <w:rsid w:val="008A3181"/>
    <w:rsid w:val="008A31B1"/>
    <w:rsid w:val="008B1B75"/>
    <w:rsid w:val="008B2779"/>
    <w:rsid w:val="008B3518"/>
    <w:rsid w:val="008B55C0"/>
    <w:rsid w:val="008B5A12"/>
    <w:rsid w:val="008B6081"/>
    <w:rsid w:val="008B6F47"/>
    <w:rsid w:val="008B7E23"/>
    <w:rsid w:val="008C1F10"/>
    <w:rsid w:val="008C36AB"/>
    <w:rsid w:val="008C782A"/>
    <w:rsid w:val="008E0162"/>
    <w:rsid w:val="008E1083"/>
    <w:rsid w:val="008E3872"/>
    <w:rsid w:val="008E3ECC"/>
    <w:rsid w:val="008E4488"/>
    <w:rsid w:val="008E6C64"/>
    <w:rsid w:val="008E71D4"/>
    <w:rsid w:val="008E729D"/>
    <w:rsid w:val="008F5112"/>
    <w:rsid w:val="008F6703"/>
    <w:rsid w:val="00900D78"/>
    <w:rsid w:val="00901C1E"/>
    <w:rsid w:val="009048A1"/>
    <w:rsid w:val="00910898"/>
    <w:rsid w:val="00910FE1"/>
    <w:rsid w:val="00911540"/>
    <w:rsid w:val="0091229B"/>
    <w:rsid w:val="00912D25"/>
    <w:rsid w:val="00915C96"/>
    <w:rsid w:val="00915D77"/>
    <w:rsid w:val="00916DF8"/>
    <w:rsid w:val="0091758E"/>
    <w:rsid w:val="00920B66"/>
    <w:rsid w:val="009216A8"/>
    <w:rsid w:val="00921C68"/>
    <w:rsid w:val="00922038"/>
    <w:rsid w:val="00925BB3"/>
    <w:rsid w:val="0092673B"/>
    <w:rsid w:val="0093134E"/>
    <w:rsid w:val="00931786"/>
    <w:rsid w:val="00933DBC"/>
    <w:rsid w:val="00937ABE"/>
    <w:rsid w:val="0094196C"/>
    <w:rsid w:val="00942AF9"/>
    <w:rsid w:val="00945925"/>
    <w:rsid w:val="00952DE4"/>
    <w:rsid w:val="009568EF"/>
    <w:rsid w:val="00956B79"/>
    <w:rsid w:val="00961F38"/>
    <w:rsid w:val="00962C36"/>
    <w:rsid w:val="00965F6B"/>
    <w:rsid w:val="00970F4C"/>
    <w:rsid w:val="0097130A"/>
    <w:rsid w:val="00974D94"/>
    <w:rsid w:val="009774FE"/>
    <w:rsid w:val="009832F8"/>
    <w:rsid w:val="009839DA"/>
    <w:rsid w:val="00985E49"/>
    <w:rsid w:val="00991418"/>
    <w:rsid w:val="00992891"/>
    <w:rsid w:val="0099300B"/>
    <w:rsid w:val="009934C9"/>
    <w:rsid w:val="00994476"/>
    <w:rsid w:val="00994B0E"/>
    <w:rsid w:val="0099700D"/>
    <w:rsid w:val="00997347"/>
    <w:rsid w:val="009A012A"/>
    <w:rsid w:val="009A1CD3"/>
    <w:rsid w:val="009A44A4"/>
    <w:rsid w:val="009A4A5D"/>
    <w:rsid w:val="009A5EEF"/>
    <w:rsid w:val="009B18EB"/>
    <w:rsid w:val="009B35FE"/>
    <w:rsid w:val="009B5D1A"/>
    <w:rsid w:val="009C153E"/>
    <w:rsid w:val="009C28DE"/>
    <w:rsid w:val="009C2C5E"/>
    <w:rsid w:val="009C5452"/>
    <w:rsid w:val="009D0838"/>
    <w:rsid w:val="009D0C9F"/>
    <w:rsid w:val="009D10B2"/>
    <w:rsid w:val="009D2543"/>
    <w:rsid w:val="009D64E4"/>
    <w:rsid w:val="009E20F1"/>
    <w:rsid w:val="009E38EA"/>
    <w:rsid w:val="009E467B"/>
    <w:rsid w:val="009E5594"/>
    <w:rsid w:val="009F517D"/>
    <w:rsid w:val="009F6554"/>
    <w:rsid w:val="009F7F98"/>
    <w:rsid w:val="00A000B1"/>
    <w:rsid w:val="00A01881"/>
    <w:rsid w:val="00A02F58"/>
    <w:rsid w:val="00A032AE"/>
    <w:rsid w:val="00A03973"/>
    <w:rsid w:val="00A04BC7"/>
    <w:rsid w:val="00A10DAC"/>
    <w:rsid w:val="00A125F7"/>
    <w:rsid w:val="00A132C2"/>
    <w:rsid w:val="00A209C8"/>
    <w:rsid w:val="00A2677E"/>
    <w:rsid w:val="00A26CF1"/>
    <w:rsid w:val="00A31988"/>
    <w:rsid w:val="00A3368C"/>
    <w:rsid w:val="00A34FE2"/>
    <w:rsid w:val="00A35FDA"/>
    <w:rsid w:val="00A360E8"/>
    <w:rsid w:val="00A40E80"/>
    <w:rsid w:val="00A41736"/>
    <w:rsid w:val="00A43215"/>
    <w:rsid w:val="00A43802"/>
    <w:rsid w:val="00A4395F"/>
    <w:rsid w:val="00A43B9C"/>
    <w:rsid w:val="00A4581B"/>
    <w:rsid w:val="00A45BD4"/>
    <w:rsid w:val="00A46B06"/>
    <w:rsid w:val="00A471E3"/>
    <w:rsid w:val="00A47DDA"/>
    <w:rsid w:val="00A509C6"/>
    <w:rsid w:val="00A526B9"/>
    <w:rsid w:val="00A52A49"/>
    <w:rsid w:val="00A53C94"/>
    <w:rsid w:val="00A53DBD"/>
    <w:rsid w:val="00A54EC4"/>
    <w:rsid w:val="00A56DD8"/>
    <w:rsid w:val="00A5793F"/>
    <w:rsid w:val="00A6017D"/>
    <w:rsid w:val="00A64309"/>
    <w:rsid w:val="00A64A02"/>
    <w:rsid w:val="00A656C0"/>
    <w:rsid w:val="00A66647"/>
    <w:rsid w:val="00A66688"/>
    <w:rsid w:val="00A743E8"/>
    <w:rsid w:val="00A77540"/>
    <w:rsid w:val="00A77C0F"/>
    <w:rsid w:val="00A81DF0"/>
    <w:rsid w:val="00A8266F"/>
    <w:rsid w:val="00A838EA"/>
    <w:rsid w:val="00A843B5"/>
    <w:rsid w:val="00A84F6B"/>
    <w:rsid w:val="00A855EA"/>
    <w:rsid w:val="00A86B3F"/>
    <w:rsid w:val="00A86F4D"/>
    <w:rsid w:val="00A90054"/>
    <w:rsid w:val="00A9067B"/>
    <w:rsid w:val="00A90E80"/>
    <w:rsid w:val="00A91FCD"/>
    <w:rsid w:val="00A96579"/>
    <w:rsid w:val="00A9791E"/>
    <w:rsid w:val="00AA1589"/>
    <w:rsid w:val="00AA1DFA"/>
    <w:rsid w:val="00AA363D"/>
    <w:rsid w:val="00AA6738"/>
    <w:rsid w:val="00AA7C77"/>
    <w:rsid w:val="00AB1368"/>
    <w:rsid w:val="00AB3723"/>
    <w:rsid w:val="00AB37F4"/>
    <w:rsid w:val="00AB6561"/>
    <w:rsid w:val="00AB678C"/>
    <w:rsid w:val="00AB6BAD"/>
    <w:rsid w:val="00AC433F"/>
    <w:rsid w:val="00AC4B04"/>
    <w:rsid w:val="00AC5D55"/>
    <w:rsid w:val="00AD0A31"/>
    <w:rsid w:val="00AD1B06"/>
    <w:rsid w:val="00AD31EC"/>
    <w:rsid w:val="00AD393C"/>
    <w:rsid w:val="00AD6104"/>
    <w:rsid w:val="00AD683D"/>
    <w:rsid w:val="00AD6C55"/>
    <w:rsid w:val="00AD73D3"/>
    <w:rsid w:val="00AE0D84"/>
    <w:rsid w:val="00AF2696"/>
    <w:rsid w:val="00AF2D89"/>
    <w:rsid w:val="00AF5B7B"/>
    <w:rsid w:val="00AF6F94"/>
    <w:rsid w:val="00AF7DA4"/>
    <w:rsid w:val="00B00EBD"/>
    <w:rsid w:val="00B0370E"/>
    <w:rsid w:val="00B03E68"/>
    <w:rsid w:val="00B05E35"/>
    <w:rsid w:val="00B11B76"/>
    <w:rsid w:val="00B11CBF"/>
    <w:rsid w:val="00B124BD"/>
    <w:rsid w:val="00B12FB8"/>
    <w:rsid w:val="00B22390"/>
    <w:rsid w:val="00B244A1"/>
    <w:rsid w:val="00B24F72"/>
    <w:rsid w:val="00B27419"/>
    <w:rsid w:val="00B3080F"/>
    <w:rsid w:val="00B3111F"/>
    <w:rsid w:val="00B329B9"/>
    <w:rsid w:val="00B35056"/>
    <w:rsid w:val="00B37406"/>
    <w:rsid w:val="00B404DF"/>
    <w:rsid w:val="00B40F15"/>
    <w:rsid w:val="00B419C8"/>
    <w:rsid w:val="00B4227A"/>
    <w:rsid w:val="00B42DC9"/>
    <w:rsid w:val="00B43B8D"/>
    <w:rsid w:val="00B43EEA"/>
    <w:rsid w:val="00B43F6D"/>
    <w:rsid w:val="00B442A2"/>
    <w:rsid w:val="00B46712"/>
    <w:rsid w:val="00B47593"/>
    <w:rsid w:val="00B51C64"/>
    <w:rsid w:val="00B54526"/>
    <w:rsid w:val="00B6401E"/>
    <w:rsid w:val="00B652A1"/>
    <w:rsid w:val="00B65335"/>
    <w:rsid w:val="00B6652E"/>
    <w:rsid w:val="00B702C0"/>
    <w:rsid w:val="00B71D35"/>
    <w:rsid w:val="00B72730"/>
    <w:rsid w:val="00B735DD"/>
    <w:rsid w:val="00B7369D"/>
    <w:rsid w:val="00B737D1"/>
    <w:rsid w:val="00B7459B"/>
    <w:rsid w:val="00B749E2"/>
    <w:rsid w:val="00B74CE9"/>
    <w:rsid w:val="00B7553C"/>
    <w:rsid w:val="00B75C20"/>
    <w:rsid w:val="00B8195C"/>
    <w:rsid w:val="00B819DD"/>
    <w:rsid w:val="00B82635"/>
    <w:rsid w:val="00B82C51"/>
    <w:rsid w:val="00B83BA8"/>
    <w:rsid w:val="00B90AED"/>
    <w:rsid w:val="00B91348"/>
    <w:rsid w:val="00B91F39"/>
    <w:rsid w:val="00B93424"/>
    <w:rsid w:val="00B94C89"/>
    <w:rsid w:val="00BA136D"/>
    <w:rsid w:val="00BA4280"/>
    <w:rsid w:val="00BA4F96"/>
    <w:rsid w:val="00BA5D85"/>
    <w:rsid w:val="00BA6688"/>
    <w:rsid w:val="00BA6F4B"/>
    <w:rsid w:val="00BB4481"/>
    <w:rsid w:val="00BC1A5D"/>
    <w:rsid w:val="00BC34D3"/>
    <w:rsid w:val="00BC4F43"/>
    <w:rsid w:val="00BC6808"/>
    <w:rsid w:val="00BC71E1"/>
    <w:rsid w:val="00BD2962"/>
    <w:rsid w:val="00BD4E48"/>
    <w:rsid w:val="00BD5D49"/>
    <w:rsid w:val="00BD643D"/>
    <w:rsid w:val="00BE1D29"/>
    <w:rsid w:val="00BE28AA"/>
    <w:rsid w:val="00BE41D3"/>
    <w:rsid w:val="00BE720A"/>
    <w:rsid w:val="00BE7698"/>
    <w:rsid w:val="00BF1BFB"/>
    <w:rsid w:val="00BF2CD1"/>
    <w:rsid w:val="00BF41E2"/>
    <w:rsid w:val="00BF43F8"/>
    <w:rsid w:val="00C010A0"/>
    <w:rsid w:val="00C07A0C"/>
    <w:rsid w:val="00C107F6"/>
    <w:rsid w:val="00C10DC0"/>
    <w:rsid w:val="00C12D6A"/>
    <w:rsid w:val="00C13590"/>
    <w:rsid w:val="00C145CF"/>
    <w:rsid w:val="00C1726E"/>
    <w:rsid w:val="00C221D7"/>
    <w:rsid w:val="00C2331C"/>
    <w:rsid w:val="00C27302"/>
    <w:rsid w:val="00C30188"/>
    <w:rsid w:val="00C30F72"/>
    <w:rsid w:val="00C312C0"/>
    <w:rsid w:val="00C41926"/>
    <w:rsid w:val="00C42FB9"/>
    <w:rsid w:val="00C44EEA"/>
    <w:rsid w:val="00C453AC"/>
    <w:rsid w:val="00C46148"/>
    <w:rsid w:val="00C52BDA"/>
    <w:rsid w:val="00C55E8E"/>
    <w:rsid w:val="00C5608F"/>
    <w:rsid w:val="00C56D40"/>
    <w:rsid w:val="00C578BE"/>
    <w:rsid w:val="00C61129"/>
    <w:rsid w:val="00C62DCD"/>
    <w:rsid w:val="00C640B2"/>
    <w:rsid w:val="00C70E7A"/>
    <w:rsid w:val="00C72CF8"/>
    <w:rsid w:val="00C72DED"/>
    <w:rsid w:val="00C74E37"/>
    <w:rsid w:val="00C83EF5"/>
    <w:rsid w:val="00C846A4"/>
    <w:rsid w:val="00C847EE"/>
    <w:rsid w:val="00C853D5"/>
    <w:rsid w:val="00C949B7"/>
    <w:rsid w:val="00C96336"/>
    <w:rsid w:val="00C96EA7"/>
    <w:rsid w:val="00CA0E32"/>
    <w:rsid w:val="00CA18AB"/>
    <w:rsid w:val="00CA1B43"/>
    <w:rsid w:val="00CA6C99"/>
    <w:rsid w:val="00CB02F7"/>
    <w:rsid w:val="00CB25A2"/>
    <w:rsid w:val="00CB26D9"/>
    <w:rsid w:val="00CB3A60"/>
    <w:rsid w:val="00CB4B5C"/>
    <w:rsid w:val="00CC1090"/>
    <w:rsid w:val="00CC2015"/>
    <w:rsid w:val="00CC26EB"/>
    <w:rsid w:val="00CC59E5"/>
    <w:rsid w:val="00CD2D2D"/>
    <w:rsid w:val="00CD2F67"/>
    <w:rsid w:val="00CD3754"/>
    <w:rsid w:val="00CD5E04"/>
    <w:rsid w:val="00CD5E74"/>
    <w:rsid w:val="00CE0239"/>
    <w:rsid w:val="00CE132D"/>
    <w:rsid w:val="00CE3BEA"/>
    <w:rsid w:val="00CE499C"/>
    <w:rsid w:val="00CF04AE"/>
    <w:rsid w:val="00CF073D"/>
    <w:rsid w:val="00CF671C"/>
    <w:rsid w:val="00CF6BB3"/>
    <w:rsid w:val="00CF6CA6"/>
    <w:rsid w:val="00CF758C"/>
    <w:rsid w:val="00D0004D"/>
    <w:rsid w:val="00D03D06"/>
    <w:rsid w:val="00D06A43"/>
    <w:rsid w:val="00D079BC"/>
    <w:rsid w:val="00D12CC9"/>
    <w:rsid w:val="00D13792"/>
    <w:rsid w:val="00D17538"/>
    <w:rsid w:val="00D21E2D"/>
    <w:rsid w:val="00D22B42"/>
    <w:rsid w:val="00D25DFB"/>
    <w:rsid w:val="00D26972"/>
    <w:rsid w:val="00D304AB"/>
    <w:rsid w:val="00D30647"/>
    <w:rsid w:val="00D3351A"/>
    <w:rsid w:val="00D34147"/>
    <w:rsid w:val="00D3673C"/>
    <w:rsid w:val="00D36AF6"/>
    <w:rsid w:val="00D36E09"/>
    <w:rsid w:val="00D404DD"/>
    <w:rsid w:val="00D41969"/>
    <w:rsid w:val="00D44632"/>
    <w:rsid w:val="00D47711"/>
    <w:rsid w:val="00D5552B"/>
    <w:rsid w:val="00D557FD"/>
    <w:rsid w:val="00D569A1"/>
    <w:rsid w:val="00D632A3"/>
    <w:rsid w:val="00D65589"/>
    <w:rsid w:val="00D65BB5"/>
    <w:rsid w:val="00D6788F"/>
    <w:rsid w:val="00D70EC5"/>
    <w:rsid w:val="00D7130C"/>
    <w:rsid w:val="00D71E9B"/>
    <w:rsid w:val="00D74F03"/>
    <w:rsid w:val="00D755D9"/>
    <w:rsid w:val="00D76947"/>
    <w:rsid w:val="00D81ED5"/>
    <w:rsid w:val="00D82071"/>
    <w:rsid w:val="00D82444"/>
    <w:rsid w:val="00D82C29"/>
    <w:rsid w:val="00D82CA9"/>
    <w:rsid w:val="00D84A39"/>
    <w:rsid w:val="00D85131"/>
    <w:rsid w:val="00D92DE1"/>
    <w:rsid w:val="00D9587B"/>
    <w:rsid w:val="00DA02D5"/>
    <w:rsid w:val="00DA064C"/>
    <w:rsid w:val="00DA2795"/>
    <w:rsid w:val="00DA2CD8"/>
    <w:rsid w:val="00DA7B93"/>
    <w:rsid w:val="00DB3627"/>
    <w:rsid w:val="00DC1151"/>
    <w:rsid w:val="00DC3579"/>
    <w:rsid w:val="00DC3612"/>
    <w:rsid w:val="00DC4D0A"/>
    <w:rsid w:val="00DC5066"/>
    <w:rsid w:val="00DC735D"/>
    <w:rsid w:val="00DD426E"/>
    <w:rsid w:val="00DE2383"/>
    <w:rsid w:val="00DE71EF"/>
    <w:rsid w:val="00DF19B7"/>
    <w:rsid w:val="00DF1E17"/>
    <w:rsid w:val="00DF3624"/>
    <w:rsid w:val="00DF5EB7"/>
    <w:rsid w:val="00DF5FD1"/>
    <w:rsid w:val="00DF6A23"/>
    <w:rsid w:val="00E021C1"/>
    <w:rsid w:val="00E04A24"/>
    <w:rsid w:val="00E0564D"/>
    <w:rsid w:val="00E07987"/>
    <w:rsid w:val="00E10926"/>
    <w:rsid w:val="00E13590"/>
    <w:rsid w:val="00E20C74"/>
    <w:rsid w:val="00E258C2"/>
    <w:rsid w:val="00E31B37"/>
    <w:rsid w:val="00E33CB7"/>
    <w:rsid w:val="00E34912"/>
    <w:rsid w:val="00E34A75"/>
    <w:rsid w:val="00E3564C"/>
    <w:rsid w:val="00E35E72"/>
    <w:rsid w:val="00E41079"/>
    <w:rsid w:val="00E42721"/>
    <w:rsid w:val="00E43490"/>
    <w:rsid w:val="00E449CC"/>
    <w:rsid w:val="00E44AF0"/>
    <w:rsid w:val="00E460F1"/>
    <w:rsid w:val="00E46348"/>
    <w:rsid w:val="00E475CE"/>
    <w:rsid w:val="00E5082E"/>
    <w:rsid w:val="00E513CC"/>
    <w:rsid w:val="00E51A66"/>
    <w:rsid w:val="00E5396E"/>
    <w:rsid w:val="00E5415A"/>
    <w:rsid w:val="00E5487E"/>
    <w:rsid w:val="00E54C30"/>
    <w:rsid w:val="00E55349"/>
    <w:rsid w:val="00E55557"/>
    <w:rsid w:val="00E562DC"/>
    <w:rsid w:val="00E61A08"/>
    <w:rsid w:val="00E62ED2"/>
    <w:rsid w:val="00E658A1"/>
    <w:rsid w:val="00E671FC"/>
    <w:rsid w:val="00E6762A"/>
    <w:rsid w:val="00E70743"/>
    <w:rsid w:val="00E7146C"/>
    <w:rsid w:val="00E75D3B"/>
    <w:rsid w:val="00E767F1"/>
    <w:rsid w:val="00E76BB5"/>
    <w:rsid w:val="00E76CA1"/>
    <w:rsid w:val="00E76F75"/>
    <w:rsid w:val="00E83A40"/>
    <w:rsid w:val="00E84BB9"/>
    <w:rsid w:val="00E84FA2"/>
    <w:rsid w:val="00E876A0"/>
    <w:rsid w:val="00E877CA"/>
    <w:rsid w:val="00E928D7"/>
    <w:rsid w:val="00E94776"/>
    <w:rsid w:val="00E97C4A"/>
    <w:rsid w:val="00EA0448"/>
    <w:rsid w:val="00EA30A1"/>
    <w:rsid w:val="00EA4167"/>
    <w:rsid w:val="00EA73D9"/>
    <w:rsid w:val="00EA7CEC"/>
    <w:rsid w:val="00EB1536"/>
    <w:rsid w:val="00EB1C20"/>
    <w:rsid w:val="00EB1F27"/>
    <w:rsid w:val="00EB24F1"/>
    <w:rsid w:val="00EB2B6A"/>
    <w:rsid w:val="00EB2BDC"/>
    <w:rsid w:val="00EB41CB"/>
    <w:rsid w:val="00EB4C46"/>
    <w:rsid w:val="00EB5405"/>
    <w:rsid w:val="00EC1130"/>
    <w:rsid w:val="00EC18C3"/>
    <w:rsid w:val="00EC19E1"/>
    <w:rsid w:val="00EC247A"/>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313"/>
    <w:rsid w:val="00EF34F7"/>
    <w:rsid w:val="00EF3746"/>
    <w:rsid w:val="00EF6454"/>
    <w:rsid w:val="00F03A63"/>
    <w:rsid w:val="00F05682"/>
    <w:rsid w:val="00F065BD"/>
    <w:rsid w:val="00F06804"/>
    <w:rsid w:val="00F17161"/>
    <w:rsid w:val="00F177AC"/>
    <w:rsid w:val="00F17F94"/>
    <w:rsid w:val="00F20F55"/>
    <w:rsid w:val="00F2227D"/>
    <w:rsid w:val="00F2233A"/>
    <w:rsid w:val="00F23B6E"/>
    <w:rsid w:val="00F23D0F"/>
    <w:rsid w:val="00F2629E"/>
    <w:rsid w:val="00F32725"/>
    <w:rsid w:val="00F34857"/>
    <w:rsid w:val="00F3653F"/>
    <w:rsid w:val="00F36A83"/>
    <w:rsid w:val="00F36B57"/>
    <w:rsid w:val="00F425EE"/>
    <w:rsid w:val="00F43449"/>
    <w:rsid w:val="00F434C7"/>
    <w:rsid w:val="00F44A91"/>
    <w:rsid w:val="00F5457A"/>
    <w:rsid w:val="00F5504F"/>
    <w:rsid w:val="00F5578A"/>
    <w:rsid w:val="00F56EC3"/>
    <w:rsid w:val="00F63B1C"/>
    <w:rsid w:val="00F63FBE"/>
    <w:rsid w:val="00F71684"/>
    <w:rsid w:val="00F741FC"/>
    <w:rsid w:val="00F75EBF"/>
    <w:rsid w:val="00F76C54"/>
    <w:rsid w:val="00F76F11"/>
    <w:rsid w:val="00F773B2"/>
    <w:rsid w:val="00F80B98"/>
    <w:rsid w:val="00F81B93"/>
    <w:rsid w:val="00F8348E"/>
    <w:rsid w:val="00F84319"/>
    <w:rsid w:val="00F858BA"/>
    <w:rsid w:val="00F86077"/>
    <w:rsid w:val="00F86697"/>
    <w:rsid w:val="00F90494"/>
    <w:rsid w:val="00F90BC0"/>
    <w:rsid w:val="00F92DC8"/>
    <w:rsid w:val="00F934E6"/>
    <w:rsid w:val="00FA0393"/>
    <w:rsid w:val="00FA1F56"/>
    <w:rsid w:val="00FA2ECD"/>
    <w:rsid w:val="00FA49A7"/>
    <w:rsid w:val="00FA703B"/>
    <w:rsid w:val="00FB1CB1"/>
    <w:rsid w:val="00FB27F5"/>
    <w:rsid w:val="00FB3CDE"/>
    <w:rsid w:val="00FB5C17"/>
    <w:rsid w:val="00FB6BE8"/>
    <w:rsid w:val="00FC14D4"/>
    <w:rsid w:val="00FC1C72"/>
    <w:rsid w:val="00FC41DD"/>
    <w:rsid w:val="00FC5060"/>
    <w:rsid w:val="00FC7475"/>
    <w:rsid w:val="00FD00AA"/>
    <w:rsid w:val="00FD0B1C"/>
    <w:rsid w:val="00FD1F0F"/>
    <w:rsid w:val="00FD2745"/>
    <w:rsid w:val="00FD6CC1"/>
    <w:rsid w:val="00FD7A4A"/>
    <w:rsid w:val="00FE0A7B"/>
    <w:rsid w:val="00FE2242"/>
    <w:rsid w:val="00FE27B1"/>
    <w:rsid w:val="00FE41B0"/>
    <w:rsid w:val="00FE63C1"/>
    <w:rsid w:val="00FF1954"/>
    <w:rsid w:val="00FF4E2D"/>
    <w:rsid w:val="00FF641F"/>
    <w:rsid w:val="00FF693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otnote Text Char3,Footnote Text Char2 Char,Footnote Text Char1 Char Char,Footnote Text Char Char1 Char,Footnote Text Char1 Char1,C,fn,f,FOOTNOTES"/>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Footnote Text Char3 Char,Footnote Text Char2 Char Char,Footnote Text Char1 Char Char Char,Footnote Text Char Char1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link w:val="BVIfnrCarCar"/>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VIfnrCarCar">
    <w:name w:val="BVI fnr Car Car"/>
    <w:aliases w:val="BVI fnr Car, BVI fnr Car Car Car Car Char, BVI fnr Car Car Car Car Char Char Char Char Char, BVI fnr Car Car"/>
    <w:basedOn w:val="Normal"/>
    <w:link w:val="FootnoteReference"/>
    <w:rsid w:val="00EF3313"/>
    <w:pPr>
      <w:spacing w:after="160" w:line="240" w:lineRule="exact"/>
    </w:pPr>
    <w:rPr>
      <w:rFonts w:ascii="Calibri" w:eastAsia="Calibri" w:hAnsi="Calibri"/>
      <w:sz w:val="20"/>
      <w:szCs w:val="20"/>
      <w:vertAlign w:val="superscript"/>
      <w:lang w:val="en-US" w:eastAsia="zh-CN"/>
    </w:rPr>
  </w:style>
  <w:style w:type="paragraph" w:styleId="NormalWeb">
    <w:name w:val="Normal (Web)"/>
    <w:basedOn w:val="Normal"/>
    <w:uiPriority w:val="99"/>
    <w:unhideWhenUsed/>
    <w:rsid w:val="00992891"/>
    <w:pPr>
      <w:spacing w:before="100" w:beforeAutospacing="1" w:after="100" w:afterAutospacing="1"/>
    </w:pPr>
    <w:rPr>
      <w:lang w:val="en-US" w:eastAsia="en-US"/>
    </w:rPr>
  </w:style>
  <w:style w:type="paragraph" w:customStyle="1" w:styleId="drcucontenttext">
    <w:name w:val="drcu_content_text"/>
    <w:qFormat/>
    <w:rsid w:val="00992891"/>
    <w:pPr>
      <w:spacing w:after="100"/>
    </w:pPr>
    <w:rPr>
      <w:rFonts w:ascii="Arial" w:eastAsia="PMingLiU" w:hAnsi="Arial"/>
      <w:color w:val="404040"/>
      <w:szCs w:val="24"/>
      <w:lang w:eastAsia="zh-TW"/>
    </w:rPr>
  </w:style>
  <w:style w:type="paragraph" w:customStyle="1" w:styleId="ochacontenttext">
    <w:name w:val="ocha_content_text"/>
    <w:qFormat/>
    <w:rsid w:val="001B6CC6"/>
    <w:pPr>
      <w:spacing w:after="100"/>
    </w:pPr>
    <w:rPr>
      <w:rFonts w:ascii="Arial" w:eastAsia="PMingLiU" w:hAnsi="Arial"/>
      <w:color w:val="404040"/>
      <w:szCs w:val="24"/>
      <w:lang w:eastAsia="zh-TW"/>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A40E80"/>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E20C74"/>
    <w:rPr>
      <w:color w:val="605E5C"/>
      <w:shd w:val="clear" w:color="auto" w:fill="E1DFDD"/>
    </w:rPr>
  </w:style>
  <w:style w:type="character" w:customStyle="1" w:styleId="CommentTextChar">
    <w:name w:val="Comment Text Char"/>
    <w:basedOn w:val="DefaultParagraphFont"/>
    <w:link w:val="CommentText"/>
    <w:uiPriority w:val="99"/>
    <w:semiHidden/>
    <w:rsid w:val="003E4F67"/>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3454717">
      <w:bodyDiv w:val="1"/>
      <w:marLeft w:val="0"/>
      <w:marRight w:val="0"/>
      <w:marTop w:val="0"/>
      <w:marBottom w:val="0"/>
      <w:divBdr>
        <w:top w:val="none" w:sz="0" w:space="0" w:color="auto"/>
        <w:left w:val="none" w:sz="0" w:space="0" w:color="auto"/>
        <w:bottom w:val="none" w:sz="0" w:space="0" w:color="auto"/>
        <w:right w:val="none" w:sz="0" w:space="0" w:color="auto"/>
      </w:divBdr>
    </w:div>
    <w:div w:id="404762178">
      <w:bodyDiv w:val="1"/>
      <w:marLeft w:val="0"/>
      <w:marRight w:val="0"/>
      <w:marTop w:val="0"/>
      <w:marBottom w:val="0"/>
      <w:divBdr>
        <w:top w:val="none" w:sz="0" w:space="0" w:color="auto"/>
        <w:left w:val="none" w:sz="0" w:space="0" w:color="auto"/>
        <w:bottom w:val="none" w:sz="0" w:space="0" w:color="auto"/>
        <w:right w:val="none" w:sz="0" w:space="0" w:color="auto"/>
      </w:divBdr>
    </w:div>
    <w:div w:id="691997438">
      <w:bodyDiv w:val="1"/>
      <w:marLeft w:val="0"/>
      <w:marRight w:val="0"/>
      <w:marTop w:val="0"/>
      <w:marBottom w:val="0"/>
      <w:divBdr>
        <w:top w:val="none" w:sz="0" w:space="0" w:color="auto"/>
        <w:left w:val="none" w:sz="0" w:space="0" w:color="auto"/>
        <w:bottom w:val="none" w:sz="0" w:space="0" w:color="auto"/>
        <w:right w:val="none" w:sz="0" w:space="0" w:color="auto"/>
      </w:divBdr>
    </w:div>
    <w:div w:id="1249999853">
      <w:bodyDiv w:val="1"/>
      <w:marLeft w:val="0"/>
      <w:marRight w:val="0"/>
      <w:marTop w:val="0"/>
      <w:marBottom w:val="0"/>
      <w:divBdr>
        <w:top w:val="none" w:sz="0" w:space="0" w:color="auto"/>
        <w:left w:val="none" w:sz="0" w:space="0" w:color="auto"/>
        <w:bottom w:val="none" w:sz="0" w:space="0" w:color="auto"/>
        <w:right w:val="none" w:sz="0" w:space="0" w:color="auto"/>
      </w:divBdr>
    </w:div>
    <w:div w:id="146978558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32516411">
      <w:bodyDiv w:val="1"/>
      <w:marLeft w:val="0"/>
      <w:marRight w:val="0"/>
      <w:marTop w:val="0"/>
      <w:marBottom w:val="0"/>
      <w:divBdr>
        <w:top w:val="none" w:sz="0" w:space="0" w:color="auto"/>
        <w:left w:val="none" w:sz="0" w:space="0" w:color="auto"/>
        <w:bottom w:val="none" w:sz="0" w:space="0" w:color="auto"/>
        <w:right w:val="none" w:sz="0" w:space="0" w:color="auto"/>
      </w:divBdr>
    </w:div>
    <w:div w:id="1641227119">
      <w:bodyDiv w:val="1"/>
      <w:marLeft w:val="0"/>
      <w:marRight w:val="0"/>
      <w:marTop w:val="0"/>
      <w:marBottom w:val="0"/>
      <w:divBdr>
        <w:top w:val="none" w:sz="0" w:space="0" w:color="auto"/>
        <w:left w:val="none" w:sz="0" w:space="0" w:color="auto"/>
        <w:bottom w:val="none" w:sz="0" w:space="0" w:color="auto"/>
        <w:right w:val="none" w:sz="0" w:space="0" w:color="auto"/>
      </w:divBdr>
    </w:div>
    <w:div w:id="1985741830">
      <w:bodyDiv w:val="1"/>
      <w:marLeft w:val="0"/>
      <w:marRight w:val="0"/>
      <w:marTop w:val="0"/>
      <w:marBottom w:val="0"/>
      <w:divBdr>
        <w:top w:val="none" w:sz="0" w:space="0" w:color="auto"/>
        <w:left w:val="none" w:sz="0" w:space="0" w:color="auto"/>
        <w:bottom w:val="none" w:sz="0" w:space="0" w:color="auto"/>
        <w:right w:val="none" w:sz="0" w:space="0" w:color="auto"/>
      </w:divBdr>
    </w:div>
    <w:div w:id="21401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FUWVR8oIM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3.safelinks.protection.outlook.com/?url=https%3A%2F%2Fyoutu.be%2F6PtFCZFyzlA&amp;data=04%7C01%7Cartur.bukalaev%40undp.org%7Ce7336193488248859ebb08d971b6aa8f%7Cb3e5db5e2944483799f57488ace54319%7C0%7C0%7C637665851619103629%7CUnknown%7CTWFpbGZsb3d8eyJWIjoiMC4wLjAwMDAiLCJQIjoiV2luMzIiLCJBTiI6Ik1haWwiLCJXVCI6Mn0%3D%7C1000&amp;sdata=Cx4OARXTDYNUb07ofKIVV%2BFkcDpguOblJLTZwEC6F94%3D&amp;reserved=0" TargetMode="Externa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njust.gov.kg/ru/news/view/id/2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8C95D9-1617-744B-9073-1FDB05BA335C}">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D44471-D785-4A33-AEFE-9D6EC9AD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7086</Words>
  <Characters>40391</Characters>
  <Application>Microsoft Office Word</Application>
  <DocSecurity>0</DocSecurity>
  <Lines>336</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Olga Tkachenko</cp:lastModifiedBy>
  <cp:revision>2</cp:revision>
  <cp:lastPrinted>2014-02-10T17:12:00Z</cp:lastPrinted>
  <dcterms:created xsi:type="dcterms:W3CDTF">2021-10-08T08:23:00Z</dcterms:created>
  <dcterms:modified xsi:type="dcterms:W3CDTF">2021-10-08T08:23:00Z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grammarly_documentId">
    <vt:lpwstr>documentId_2006</vt:lpwstr>
  </property>
  <property fmtid="{D5CDD505-2E9C-101B-9397-08002B2CF9AE}" pid="7" name="grammarly_documentContext">
    <vt:lpwstr>{"goals":["inform"],"domain":"business","emotions":["analytical"],"dialect":"british","style":"formal"}</vt:lpwstr>
  </property>
</Properties>
</file>