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0C53" w14:textId="77777777" w:rsidR="00E76CA1" w:rsidRPr="00ED6B34" w:rsidRDefault="00E76CA1" w:rsidP="00826923">
      <w:pPr>
        <w:rPr>
          <w:b/>
          <w:lang w:val="fr-FR"/>
        </w:rPr>
      </w:pPr>
    </w:p>
    <w:p w14:paraId="69D78013" w14:textId="77777777" w:rsidR="000F43A8" w:rsidRPr="00ED6B34" w:rsidRDefault="00B12FB8" w:rsidP="00826923">
      <w:pPr>
        <w:numPr>
          <w:ilvl w:val="12"/>
          <w:numId w:val="0"/>
        </w:numPr>
        <w:tabs>
          <w:tab w:val="left" w:pos="0"/>
        </w:tabs>
        <w:suppressAutoHyphens/>
        <w:rPr>
          <w:b/>
          <w:bCs/>
          <w:caps/>
          <w:lang w:val="fr-FR"/>
        </w:rPr>
      </w:pPr>
      <w:r w:rsidRPr="00ED6B34">
        <w:rPr>
          <w:spacing w:val="-3"/>
          <w:lang w:val="fr-FR"/>
        </w:rPr>
        <w:tab/>
      </w:r>
      <w:r w:rsidRPr="00ED6B34">
        <w:rPr>
          <w:spacing w:val="-3"/>
          <w:lang w:val="fr-FR"/>
        </w:rPr>
        <w:tab/>
      </w:r>
      <w:r w:rsidR="00ED6399" w:rsidRPr="00ED6B34">
        <w:rPr>
          <w:spacing w:val="-3"/>
          <w:lang w:val="fr-FR"/>
        </w:rPr>
        <w:tab/>
      </w:r>
      <w:r w:rsidR="000F43A8" w:rsidRPr="00ED6B34">
        <w:rPr>
          <w:b/>
          <w:lang w:val="fr-FR"/>
        </w:rPr>
        <w:t>RAPPORT DE PROGRES DE PROJET PBF</w:t>
      </w:r>
    </w:p>
    <w:p w14:paraId="0B595463" w14:textId="7E1F0A30" w:rsidR="000F43A8" w:rsidRPr="00ED6B34" w:rsidRDefault="000F43A8" w:rsidP="000F43A8">
      <w:pPr>
        <w:jc w:val="center"/>
        <w:rPr>
          <w:b/>
          <w:bCs/>
          <w:caps/>
          <w:lang w:val="fr-FR"/>
        </w:rPr>
      </w:pPr>
      <w:proofErr w:type="gramStart"/>
      <w:r w:rsidRPr="00ED6B34">
        <w:rPr>
          <w:b/>
          <w:bCs/>
          <w:caps/>
          <w:lang w:val="fr-FR"/>
        </w:rPr>
        <w:t>PAYS:</w:t>
      </w:r>
      <w:proofErr w:type="gramEnd"/>
      <w:r w:rsidR="0C0E65EA" w:rsidRPr="00ED6B34">
        <w:rPr>
          <w:b/>
          <w:bCs/>
          <w:caps/>
          <w:lang w:val="fr-FR"/>
        </w:rPr>
        <w:t xml:space="preserve"> </w:t>
      </w:r>
      <w:r w:rsidR="00257170" w:rsidRPr="00ED6B34">
        <w:rPr>
          <w:lang w:val="fr-FR"/>
        </w:rPr>
        <w:t>MALI</w:t>
      </w:r>
    </w:p>
    <w:p w14:paraId="7D071AA0" w14:textId="758F4CB1" w:rsidR="000F43A8" w:rsidRPr="00ED6B34" w:rsidRDefault="000F43A8" w:rsidP="681F2457">
      <w:pPr>
        <w:jc w:val="center"/>
        <w:rPr>
          <w:caps/>
          <w:sz w:val="22"/>
          <w:szCs w:val="22"/>
          <w:lang w:val="fr-FR"/>
        </w:rPr>
      </w:pPr>
      <w:r w:rsidRPr="00ED6B34">
        <w:rPr>
          <w:b/>
          <w:bCs/>
          <w:caps/>
          <w:sz w:val="22"/>
          <w:szCs w:val="22"/>
          <w:lang w:val="fr-FR"/>
        </w:rPr>
        <w:t xml:space="preserve">TYPE DE </w:t>
      </w:r>
      <w:r w:rsidR="00827BE5" w:rsidRPr="00ED6B34">
        <w:rPr>
          <w:b/>
          <w:bCs/>
          <w:caps/>
          <w:sz w:val="22"/>
          <w:szCs w:val="22"/>
          <w:lang w:val="fr-FR"/>
        </w:rPr>
        <w:t>RAPPORT :</w:t>
      </w:r>
      <w:r w:rsidRPr="00ED6B34">
        <w:rPr>
          <w:b/>
          <w:bCs/>
          <w:caps/>
          <w:sz w:val="22"/>
          <w:szCs w:val="22"/>
          <w:lang w:val="fr-FR"/>
        </w:rPr>
        <w:t xml:space="preserve"> SEMESTRIEL, annuEl OU FINAL</w:t>
      </w:r>
      <w:r w:rsidR="001948EA" w:rsidRPr="00ED6B34">
        <w:rPr>
          <w:b/>
          <w:bCs/>
          <w:caps/>
          <w:sz w:val="22"/>
          <w:szCs w:val="22"/>
          <w:lang w:val="fr-FR"/>
        </w:rPr>
        <w:t> :</w:t>
      </w:r>
      <w:r w:rsidR="01421C98" w:rsidRPr="00ED6B34">
        <w:rPr>
          <w:b/>
          <w:bCs/>
          <w:caps/>
          <w:sz w:val="22"/>
          <w:szCs w:val="22"/>
          <w:lang w:val="fr-FR"/>
        </w:rPr>
        <w:t xml:space="preserve"> </w:t>
      </w:r>
      <w:r w:rsidR="000F6E9D" w:rsidRPr="00ED6B34">
        <w:rPr>
          <w:sz w:val="22"/>
          <w:szCs w:val="22"/>
          <w:lang w:val="fr-FR"/>
        </w:rPr>
        <w:t>ANNUEL</w:t>
      </w:r>
    </w:p>
    <w:p w14:paraId="149562F7" w14:textId="77777777" w:rsidR="000554F8" w:rsidRPr="00ED6B34" w:rsidRDefault="00500587" w:rsidP="000F43A8">
      <w:pPr>
        <w:jc w:val="center"/>
        <w:rPr>
          <w:bCs/>
          <w:iCs/>
          <w:snapToGrid w:val="0"/>
          <w:szCs w:val="28"/>
        </w:rPr>
      </w:pPr>
      <w:r w:rsidRPr="00ED6B34">
        <w:rPr>
          <w:b/>
          <w:bCs/>
          <w:caps/>
        </w:rPr>
        <w:t>ANNEE</w:t>
      </w:r>
      <w:r w:rsidR="000F43A8" w:rsidRPr="00ED6B34">
        <w:rPr>
          <w:b/>
          <w:bCs/>
          <w:caps/>
        </w:rPr>
        <w:t xml:space="preserve"> DE RAPPORT: </w:t>
      </w:r>
      <w:r w:rsidR="00257170" w:rsidRPr="00ED6B34">
        <w:rPr>
          <w:bCs/>
          <w:iCs/>
          <w:snapToGrid w:val="0"/>
          <w:szCs w:val="28"/>
        </w:rPr>
        <w:t>2021</w:t>
      </w:r>
    </w:p>
    <w:p w14:paraId="42025481" w14:textId="77777777" w:rsidR="000F43A8" w:rsidRPr="00ED6B34"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ED6B34" w:rsidRPr="009740FB" w14:paraId="6B7702A1" w14:textId="77777777" w:rsidTr="681F2457">
        <w:trPr>
          <w:trHeight w:val="422"/>
        </w:trPr>
        <w:tc>
          <w:tcPr>
            <w:tcW w:w="10080" w:type="dxa"/>
            <w:gridSpan w:val="2"/>
          </w:tcPr>
          <w:p w14:paraId="6E70AA3C" w14:textId="3F89737C" w:rsidR="000F43A8" w:rsidRPr="00ED6B34" w:rsidRDefault="000F43A8" w:rsidP="681F2457">
            <w:pPr>
              <w:pStyle w:val="Sprechblasentext"/>
              <w:tabs>
                <w:tab w:val="left" w:pos="4500"/>
              </w:tabs>
              <w:suppressAutoHyphens/>
              <w:rPr>
                <w:rFonts w:ascii="Times New Roman" w:hAnsi="Times New Roman" w:cs="Times New Roman"/>
                <w:b/>
                <w:bCs/>
                <w:sz w:val="24"/>
                <w:szCs w:val="24"/>
                <w:lang w:val="fr-FR"/>
              </w:rPr>
            </w:pPr>
            <w:r w:rsidRPr="00ED6B34">
              <w:rPr>
                <w:rFonts w:ascii="Times New Roman" w:hAnsi="Times New Roman" w:cs="Times New Roman"/>
                <w:b/>
                <w:bCs/>
                <w:sz w:val="24"/>
                <w:szCs w:val="24"/>
                <w:lang w:val="fr-FR"/>
              </w:rPr>
              <w:t xml:space="preserve">Titre du </w:t>
            </w:r>
            <w:r w:rsidR="00827BE5" w:rsidRPr="00ED6B34">
              <w:rPr>
                <w:rFonts w:ascii="Times New Roman" w:hAnsi="Times New Roman" w:cs="Times New Roman"/>
                <w:b/>
                <w:bCs/>
                <w:sz w:val="24"/>
                <w:szCs w:val="24"/>
                <w:lang w:val="fr-FR"/>
              </w:rPr>
              <w:t>projet :</w:t>
            </w:r>
            <w:r w:rsidR="5A71F7BE" w:rsidRPr="00ED6B34">
              <w:rPr>
                <w:rFonts w:ascii="Times New Roman" w:hAnsi="Times New Roman" w:cs="Times New Roman"/>
                <w:b/>
                <w:bCs/>
                <w:sz w:val="24"/>
                <w:szCs w:val="24"/>
                <w:lang w:val="fr-FR"/>
              </w:rPr>
              <w:t xml:space="preserve"> </w:t>
            </w:r>
            <w:r w:rsidR="00000358" w:rsidRPr="00ED6B34">
              <w:rPr>
                <w:rFonts w:ascii="Times New Roman" w:hAnsi="Times New Roman"/>
                <w:sz w:val="24"/>
                <w:szCs w:val="24"/>
                <w:lang w:val="fr-FR"/>
              </w:rPr>
              <w:t>Approche intégrée pour lutter contre l'impunité et pour un accès amélioré à la justice dans le Centre du Mali</w:t>
            </w:r>
          </w:p>
          <w:p w14:paraId="733FA3AC" w14:textId="77777777" w:rsidR="00793DE6" w:rsidRPr="00ED6B34" w:rsidRDefault="000F43A8" w:rsidP="000F43A8">
            <w:pPr>
              <w:rPr>
                <w:b/>
                <w:lang w:val="en-US"/>
              </w:rPr>
            </w:pPr>
            <w:proofErr w:type="spellStart"/>
            <w:r w:rsidRPr="00ED6B34">
              <w:rPr>
                <w:b/>
                <w:lang w:val="en-US"/>
              </w:rPr>
              <w:t>NuméroProjet</w:t>
            </w:r>
            <w:proofErr w:type="spellEnd"/>
            <w:r w:rsidRPr="00ED6B34">
              <w:rPr>
                <w:b/>
                <w:lang w:val="en-US"/>
              </w:rPr>
              <w:t xml:space="preserve"> / MPTF </w:t>
            </w:r>
            <w:proofErr w:type="spellStart"/>
            <w:proofErr w:type="gramStart"/>
            <w:r w:rsidRPr="00ED6B34">
              <w:rPr>
                <w:b/>
                <w:lang w:val="en-US"/>
              </w:rPr>
              <w:t>Gateway</w:t>
            </w:r>
            <w:r w:rsidR="00793DE6" w:rsidRPr="00ED6B34">
              <w:rPr>
                <w:b/>
                <w:lang w:val="en-US"/>
              </w:rPr>
              <w:t>:</w:t>
            </w:r>
            <w:r w:rsidR="00374744" w:rsidRPr="009740FB">
              <w:rPr>
                <w:b/>
                <w:lang w:val="en-US"/>
              </w:rPr>
              <w:t>PBF</w:t>
            </w:r>
            <w:proofErr w:type="spellEnd"/>
            <w:proofErr w:type="gramEnd"/>
            <w:r w:rsidR="00374744" w:rsidRPr="009740FB">
              <w:rPr>
                <w:b/>
                <w:lang w:val="en-US"/>
              </w:rPr>
              <w:t>/MLI/A-3</w:t>
            </w:r>
          </w:p>
        </w:tc>
      </w:tr>
      <w:tr w:rsidR="00ED6B34" w:rsidRPr="00ED6B34" w14:paraId="40A88E39" w14:textId="77777777" w:rsidTr="681F2457">
        <w:trPr>
          <w:trHeight w:val="422"/>
        </w:trPr>
        <w:tc>
          <w:tcPr>
            <w:tcW w:w="4163" w:type="dxa"/>
          </w:tcPr>
          <w:p w14:paraId="4FACD226" w14:textId="77777777" w:rsidR="000F43A8" w:rsidRPr="00ED6B34" w:rsidRDefault="000F43A8" w:rsidP="000F43A8">
            <w:pPr>
              <w:pStyle w:val="Sprechblasentext"/>
              <w:numPr>
                <w:ilvl w:val="12"/>
                <w:numId w:val="0"/>
              </w:numPr>
              <w:tabs>
                <w:tab w:val="left" w:pos="-720"/>
                <w:tab w:val="left" w:pos="4500"/>
              </w:tabs>
              <w:rPr>
                <w:rFonts w:ascii="Times New Roman" w:hAnsi="Times New Roman" w:cs="Times New Roman"/>
                <w:b/>
                <w:sz w:val="24"/>
                <w:szCs w:val="24"/>
                <w:lang w:val="fr-FR"/>
              </w:rPr>
            </w:pPr>
            <w:r w:rsidRPr="00ED6B34">
              <w:rPr>
                <w:rFonts w:ascii="Times New Roman" w:hAnsi="Times New Roman" w:cs="Times New Roman"/>
                <w:b/>
                <w:sz w:val="24"/>
                <w:szCs w:val="24"/>
                <w:lang w:val="fr-FR"/>
              </w:rPr>
              <w:t xml:space="preserve">Si le financement passe par un Fonds Fiduciaire (“Trust </w:t>
            </w:r>
            <w:proofErr w:type="spellStart"/>
            <w:r w:rsidRPr="00ED6B34">
              <w:rPr>
                <w:rFonts w:ascii="Times New Roman" w:hAnsi="Times New Roman" w:cs="Times New Roman"/>
                <w:b/>
                <w:sz w:val="24"/>
                <w:szCs w:val="24"/>
                <w:lang w:val="fr-FR"/>
              </w:rPr>
              <w:t>fund</w:t>
            </w:r>
            <w:proofErr w:type="spellEnd"/>
            <w:r w:rsidRPr="00ED6B34">
              <w:rPr>
                <w:rFonts w:ascii="Times New Roman" w:hAnsi="Times New Roman" w:cs="Times New Roman"/>
                <w:b/>
                <w:sz w:val="24"/>
                <w:szCs w:val="24"/>
                <w:lang w:val="fr-FR"/>
              </w:rPr>
              <w:t>”</w:t>
            </w:r>
            <w:proofErr w:type="gramStart"/>
            <w:r w:rsidRPr="00ED6B34">
              <w:rPr>
                <w:rFonts w:ascii="Times New Roman" w:hAnsi="Times New Roman" w:cs="Times New Roman"/>
                <w:b/>
                <w:sz w:val="24"/>
                <w:szCs w:val="24"/>
                <w:lang w:val="fr-FR"/>
              </w:rPr>
              <w:t>):</w:t>
            </w:r>
            <w:proofErr w:type="gramEnd"/>
          </w:p>
          <w:p w14:paraId="3406D8CB" w14:textId="77777777" w:rsidR="000F43A8" w:rsidRPr="00ED6B34" w:rsidRDefault="00FE0F8C" w:rsidP="000F43A8">
            <w:pPr>
              <w:tabs>
                <w:tab w:val="left" w:pos="0"/>
              </w:tabs>
              <w:suppressAutoHyphens/>
              <w:rPr>
                <w:b/>
                <w:spacing w:val="-3"/>
                <w:lang w:val="fr-FR"/>
              </w:rPr>
            </w:pPr>
            <w:r w:rsidRPr="00ED6B34">
              <w:fldChar w:fldCharType="begin">
                <w:ffData>
                  <w:name w:val="Check1"/>
                  <w:enabled/>
                  <w:calcOnExit w:val="0"/>
                  <w:checkBox>
                    <w:sizeAuto/>
                    <w:default w:val="0"/>
                  </w:checkBox>
                </w:ffData>
              </w:fldChar>
            </w:r>
            <w:bookmarkStart w:id="0" w:name="Check1"/>
            <w:r w:rsidR="00374744" w:rsidRPr="00ED6B34">
              <w:rPr>
                <w:lang w:val="fr-FR"/>
              </w:rPr>
              <w:instrText xml:space="preserve"> FORMCHECKBOX </w:instrText>
            </w:r>
            <w:r w:rsidR="00FC4498">
              <w:fldChar w:fldCharType="separate"/>
            </w:r>
            <w:r w:rsidRPr="00ED6B34">
              <w:fldChar w:fldCharType="end"/>
            </w:r>
            <w:bookmarkEnd w:id="0"/>
            <w:r w:rsidR="000F43A8" w:rsidRPr="00ED6B34">
              <w:rPr>
                <w:lang w:val="fr-FR"/>
              </w:rPr>
              <w:tab/>
            </w:r>
            <w:r w:rsidR="000F43A8" w:rsidRPr="00ED6B34">
              <w:rPr>
                <w:lang w:val="fr-FR"/>
              </w:rPr>
              <w:tab/>
            </w:r>
            <w:r w:rsidR="000F43A8" w:rsidRPr="00ED6B34">
              <w:rPr>
                <w:spacing w:val="-3"/>
                <w:lang w:val="fr-FR"/>
              </w:rPr>
              <w:t>Fonds fiduciaire pays</w:t>
            </w:r>
          </w:p>
          <w:p w14:paraId="05B7A72F" w14:textId="77777777" w:rsidR="000F43A8" w:rsidRPr="00ED6B34" w:rsidRDefault="00FE0F8C" w:rsidP="000F43A8">
            <w:pPr>
              <w:tabs>
                <w:tab w:val="left" w:pos="0"/>
              </w:tabs>
              <w:suppressAutoHyphens/>
              <w:rPr>
                <w:b/>
                <w:lang w:val="fr-FR"/>
              </w:rPr>
            </w:pPr>
            <w:r w:rsidRPr="00ED6B34">
              <w:fldChar w:fldCharType="begin">
                <w:ffData>
                  <w:name w:val=""/>
                  <w:enabled/>
                  <w:calcOnExit w:val="0"/>
                  <w:checkBox>
                    <w:sizeAuto/>
                    <w:default w:val="0"/>
                  </w:checkBox>
                </w:ffData>
              </w:fldChar>
            </w:r>
            <w:r w:rsidR="00374744" w:rsidRPr="00ED6B34">
              <w:rPr>
                <w:lang w:val="fr-FR"/>
              </w:rPr>
              <w:instrText xml:space="preserve"> FORMCHECKBOX </w:instrText>
            </w:r>
            <w:r w:rsidR="00FC4498">
              <w:fldChar w:fldCharType="separate"/>
            </w:r>
            <w:r w:rsidRPr="00ED6B34">
              <w:fldChar w:fldCharType="end"/>
            </w:r>
            <w:r w:rsidR="000F43A8" w:rsidRPr="00ED6B34">
              <w:rPr>
                <w:lang w:val="fr-FR"/>
              </w:rPr>
              <w:tab/>
            </w:r>
            <w:r w:rsidR="000F43A8" w:rsidRPr="00ED6B34">
              <w:rPr>
                <w:lang w:val="fr-FR"/>
              </w:rPr>
              <w:tab/>
              <w:t>Fonds fiduciaire régional</w:t>
            </w:r>
          </w:p>
          <w:p w14:paraId="71957BD4" w14:textId="77777777" w:rsidR="000F43A8" w:rsidRPr="00ED6B34" w:rsidRDefault="000F43A8" w:rsidP="000F43A8">
            <w:pPr>
              <w:tabs>
                <w:tab w:val="left" w:pos="0"/>
              </w:tabs>
              <w:suppressAutoHyphens/>
              <w:rPr>
                <w:b/>
                <w:lang w:val="fr-FR"/>
              </w:rPr>
            </w:pPr>
          </w:p>
          <w:p w14:paraId="0EBC7858" w14:textId="77777777" w:rsidR="000F43A8" w:rsidRPr="00ED6B34" w:rsidRDefault="000F43A8" w:rsidP="000F43A8">
            <w:pPr>
              <w:pStyle w:val="Sprechblasentext"/>
              <w:numPr>
                <w:ilvl w:val="12"/>
                <w:numId w:val="0"/>
              </w:numPr>
              <w:tabs>
                <w:tab w:val="left" w:pos="-720"/>
                <w:tab w:val="left" w:pos="4500"/>
              </w:tabs>
              <w:rPr>
                <w:rFonts w:ascii="Times New Roman" w:hAnsi="Times New Roman" w:cs="Times New Roman"/>
                <w:b/>
                <w:sz w:val="24"/>
                <w:szCs w:val="24"/>
                <w:lang w:val="fr-FR"/>
              </w:rPr>
            </w:pPr>
            <w:r w:rsidRPr="00ED6B34">
              <w:rPr>
                <w:rFonts w:ascii="Times New Roman" w:hAnsi="Times New Roman" w:cs="Times New Roman"/>
                <w:b/>
                <w:sz w:val="24"/>
                <w:szCs w:val="24"/>
                <w:lang w:val="fr-FR"/>
              </w:rPr>
              <w:t xml:space="preserve">Nom du fonds </w:t>
            </w:r>
            <w:proofErr w:type="gramStart"/>
            <w:r w:rsidRPr="00ED6B34">
              <w:rPr>
                <w:rFonts w:ascii="Times New Roman" w:hAnsi="Times New Roman" w:cs="Times New Roman"/>
                <w:b/>
                <w:sz w:val="24"/>
                <w:szCs w:val="24"/>
                <w:lang w:val="fr-FR"/>
              </w:rPr>
              <w:t>fiduciaire:</w:t>
            </w:r>
            <w:proofErr w:type="gramEnd"/>
            <w:r w:rsidRPr="00ED6B34">
              <w:rPr>
                <w:rFonts w:ascii="Times New Roman" w:hAnsi="Times New Roman" w:cs="Times New Roman"/>
                <w:b/>
                <w:sz w:val="24"/>
                <w:szCs w:val="24"/>
                <w:lang w:val="fr-FR"/>
              </w:rPr>
              <w:t xml:space="preserve"> </w:t>
            </w:r>
            <w:r w:rsidR="00FE0F8C" w:rsidRPr="00ED6B34">
              <w:rPr>
                <w:bCs/>
                <w:iCs/>
                <w:snapToGrid w:val="0"/>
                <w:szCs w:val="28"/>
              </w:rPr>
              <w:fldChar w:fldCharType="begin">
                <w:ffData>
                  <w:name w:val=""/>
                  <w:enabled/>
                  <w:calcOnExit w:val="0"/>
                  <w:textInput>
                    <w:format w:val="FIRST CAPITAL"/>
                  </w:textInput>
                </w:ffData>
              </w:fldChar>
            </w:r>
            <w:r w:rsidR="005D5A4A" w:rsidRPr="00ED6B34">
              <w:rPr>
                <w:bCs/>
                <w:iCs/>
                <w:snapToGrid w:val="0"/>
                <w:szCs w:val="28"/>
              </w:rPr>
              <w:instrText xml:space="preserve"> FORMTEXT </w:instrText>
            </w:r>
            <w:r w:rsidR="00FE0F8C" w:rsidRPr="00ED6B34">
              <w:rPr>
                <w:bCs/>
                <w:iCs/>
                <w:snapToGrid w:val="0"/>
                <w:szCs w:val="28"/>
              </w:rPr>
            </w:r>
            <w:r w:rsidR="00FE0F8C" w:rsidRPr="00ED6B34">
              <w:rPr>
                <w:bCs/>
                <w:iCs/>
                <w:snapToGrid w:val="0"/>
                <w:szCs w:val="28"/>
              </w:rPr>
              <w:fldChar w:fldCharType="separate"/>
            </w:r>
            <w:r w:rsidR="005D5A4A" w:rsidRPr="00ED6B34">
              <w:rPr>
                <w:bCs/>
                <w:iCs/>
                <w:noProof/>
                <w:snapToGrid w:val="0"/>
                <w:szCs w:val="28"/>
              </w:rPr>
              <w:t> </w:t>
            </w:r>
            <w:r w:rsidR="005D5A4A" w:rsidRPr="00ED6B34">
              <w:rPr>
                <w:bCs/>
                <w:iCs/>
                <w:noProof/>
                <w:snapToGrid w:val="0"/>
                <w:szCs w:val="28"/>
              </w:rPr>
              <w:t> </w:t>
            </w:r>
            <w:r w:rsidR="005D5A4A" w:rsidRPr="00ED6B34">
              <w:rPr>
                <w:bCs/>
                <w:iCs/>
                <w:noProof/>
                <w:snapToGrid w:val="0"/>
                <w:szCs w:val="28"/>
              </w:rPr>
              <w:t> </w:t>
            </w:r>
            <w:r w:rsidR="005D5A4A" w:rsidRPr="00ED6B34">
              <w:rPr>
                <w:bCs/>
                <w:iCs/>
                <w:noProof/>
                <w:snapToGrid w:val="0"/>
                <w:szCs w:val="28"/>
              </w:rPr>
              <w:t> </w:t>
            </w:r>
            <w:r w:rsidR="005D5A4A" w:rsidRPr="00ED6B34">
              <w:rPr>
                <w:bCs/>
                <w:iCs/>
                <w:noProof/>
                <w:snapToGrid w:val="0"/>
                <w:szCs w:val="28"/>
              </w:rPr>
              <w:t> </w:t>
            </w:r>
            <w:r w:rsidR="00FE0F8C" w:rsidRPr="00ED6B34">
              <w:rPr>
                <w:bCs/>
                <w:iCs/>
                <w:snapToGrid w:val="0"/>
                <w:szCs w:val="28"/>
              </w:rPr>
              <w:fldChar w:fldCharType="end"/>
            </w:r>
          </w:p>
          <w:p w14:paraId="6F61730D" w14:textId="77777777" w:rsidR="00A43B9C" w:rsidRPr="00ED6B34" w:rsidRDefault="00A43B9C" w:rsidP="00F23D0F">
            <w:pPr>
              <w:tabs>
                <w:tab w:val="left" w:pos="0"/>
              </w:tabs>
              <w:suppressAutoHyphens/>
              <w:jc w:val="both"/>
              <w:rPr>
                <w:b/>
              </w:rPr>
            </w:pPr>
          </w:p>
        </w:tc>
        <w:tc>
          <w:tcPr>
            <w:tcW w:w="5917" w:type="dxa"/>
          </w:tcPr>
          <w:p w14:paraId="0887A493" w14:textId="77777777" w:rsidR="00A43B9C" w:rsidRPr="00ED6B34" w:rsidRDefault="00A43B9C" w:rsidP="00A43B9C">
            <w:pPr>
              <w:rPr>
                <w:b/>
                <w:bCs/>
                <w:iCs/>
                <w:lang w:val="fr-FR"/>
              </w:rPr>
            </w:pPr>
            <w:r w:rsidRPr="00ED6B34">
              <w:rPr>
                <w:b/>
                <w:bCs/>
                <w:iCs/>
                <w:lang w:val="fr-FR"/>
              </w:rPr>
              <w:t xml:space="preserve">Type </w:t>
            </w:r>
            <w:r w:rsidR="000F43A8" w:rsidRPr="00ED6B34">
              <w:rPr>
                <w:b/>
                <w:bCs/>
                <w:iCs/>
                <w:lang w:val="fr-FR"/>
              </w:rPr>
              <w:t xml:space="preserve">et nom d’agence </w:t>
            </w:r>
            <w:proofErr w:type="gramStart"/>
            <w:r w:rsidR="000F43A8" w:rsidRPr="00ED6B34">
              <w:rPr>
                <w:b/>
                <w:bCs/>
                <w:iCs/>
                <w:lang w:val="fr-FR"/>
              </w:rPr>
              <w:t>récipiendaire</w:t>
            </w:r>
            <w:r w:rsidRPr="00ED6B34">
              <w:rPr>
                <w:b/>
                <w:bCs/>
                <w:iCs/>
                <w:lang w:val="fr-FR"/>
              </w:rPr>
              <w:t>:</w:t>
            </w:r>
            <w:proofErr w:type="gramEnd"/>
            <w:r w:rsidRPr="00ED6B34">
              <w:rPr>
                <w:b/>
                <w:bCs/>
                <w:iCs/>
                <w:lang w:val="fr-FR"/>
              </w:rPr>
              <w:t xml:space="preserve"> </w:t>
            </w:r>
          </w:p>
          <w:p w14:paraId="511E5DDC" w14:textId="77777777" w:rsidR="00A43B9C" w:rsidRPr="00ED6B34" w:rsidRDefault="00FE0F8C" w:rsidP="00A43B9C">
            <w:pPr>
              <w:pStyle w:val="Sprechblasentext"/>
              <w:numPr>
                <w:ilvl w:val="12"/>
                <w:numId w:val="0"/>
              </w:numPr>
              <w:tabs>
                <w:tab w:val="left" w:pos="-720"/>
                <w:tab w:val="left" w:pos="4500"/>
              </w:tabs>
              <w:rPr>
                <w:rFonts w:ascii="Times New Roman" w:hAnsi="Times New Roman" w:cs="Times New Roman"/>
                <w:b/>
                <w:sz w:val="24"/>
                <w:szCs w:val="24"/>
                <w:lang w:val="fr-FR"/>
              </w:rPr>
            </w:pPr>
            <w:r w:rsidRPr="00ED6B34">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00374744" w:rsidRPr="00ED6B34">
              <w:rPr>
                <w:rFonts w:ascii="Times New Roman" w:hAnsi="Times New Roman" w:cs="Times New Roman"/>
                <w:b/>
                <w:sz w:val="24"/>
                <w:szCs w:val="24"/>
                <w:lang w:val="fr-FR"/>
              </w:rPr>
              <w:instrText xml:space="preserve"> FORMDROPDOWN </w:instrText>
            </w:r>
            <w:r w:rsidR="00FC4498">
              <w:rPr>
                <w:rFonts w:ascii="Times New Roman" w:hAnsi="Times New Roman" w:cs="Times New Roman"/>
                <w:b/>
                <w:sz w:val="24"/>
                <w:szCs w:val="24"/>
              </w:rPr>
            </w:r>
            <w:r w:rsidR="00FC4498">
              <w:rPr>
                <w:rFonts w:ascii="Times New Roman" w:hAnsi="Times New Roman" w:cs="Times New Roman"/>
                <w:b/>
                <w:sz w:val="24"/>
                <w:szCs w:val="24"/>
              </w:rPr>
              <w:fldChar w:fldCharType="separate"/>
            </w:r>
            <w:r w:rsidRPr="00ED6B34">
              <w:rPr>
                <w:rFonts w:ascii="Times New Roman" w:hAnsi="Times New Roman" w:cs="Times New Roman"/>
                <w:b/>
                <w:sz w:val="24"/>
                <w:szCs w:val="24"/>
              </w:rPr>
              <w:fldChar w:fldCharType="end"/>
            </w:r>
            <w:r w:rsidR="00827BE5" w:rsidRPr="00ED6B34">
              <w:rPr>
                <w:rFonts w:ascii="Times New Roman" w:hAnsi="Times New Roman" w:cs="Times New Roman"/>
                <w:b/>
                <w:sz w:val="24"/>
                <w:szCs w:val="24"/>
                <w:lang w:val="fr-FR"/>
              </w:rPr>
              <w:t>OHCHR</w:t>
            </w:r>
            <w:r w:rsidR="00A43B9C" w:rsidRPr="00ED6B34">
              <w:rPr>
                <w:rFonts w:ascii="Times New Roman" w:hAnsi="Times New Roman" w:cs="Times New Roman"/>
                <w:b/>
                <w:sz w:val="24"/>
                <w:szCs w:val="24"/>
                <w:lang w:val="fr-FR"/>
              </w:rPr>
              <w:t xml:space="preserve"> (</w:t>
            </w:r>
            <w:r w:rsidR="000F43A8" w:rsidRPr="00ED6B34">
              <w:rPr>
                <w:rFonts w:ascii="Times New Roman" w:hAnsi="Times New Roman" w:cs="Times New Roman"/>
                <w:b/>
                <w:sz w:val="24"/>
                <w:szCs w:val="24"/>
                <w:lang w:val="fr-FR"/>
              </w:rPr>
              <w:t>Agence coordinatrice</w:t>
            </w:r>
            <w:r w:rsidR="00A43B9C" w:rsidRPr="00ED6B34">
              <w:rPr>
                <w:rFonts w:ascii="Times New Roman" w:hAnsi="Times New Roman" w:cs="Times New Roman"/>
                <w:b/>
                <w:sz w:val="24"/>
                <w:szCs w:val="24"/>
                <w:lang w:val="fr-FR"/>
              </w:rPr>
              <w:t>)</w:t>
            </w:r>
          </w:p>
          <w:p w14:paraId="15038F3A" w14:textId="77777777" w:rsidR="00A43B9C" w:rsidRPr="00ED6B34" w:rsidRDefault="00FE0F8C" w:rsidP="00A43B9C">
            <w:pPr>
              <w:pStyle w:val="Sprechblasentext"/>
              <w:numPr>
                <w:ilvl w:val="12"/>
                <w:numId w:val="0"/>
              </w:numPr>
              <w:tabs>
                <w:tab w:val="left" w:pos="-720"/>
                <w:tab w:val="left" w:pos="4500"/>
              </w:tabs>
              <w:rPr>
                <w:rFonts w:ascii="Times New Roman" w:hAnsi="Times New Roman" w:cs="Times New Roman"/>
                <w:b/>
                <w:sz w:val="24"/>
                <w:szCs w:val="24"/>
                <w:lang w:val="fr-FR"/>
              </w:rPr>
            </w:pPr>
            <w:r w:rsidRPr="00ED6B34">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00374744" w:rsidRPr="00ED6B34">
              <w:rPr>
                <w:rFonts w:ascii="Times New Roman" w:hAnsi="Times New Roman" w:cs="Times New Roman"/>
                <w:b/>
                <w:sz w:val="24"/>
                <w:szCs w:val="24"/>
                <w:lang w:val="fr-FR"/>
              </w:rPr>
              <w:instrText xml:space="preserve"> FORMDROPDOWN </w:instrText>
            </w:r>
            <w:r w:rsidR="00FC4498">
              <w:rPr>
                <w:rFonts w:ascii="Times New Roman" w:hAnsi="Times New Roman" w:cs="Times New Roman"/>
                <w:b/>
                <w:sz w:val="24"/>
                <w:szCs w:val="24"/>
              </w:rPr>
            </w:r>
            <w:r w:rsidR="00FC4498">
              <w:rPr>
                <w:rFonts w:ascii="Times New Roman" w:hAnsi="Times New Roman" w:cs="Times New Roman"/>
                <w:b/>
                <w:sz w:val="24"/>
                <w:szCs w:val="24"/>
              </w:rPr>
              <w:fldChar w:fldCharType="separate"/>
            </w:r>
            <w:r w:rsidRPr="00ED6B34">
              <w:rPr>
                <w:rFonts w:ascii="Times New Roman" w:hAnsi="Times New Roman" w:cs="Times New Roman"/>
                <w:b/>
                <w:sz w:val="24"/>
                <w:szCs w:val="24"/>
              </w:rPr>
              <w:fldChar w:fldCharType="end"/>
            </w:r>
            <w:r w:rsidR="00827BE5" w:rsidRPr="00ED6B34">
              <w:rPr>
                <w:rFonts w:ascii="Times New Roman" w:hAnsi="Times New Roman" w:cs="Times New Roman"/>
                <w:b/>
                <w:sz w:val="24"/>
                <w:szCs w:val="24"/>
                <w:lang w:val="fr-FR"/>
              </w:rPr>
              <w:t>ONU-FEMMES</w:t>
            </w:r>
          </w:p>
          <w:p w14:paraId="449A506E" w14:textId="77777777" w:rsidR="00A43B9C" w:rsidRPr="00ED6B34" w:rsidRDefault="00FE0F8C" w:rsidP="00A43B9C">
            <w:pPr>
              <w:pStyle w:val="Sprechblasentext"/>
              <w:numPr>
                <w:ilvl w:val="12"/>
                <w:numId w:val="0"/>
              </w:numPr>
              <w:tabs>
                <w:tab w:val="left" w:pos="-720"/>
                <w:tab w:val="left" w:pos="4500"/>
              </w:tabs>
              <w:rPr>
                <w:rFonts w:ascii="Times New Roman" w:hAnsi="Times New Roman" w:cs="Times New Roman"/>
                <w:b/>
                <w:sz w:val="24"/>
                <w:szCs w:val="24"/>
                <w:lang w:val="fr-FR"/>
              </w:rPr>
            </w:pPr>
            <w:r w:rsidRPr="00ED6B34">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00374744" w:rsidRPr="00ED6B34">
              <w:rPr>
                <w:rFonts w:ascii="Times New Roman" w:hAnsi="Times New Roman" w:cs="Times New Roman"/>
                <w:b/>
                <w:sz w:val="24"/>
                <w:szCs w:val="24"/>
                <w:lang w:val="fr-FR"/>
              </w:rPr>
              <w:instrText xml:space="preserve"> FORMDROPDOWN </w:instrText>
            </w:r>
            <w:r w:rsidR="00FC4498">
              <w:rPr>
                <w:rFonts w:ascii="Times New Roman" w:hAnsi="Times New Roman" w:cs="Times New Roman"/>
                <w:b/>
                <w:sz w:val="24"/>
                <w:szCs w:val="24"/>
              </w:rPr>
            </w:r>
            <w:r w:rsidR="00FC4498">
              <w:rPr>
                <w:rFonts w:ascii="Times New Roman" w:hAnsi="Times New Roman" w:cs="Times New Roman"/>
                <w:b/>
                <w:sz w:val="24"/>
                <w:szCs w:val="24"/>
              </w:rPr>
              <w:fldChar w:fldCharType="separate"/>
            </w:r>
            <w:r w:rsidRPr="00ED6B34">
              <w:rPr>
                <w:rFonts w:ascii="Times New Roman" w:hAnsi="Times New Roman" w:cs="Times New Roman"/>
                <w:b/>
                <w:sz w:val="24"/>
                <w:szCs w:val="24"/>
              </w:rPr>
              <w:fldChar w:fldCharType="end"/>
            </w:r>
            <w:r w:rsidR="00827BE5" w:rsidRPr="00ED6B34">
              <w:rPr>
                <w:rFonts w:ascii="Times New Roman" w:hAnsi="Times New Roman" w:cs="Times New Roman"/>
                <w:b/>
                <w:sz w:val="24"/>
                <w:szCs w:val="24"/>
                <w:lang w:val="fr-FR"/>
              </w:rPr>
              <w:t>PNUD</w:t>
            </w:r>
          </w:p>
          <w:p w14:paraId="6F0C53D1" w14:textId="77777777" w:rsidR="00A43B9C" w:rsidRPr="00ED6B34" w:rsidRDefault="00FE0F8C" w:rsidP="00A43B9C">
            <w:pPr>
              <w:pStyle w:val="Sprechblasentext"/>
              <w:numPr>
                <w:ilvl w:val="12"/>
                <w:numId w:val="0"/>
              </w:numPr>
              <w:tabs>
                <w:tab w:val="left" w:pos="-720"/>
                <w:tab w:val="left" w:pos="4500"/>
              </w:tabs>
              <w:rPr>
                <w:rFonts w:ascii="Times New Roman" w:hAnsi="Times New Roman" w:cs="Times New Roman"/>
                <w:b/>
                <w:sz w:val="24"/>
                <w:szCs w:val="24"/>
              </w:rPr>
            </w:pPr>
            <w:r w:rsidRPr="00ED6B34">
              <w:rPr>
                <w:rFonts w:ascii="Times New Roman" w:hAnsi="Times New Roman" w:cs="Times New Roman"/>
                <w:b/>
                <w:sz w:val="24"/>
                <w:szCs w:val="24"/>
              </w:rPr>
              <w:fldChar w:fldCharType="begin">
                <w:ffData>
                  <w:name w:val=""/>
                  <w:enabled/>
                  <w:calcOnExit w:val="0"/>
                  <w:ddList>
                    <w:listEntry w:val="NUNO"/>
                    <w:listEntry w:val="Veuillez sélectionner"/>
                    <w:listEntry w:val="RUNO"/>
                  </w:ddList>
                </w:ffData>
              </w:fldChar>
            </w:r>
            <w:r w:rsidR="00374744" w:rsidRPr="00ED6B34">
              <w:rPr>
                <w:rFonts w:ascii="Times New Roman" w:hAnsi="Times New Roman" w:cs="Times New Roman"/>
                <w:b/>
                <w:sz w:val="24"/>
                <w:szCs w:val="24"/>
              </w:rPr>
              <w:instrText xml:space="preserve"> FORMDROPDOWN </w:instrText>
            </w:r>
            <w:r w:rsidR="00FC4498">
              <w:rPr>
                <w:rFonts w:ascii="Times New Roman" w:hAnsi="Times New Roman" w:cs="Times New Roman"/>
                <w:b/>
                <w:sz w:val="24"/>
                <w:szCs w:val="24"/>
              </w:rPr>
            </w:r>
            <w:r w:rsidR="00FC4498">
              <w:rPr>
                <w:rFonts w:ascii="Times New Roman" w:hAnsi="Times New Roman" w:cs="Times New Roman"/>
                <w:b/>
                <w:sz w:val="24"/>
                <w:szCs w:val="24"/>
              </w:rPr>
              <w:fldChar w:fldCharType="separate"/>
            </w:r>
            <w:r w:rsidRPr="00ED6B34">
              <w:rPr>
                <w:rFonts w:ascii="Times New Roman" w:hAnsi="Times New Roman" w:cs="Times New Roman"/>
                <w:b/>
                <w:sz w:val="24"/>
                <w:szCs w:val="24"/>
              </w:rPr>
              <w:fldChar w:fldCharType="end"/>
            </w:r>
            <w:r w:rsidR="00827BE5" w:rsidRPr="00ED6B34">
              <w:rPr>
                <w:rFonts w:ascii="Times New Roman" w:hAnsi="Times New Roman" w:cs="Times New Roman"/>
                <w:b/>
                <w:sz w:val="24"/>
                <w:szCs w:val="24"/>
              </w:rPr>
              <w:t>INTERPEACE</w:t>
            </w:r>
          </w:p>
          <w:p w14:paraId="46F85A2F" w14:textId="77777777" w:rsidR="00A43B9C" w:rsidRPr="00ED6B34" w:rsidRDefault="00A43B9C" w:rsidP="00A43B9C">
            <w:pPr>
              <w:pStyle w:val="Sprechblasentext"/>
              <w:numPr>
                <w:ilvl w:val="12"/>
                <w:numId w:val="0"/>
              </w:numPr>
              <w:tabs>
                <w:tab w:val="left" w:pos="-720"/>
                <w:tab w:val="left" w:pos="4500"/>
              </w:tabs>
              <w:rPr>
                <w:rFonts w:ascii="Times New Roman" w:hAnsi="Times New Roman" w:cs="Times New Roman"/>
                <w:b/>
                <w:sz w:val="24"/>
                <w:szCs w:val="24"/>
              </w:rPr>
            </w:pPr>
          </w:p>
        </w:tc>
      </w:tr>
      <w:tr w:rsidR="00ED6B34" w:rsidRPr="009641C3" w14:paraId="36F9327E" w14:textId="77777777" w:rsidTr="681F2457">
        <w:trPr>
          <w:trHeight w:val="368"/>
        </w:trPr>
        <w:tc>
          <w:tcPr>
            <w:tcW w:w="10080" w:type="dxa"/>
            <w:gridSpan w:val="2"/>
          </w:tcPr>
          <w:p w14:paraId="1D64EFAF" w14:textId="77777777" w:rsidR="00793DE6" w:rsidRPr="00ED6B34" w:rsidRDefault="000F43A8" w:rsidP="00F23D0F">
            <w:pPr>
              <w:rPr>
                <w:b/>
                <w:bCs/>
                <w:iCs/>
                <w:lang w:val="fr-FR"/>
              </w:rPr>
            </w:pPr>
            <w:r w:rsidRPr="00ED6B34">
              <w:rPr>
                <w:b/>
                <w:bCs/>
                <w:iCs/>
                <w:lang w:val="fr-FR"/>
              </w:rPr>
              <w:t xml:space="preserve">Date du premier transfert de </w:t>
            </w:r>
            <w:proofErr w:type="gramStart"/>
            <w:r w:rsidRPr="00ED6B34">
              <w:rPr>
                <w:b/>
                <w:bCs/>
                <w:iCs/>
                <w:lang w:val="fr-FR"/>
              </w:rPr>
              <w:t>fonds</w:t>
            </w:r>
            <w:r w:rsidR="00793DE6" w:rsidRPr="00ED6B34">
              <w:rPr>
                <w:b/>
                <w:bCs/>
                <w:iCs/>
                <w:lang w:val="fr-FR"/>
              </w:rPr>
              <w:t>:</w:t>
            </w:r>
            <w:proofErr w:type="gramEnd"/>
            <w:r w:rsidR="00793DE6" w:rsidRPr="00ED6B34">
              <w:rPr>
                <w:b/>
                <w:bCs/>
                <w:iCs/>
                <w:lang w:val="fr-FR"/>
              </w:rPr>
              <w:t xml:space="preserve"> </w:t>
            </w:r>
            <w:r w:rsidR="00374744" w:rsidRPr="00ED6B34">
              <w:rPr>
                <w:bCs/>
                <w:iCs/>
                <w:snapToGrid w:val="0"/>
              </w:rPr>
              <w:t xml:space="preserve">9 </w:t>
            </w:r>
            <w:proofErr w:type="spellStart"/>
            <w:r w:rsidR="00374744" w:rsidRPr="00ED6B34">
              <w:rPr>
                <w:bCs/>
                <w:iCs/>
                <w:snapToGrid w:val="0"/>
              </w:rPr>
              <w:t>mars</w:t>
            </w:r>
            <w:proofErr w:type="spellEnd"/>
            <w:r w:rsidR="00374744" w:rsidRPr="00ED6B34">
              <w:rPr>
                <w:bCs/>
                <w:iCs/>
                <w:snapToGrid w:val="0"/>
              </w:rPr>
              <w:t xml:space="preserve"> 2020</w:t>
            </w:r>
          </w:p>
          <w:p w14:paraId="444BD149" w14:textId="77777777" w:rsidR="004D141E" w:rsidRPr="00ED6B34" w:rsidRDefault="000F43A8" w:rsidP="00F23D0F">
            <w:pPr>
              <w:rPr>
                <w:bCs/>
                <w:iCs/>
                <w:snapToGrid w:val="0"/>
                <w:lang w:val="fr-FR"/>
              </w:rPr>
            </w:pPr>
            <w:r w:rsidRPr="00ED6B34">
              <w:rPr>
                <w:b/>
                <w:bCs/>
                <w:iCs/>
                <w:lang w:val="fr-FR"/>
              </w:rPr>
              <w:t xml:space="preserve">Date de fin de </w:t>
            </w:r>
            <w:proofErr w:type="gramStart"/>
            <w:r w:rsidRPr="00ED6B34">
              <w:rPr>
                <w:b/>
                <w:bCs/>
                <w:iCs/>
                <w:lang w:val="fr-FR"/>
              </w:rPr>
              <w:t>projet</w:t>
            </w:r>
            <w:r w:rsidR="00793DE6" w:rsidRPr="00ED6B34">
              <w:rPr>
                <w:b/>
                <w:bCs/>
                <w:iCs/>
                <w:lang w:val="fr-FR"/>
              </w:rPr>
              <w:t>:</w:t>
            </w:r>
            <w:proofErr w:type="gramEnd"/>
            <w:r w:rsidR="00793DE6" w:rsidRPr="00ED6B34">
              <w:rPr>
                <w:b/>
                <w:bCs/>
                <w:iCs/>
                <w:lang w:val="fr-FR"/>
              </w:rPr>
              <w:t xml:space="preserve"> </w:t>
            </w:r>
            <w:r w:rsidR="00FE0F8C" w:rsidRPr="00ED6B34">
              <w:rPr>
                <w:bCs/>
                <w:iCs/>
                <w:snapToGrid w:val="0"/>
              </w:rPr>
              <w:fldChar w:fldCharType="begin">
                <w:ffData>
                  <w:name w:val=""/>
                  <w:enabled/>
                  <w:calcOnExit w:val="0"/>
                  <w:textInput>
                    <w:default w:val="3 aout 2022"/>
                    <w:format w:val="FIRST CAPITAL"/>
                  </w:textInput>
                </w:ffData>
              </w:fldChar>
            </w:r>
            <w:r w:rsidR="00374744" w:rsidRPr="00ED6B34">
              <w:rPr>
                <w:bCs/>
                <w:iCs/>
                <w:snapToGrid w:val="0"/>
                <w:lang w:val="fr-FR"/>
              </w:rPr>
              <w:instrText xml:space="preserve"> FORMTEXT </w:instrText>
            </w:r>
            <w:r w:rsidR="00FE0F8C" w:rsidRPr="00ED6B34">
              <w:rPr>
                <w:bCs/>
                <w:iCs/>
                <w:snapToGrid w:val="0"/>
              </w:rPr>
            </w:r>
            <w:r w:rsidR="00FE0F8C" w:rsidRPr="00ED6B34">
              <w:rPr>
                <w:bCs/>
                <w:iCs/>
                <w:snapToGrid w:val="0"/>
              </w:rPr>
              <w:fldChar w:fldCharType="separate"/>
            </w:r>
            <w:r w:rsidR="006136B0" w:rsidRPr="00ED6B34">
              <w:rPr>
                <w:bCs/>
                <w:iCs/>
                <w:noProof/>
                <w:snapToGrid w:val="0"/>
                <w:lang w:val="fr-FR"/>
              </w:rPr>
              <w:t>8</w:t>
            </w:r>
            <w:r w:rsidR="00374744" w:rsidRPr="00ED6B34">
              <w:rPr>
                <w:bCs/>
                <w:iCs/>
                <w:noProof/>
                <w:snapToGrid w:val="0"/>
                <w:lang w:val="fr-FR"/>
              </w:rPr>
              <w:t xml:space="preserve"> aout 2022</w:t>
            </w:r>
            <w:r w:rsidR="00FE0F8C" w:rsidRPr="00ED6B34">
              <w:rPr>
                <w:bCs/>
                <w:iCs/>
                <w:snapToGrid w:val="0"/>
              </w:rPr>
              <w:fldChar w:fldCharType="end"/>
            </w:r>
          </w:p>
          <w:p w14:paraId="2BA8A6A7" w14:textId="3E95D856" w:rsidR="00793DE6" w:rsidRPr="00ED6B34" w:rsidRDefault="000F43A8" w:rsidP="000F43A8">
            <w:pPr>
              <w:rPr>
                <w:bCs/>
                <w:iCs/>
                <w:snapToGrid w:val="0"/>
                <w:lang w:val="fr-FR"/>
              </w:rPr>
            </w:pPr>
            <w:r w:rsidRPr="00ED6B34">
              <w:rPr>
                <w:b/>
                <w:iCs/>
                <w:snapToGrid w:val="0"/>
                <w:lang w:val="fr-FR"/>
              </w:rPr>
              <w:t xml:space="preserve">Le projet est-il dans ces six derniers mois de mise en </w:t>
            </w:r>
            <w:proofErr w:type="gramStart"/>
            <w:r w:rsidRPr="00ED6B34">
              <w:rPr>
                <w:b/>
                <w:iCs/>
                <w:snapToGrid w:val="0"/>
                <w:lang w:val="fr-FR"/>
              </w:rPr>
              <w:t>œuvre</w:t>
            </w:r>
            <w:r w:rsidR="0025220B" w:rsidRPr="00ED6B34">
              <w:rPr>
                <w:b/>
                <w:iCs/>
                <w:snapToGrid w:val="0"/>
                <w:lang w:val="fr-FR"/>
              </w:rPr>
              <w:t>?</w:t>
            </w:r>
            <w:proofErr w:type="gramEnd"/>
            <w:r w:rsidR="009641C3">
              <w:rPr>
                <w:b/>
                <w:iCs/>
                <w:snapToGrid w:val="0"/>
                <w:lang w:val="fr-FR"/>
              </w:rPr>
              <w:t xml:space="preserve"> </w:t>
            </w:r>
            <w:r w:rsidR="00827BE5" w:rsidRPr="00ED6B34">
              <w:rPr>
                <w:bCs/>
                <w:iCs/>
                <w:snapToGrid w:val="0"/>
                <w:lang w:val="fr-FR"/>
              </w:rPr>
              <w:t>Non</w:t>
            </w:r>
          </w:p>
          <w:p w14:paraId="000E12F0" w14:textId="77777777" w:rsidR="000F43A8" w:rsidRPr="00ED6B34" w:rsidRDefault="000F43A8" w:rsidP="000F43A8">
            <w:pPr>
              <w:rPr>
                <w:b/>
                <w:bCs/>
                <w:iCs/>
                <w:lang w:val="fr-FR"/>
              </w:rPr>
            </w:pPr>
          </w:p>
        </w:tc>
      </w:tr>
      <w:tr w:rsidR="00ED6B34" w:rsidRPr="009740FB" w14:paraId="4A8EEF8E" w14:textId="77777777" w:rsidTr="681F2457">
        <w:trPr>
          <w:trHeight w:val="368"/>
        </w:trPr>
        <w:tc>
          <w:tcPr>
            <w:tcW w:w="10080" w:type="dxa"/>
            <w:gridSpan w:val="2"/>
          </w:tcPr>
          <w:p w14:paraId="1112D32F" w14:textId="77777777" w:rsidR="000F43A8" w:rsidRPr="00ED6B34" w:rsidRDefault="000F43A8" w:rsidP="000F43A8">
            <w:pPr>
              <w:rPr>
                <w:b/>
                <w:bCs/>
                <w:iCs/>
                <w:lang w:val="fr-FR"/>
              </w:rPr>
            </w:pPr>
            <w:r w:rsidRPr="00ED6B34">
              <w:rPr>
                <w:b/>
                <w:bCs/>
                <w:iCs/>
                <w:lang w:val="fr-FR"/>
              </w:rPr>
              <w:t xml:space="preserve">Est-ce que le projet fait part d’une des fenêtres prioritaires spécifiques du </w:t>
            </w:r>
            <w:proofErr w:type="gramStart"/>
            <w:r w:rsidRPr="00ED6B34">
              <w:rPr>
                <w:b/>
                <w:bCs/>
                <w:iCs/>
                <w:lang w:val="fr-FR"/>
              </w:rPr>
              <w:t>PBF:</w:t>
            </w:r>
            <w:proofErr w:type="gramEnd"/>
          </w:p>
          <w:p w14:paraId="1A3C7729" w14:textId="53EC9BE9" w:rsidR="000F43A8" w:rsidRPr="00ED6B34" w:rsidRDefault="001D3D4D" w:rsidP="000F43A8">
            <w:pPr>
              <w:rPr>
                <w:lang w:val="fr-FR"/>
              </w:rPr>
            </w:pPr>
            <w:r w:rsidRPr="00ED6B34">
              <w:rPr>
                <w:lang w:val="fr-FR"/>
              </w:rPr>
              <w:fldChar w:fldCharType="begin">
                <w:ffData>
                  <w:name w:val=""/>
                  <w:enabled/>
                  <w:calcOnExit w:val="0"/>
                  <w:checkBox>
                    <w:sizeAuto/>
                    <w:default w:val="1"/>
                  </w:checkBox>
                </w:ffData>
              </w:fldChar>
            </w:r>
            <w:r w:rsidRPr="00ED6B34">
              <w:rPr>
                <w:lang w:val="fr-FR"/>
              </w:rPr>
              <w:instrText xml:space="preserve"> FORMCHECKBOX </w:instrText>
            </w:r>
            <w:r w:rsidR="00FC4498">
              <w:rPr>
                <w:lang w:val="fr-FR"/>
              </w:rPr>
            </w:r>
            <w:r w:rsidR="00FC4498">
              <w:rPr>
                <w:lang w:val="fr-FR"/>
              </w:rPr>
              <w:fldChar w:fldCharType="separate"/>
            </w:r>
            <w:r w:rsidRPr="00ED6B34">
              <w:rPr>
                <w:lang w:val="fr-FR"/>
              </w:rPr>
              <w:fldChar w:fldCharType="end"/>
            </w:r>
            <w:r w:rsidR="000F43A8" w:rsidRPr="00ED6B34">
              <w:rPr>
                <w:lang w:val="fr-FR"/>
              </w:rPr>
              <w:t xml:space="preserve"> Initiative de promotion du genre</w:t>
            </w:r>
          </w:p>
          <w:p w14:paraId="1CB42581" w14:textId="77777777" w:rsidR="000F43A8" w:rsidRPr="00ED6B34" w:rsidRDefault="00FE0F8C" w:rsidP="000F43A8">
            <w:pPr>
              <w:rPr>
                <w:lang w:val="fr-FR"/>
              </w:rPr>
            </w:pPr>
            <w:r w:rsidRPr="00ED6B34">
              <w:rPr>
                <w:lang w:val="fr-FR"/>
              </w:rPr>
              <w:fldChar w:fldCharType="begin">
                <w:ffData>
                  <w:name w:val=""/>
                  <w:enabled/>
                  <w:calcOnExit w:val="0"/>
                  <w:checkBox>
                    <w:sizeAuto/>
                    <w:default w:val="0"/>
                  </w:checkBox>
                </w:ffData>
              </w:fldChar>
            </w:r>
            <w:r w:rsidR="000F43A8" w:rsidRPr="00ED6B34">
              <w:rPr>
                <w:lang w:val="fr-FR"/>
              </w:rPr>
              <w:instrText xml:space="preserve"> FORMCHECKBOX </w:instrText>
            </w:r>
            <w:r w:rsidR="00FC4498">
              <w:rPr>
                <w:lang w:val="fr-FR"/>
              </w:rPr>
            </w:r>
            <w:r w:rsidR="00FC4498">
              <w:rPr>
                <w:lang w:val="fr-FR"/>
              </w:rPr>
              <w:fldChar w:fldCharType="separate"/>
            </w:r>
            <w:r w:rsidRPr="00ED6B34">
              <w:rPr>
                <w:lang w:val="fr-FR"/>
              </w:rPr>
              <w:fldChar w:fldCharType="end"/>
            </w:r>
            <w:r w:rsidR="000F43A8" w:rsidRPr="00ED6B34">
              <w:rPr>
                <w:lang w:val="fr-FR"/>
              </w:rPr>
              <w:t xml:space="preserve"> Initiative de promotion de la jeunesse</w:t>
            </w:r>
          </w:p>
          <w:p w14:paraId="460F95E3" w14:textId="77777777" w:rsidR="000F43A8" w:rsidRPr="00ED6B34" w:rsidRDefault="00FE0F8C" w:rsidP="000F43A8">
            <w:pPr>
              <w:rPr>
                <w:sz w:val="22"/>
                <w:szCs w:val="22"/>
                <w:lang w:val="fr-FR"/>
              </w:rPr>
            </w:pPr>
            <w:r w:rsidRPr="00ED6B34">
              <w:rPr>
                <w:lang w:val="fr-FR"/>
              </w:rPr>
              <w:fldChar w:fldCharType="begin">
                <w:ffData>
                  <w:name w:val=""/>
                  <w:enabled/>
                  <w:calcOnExit w:val="0"/>
                  <w:checkBox>
                    <w:sizeAuto/>
                    <w:default w:val="0"/>
                  </w:checkBox>
                </w:ffData>
              </w:fldChar>
            </w:r>
            <w:r w:rsidR="000F43A8" w:rsidRPr="00ED6B34">
              <w:rPr>
                <w:lang w:val="fr-FR"/>
              </w:rPr>
              <w:instrText xml:space="preserve"> FORMCHECKBOX </w:instrText>
            </w:r>
            <w:r w:rsidR="00FC4498">
              <w:rPr>
                <w:lang w:val="fr-FR"/>
              </w:rPr>
            </w:r>
            <w:r w:rsidR="00FC4498">
              <w:rPr>
                <w:lang w:val="fr-FR"/>
              </w:rPr>
              <w:fldChar w:fldCharType="separate"/>
            </w:r>
            <w:r w:rsidRPr="00ED6B34">
              <w:rPr>
                <w:lang w:val="fr-FR"/>
              </w:rPr>
              <w:fldChar w:fldCharType="end"/>
            </w:r>
            <w:r w:rsidR="000F43A8" w:rsidRPr="00ED6B34">
              <w:rPr>
                <w:lang w:val="fr-FR"/>
              </w:rPr>
              <w:t xml:space="preserve"> Transition entre différentes configurations de </w:t>
            </w:r>
            <w:r w:rsidR="000F43A8" w:rsidRPr="00ED6B34">
              <w:rPr>
                <w:sz w:val="22"/>
                <w:szCs w:val="22"/>
                <w:lang w:val="fr-FR"/>
              </w:rPr>
              <w:t>l’ONU (e.g. sortie de la mission de maintien de la paix)</w:t>
            </w:r>
          </w:p>
          <w:p w14:paraId="5EF5FF01" w14:textId="77777777" w:rsidR="00793DE6" w:rsidRPr="00ED6B34" w:rsidRDefault="00FE0F8C" w:rsidP="000F43A8">
            <w:pPr>
              <w:rPr>
                <w:lang w:val="fr-FR"/>
              </w:rPr>
            </w:pPr>
            <w:r w:rsidRPr="00ED6B34">
              <w:rPr>
                <w:lang w:val="fr-FR"/>
              </w:rPr>
              <w:fldChar w:fldCharType="begin">
                <w:ffData>
                  <w:name w:val=""/>
                  <w:enabled/>
                  <w:calcOnExit w:val="0"/>
                  <w:checkBox>
                    <w:sizeAuto/>
                    <w:default w:val="0"/>
                  </w:checkBox>
                </w:ffData>
              </w:fldChar>
            </w:r>
            <w:r w:rsidR="000F43A8" w:rsidRPr="00ED6B34">
              <w:rPr>
                <w:lang w:val="fr-FR"/>
              </w:rPr>
              <w:instrText xml:space="preserve"> FORMCHECKBOX </w:instrText>
            </w:r>
            <w:r w:rsidR="00FC4498">
              <w:rPr>
                <w:lang w:val="fr-FR"/>
              </w:rPr>
            </w:r>
            <w:r w:rsidR="00FC4498">
              <w:rPr>
                <w:lang w:val="fr-FR"/>
              </w:rPr>
              <w:fldChar w:fldCharType="separate"/>
            </w:r>
            <w:r w:rsidRPr="00ED6B34">
              <w:rPr>
                <w:lang w:val="fr-FR"/>
              </w:rPr>
              <w:fldChar w:fldCharType="end"/>
            </w:r>
            <w:r w:rsidR="000F43A8" w:rsidRPr="00ED6B34">
              <w:rPr>
                <w:lang w:val="fr-FR"/>
              </w:rPr>
              <w:t xml:space="preserve"> Projet transfrontalier ou régional</w:t>
            </w:r>
          </w:p>
          <w:p w14:paraId="1E44A587" w14:textId="77777777" w:rsidR="000F43A8" w:rsidRPr="00ED6B34" w:rsidRDefault="000F43A8" w:rsidP="000F43A8">
            <w:pPr>
              <w:rPr>
                <w:b/>
                <w:bCs/>
                <w:iCs/>
                <w:lang w:val="fr-FR"/>
              </w:rPr>
            </w:pPr>
          </w:p>
        </w:tc>
      </w:tr>
      <w:tr w:rsidR="00ED6B34" w:rsidRPr="009740FB" w14:paraId="682B7310" w14:textId="77777777" w:rsidTr="681F2457">
        <w:trPr>
          <w:trHeight w:val="1124"/>
        </w:trPr>
        <w:tc>
          <w:tcPr>
            <w:tcW w:w="10080" w:type="dxa"/>
            <w:gridSpan w:val="2"/>
          </w:tcPr>
          <w:p w14:paraId="6888E74F" w14:textId="77777777" w:rsidR="00793DE6" w:rsidRPr="00ED6B34" w:rsidRDefault="000F43A8" w:rsidP="00F23D0F">
            <w:pPr>
              <w:rPr>
                <w:b/>
                <w:bCs/>
                <w:iCs/>
                <w:lang w:val="fr-FR"/>
              </w:rPr>
            </w:pPr>
            <w:r w:rsidRPr="00ED6B34">
              <w:rPr>
                <w:b/>
                <w:bCs/>
                <w:iCs/>
                <w:lang w:val="fr-FR"/>
              </w:rPr>
              <w:t>Budget PBF total approuvé</w:t>
            </w:r>
            <w:r w:rsidR="00793DE6" w:rsidRPr="00ED6B34">
              <w:rPr>
                <w:b/>
                <w:bCs/>
                <w:iCs/>
                <w:lang w:val="fr-FR"/>
              </w:rPr>
              <w:t xml:space="preserve"> (</w:t>
            </w:r>
            <w:r w:rsidRPr="00ED6B34">
              <w:rPr>
                <w:b/>
                <w:bCs/>
                <w:iCs/>
                <w:lang w:val="fr-FR"/>
              </w:rPr>
              <w:t>par agence récipiendaire</w:t>
            </w:r>
            <w:proofErr w:type="gramStart"/>
            <w:r w:rsidR="00793DE6" w:rsidRPr="00ED6B34">
              <w:rPr>
                <w:b/>
                <w:bCs/>
                <w:iCs/>
                <w:lang w:val="fr-FR"/>
              </w:rPr>
              <w:t>):</w:t>
            </w:r>
            <w:proofErr w:type="gramEnd"/>
          </w:p>
          <w:p w14:paraId="671EC1E6" w14:textId="77777777" w:rsidR="00006EC0" w:rsidRPr="00ED6B34" w:rsidRDefault="000F43A8" w:rsidP="00F23D0F">
            <w:pPr>
              <w:rPr>
                <w:b/>
                <w:iCs/>
                <w:snapToGrid w:val="0"/>
                <w:lang w:val="fr-FR"/>
              </w:rPr>
            </w:pPr>
            <w:bookmarkStart w:id="1" w:name="_Hlk39507683"/>
            <w:r w:rsidRPr="00ED6B34">
              <w:rPr>
                <w:b/>
                <w:iCs/>
                <w:snapToGrid w:val="0"/>
                <w:lang w:val="fr-FR"/>
              </w:rPr>
              <w:t xml:space="preserve">Agence </w:t>
            </w:r>
            <w:r w:rsidRPr="00ED6B34">
              <w:rPr>
                <w:b/>
                <w:bCs/>
                <w:iCs/>
                <w:lang w:val="fr-FR"/>
              </w:rPr>
              <w:t>récipiendaire</w:t>
            </w:r>
            <w:r w:rsidRPr="00ED6B34">
              <w:rPr>
                <w:b/>
                <w:iCs/>
                <w:snapToGrid w:val="0"/>
                <w:lang w:val="fr-FR"/>
              </w:rPr>
              <w:t xml:space="preserve">                              Budget</w:t>
            </w:r>
          </w:p>
          <w:bookmarkEnd w:id="1"/>
          <w:p w14:paraId="22018C98" w14:textId="77777777" w:rsidR="00793DE6" w:rsidRPr="00ED6B34" w:rsidRDefault="00000358" w:rsidP="00F23D0F">
            <w:pPr>
              <w:rPr>
                <w:iCs/>
                <w:lang w:val="fr-FR"/>
              </w:rPr>
            </w:pPr>
            <w:r w:rsidRPr="00ED6B34">
              <w:rPr>
                <w:lang w:val="fr-FR"/>
              </w:rPr>
              <w:t>OHCHR</w:t>
            </w:r>
            <w:r w:rsidR="00793DE6" w:rsidRPr="00ED6B34">
              <w:rPr>
                <w:iCs/>
                <w:lang w:val="fr-FR"/>
              </w:rPr>
              <w:t xml:space="preserve">$ </w:t>
            </w:r>
            <w:r w:rsidR="00827BE5" w:rsidRPr="00ED6B34">
              <w:rPr>
                <w:lang w:val="fr-FR"/>
              </w:rPr>
              <w:t>1,026,157.82</w:t>
            </w:r>
          </w:p>
          <w:p w14:paraId="307B563F" w14:textId="32F2285E" w:rsidR="00793DE6" w:rsidRPr="00ED6B34" w:rsidRDefault="00000358" w:rsidP="00F23D0F">
            <w:pPr>
              <w:pStyle w:val="Sprechblasentext"/>
              <w:numPr>
                <w:ilvl w:val="12"/>
                <w:numId w:val="0"/>
              </w:numPr>
              <w:tabs>
                <w:tab w:val="left" w:pos="-720"/>
                <w:tab w:val="left" w:pos="4500"/>
              </w:tabs>
              <w:suppressAutoHyphens/>
              <w:rPr>
                <w:rFonts w:ascii="Times New Roman" w:hAnsi="Times New Roman" w:cs="Times New Roman"/>
                <w:sz w:val="24"/>
                <w:szCs w:val="24"/>
                <w:lang w:val="fr-FR"/>
              </w:rPr>
            </w:pPr>
            <w:r w:rsidRPr="00ED6B34">
              <w:rPr>
                <w:rFonts w:ascii="Times New Roman" w:hAnsi="Times New Roman"/>
                <w:sz w:val="24"/>
                <w:lang w:val="fr-FR"/>
              </w:rPr>
              <w:t>ONU-FEMME</w:t>
            </w:r>
            <w:r w:rsidR="00793DE6" w:rsidRPr="00ED6B34">
              <w:rPr>
                <w:rFonts w:ascii="Times New Roman" w:hAnsi="Times New Roman" w:cs="Times New Roman"/>
                <w:sz w:val="24"/>
                <w:szCs w:val="24"/>
                <w:lang w:val="fr-FR"/>
              </w:rPr>
              <w:t>$</w:t>
            </w:r>
            <w:r w:rsidR="008C01E3" w:rsidRPr="00ED6B34">
              <w:rPr>
                <w:rFonts w:ascii="Times New Roman" w:hAnsi="Times New Roman" w:cs="Times New Roman"/>
                <w:sz w:val="24"/>
                <w:szCs w:val="24"/>
                <w:lang w:val="fr-FR"/>
              </w:rPr>
              <w:t xml:space="preserve"> </w:t>
            </w:r>
            <w:r w:rsidR="00827BE5" w:rsidRPr="00ED6B34">
              <w:rPr>
                <w:rFonts w:ascii="Times New Roman" w:hAnsi="Times New Roman"/>
                <w:sz w:val="24"/>
                <w:lang w:val="fr-FR"/>
              </w:rPr>
              <w:t>987,384.08</w:t>
            </w:r>
          </w:p>
          <w:p w14:paraId="06A87D1E" w14:textId="77777777" w:rsidR="00827BE5" w:rsidRPr="00ED6B34" w:rsidRDefault="00000358" w:rsidP="00827BE5">
            <w:pPr>
              <w:pStyle w:val="Sprechblasentext"/>
              <w:numPr>
                <w:ilvl w:val="12"/>
                <w:numId w:val="0"/>
              </w:numPr>
              <w:tabs>
                <w:tab w:val="left" w:pos="-720"/>
                <w:tab w:val="left" w:pos="4500"/>
              </w:tabs>
              <w:suppressAutoHyphens/>
              <w:rPr>
                <w:rFonts w:ascii="Times New Roman" w:hAnsi="Times New Roman" w:cs="Times New Roman"/>
                <w:bCs/>
                <w:iCs/>
                <w:snapToGrid w:val="0"/>
                <w:sz w:val="20"/>
                <w:szCs w:val="20"/>
                <w:lang w:val="fr-FR"/>
              </w:rPr>
            </w:pPr>
            <w:r w:rsidRPr="00ED6B34">
              <w:rPr>
                <w:rFonts w:ascii="Times New Roman" w:hAnsi="Times New Roman" w:cs="Times New Roman"/>
                <w:bCs/>
                <w:iCs/>
                <w:snapToGrid w:val="0"/>
                <w:sz w:val="24"/>
                <w:szCs w:val="24"/>
                <w:lang w:val="fr-FR"/>
              </w:rPr>
              <w:t>PNUD</w:t>
            </w:r>
            <w:r w:rsidR="00793DE6" w:rsidRPr="00ED6B34">
              <w:rPr>
                <w:rFonts w:ascii="Times New Roman" w:hAnsi="Times New Roman" w:cs="Times New Roman"/>
                <w:sz w:val="24"/>
                <w:szCs w:val="24"/>
                <w:lang w:val="fr-FR"/>
              </w:rPr>
              <w:t xml:space="preserve">$ </w:t>
            </w:r>
            <w:r w:rsidR="00827BE5" w:rsidRPr="00ED6B34">
              <w:rPr>
                <w:rFonts w:ascii="Times New Roman" w:hAnsi="Times New Roman" w:cs="Times New Roman"/>
                <w:bCs/>
                <w:iCs/>
                <w:snapToGrid w:val="0"/>
                <w:sz w:val="24"/>
                <w:szCs w:val="24"/>
                <w:lang w:val="fr-FR"/>
              </w:rPr>
              <w:t>1,000,017.72</w:t>
            </w:r>
          </w:p>
          <w:p w14:paraId="08D48D4B" w14:textId="77777777" w:rsidR="00C12D6A" w:rsidRPr="00ED6B34" w:rsidRDefault="00000358" w:rsidP="00C12D6A">
            <w:pPr>
              <w:pStyle w:val="Sprechblase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ED6B34">
              <w:rPr>
                <w:rFonts w:ascii="Times New Roman" w:hAnsi="Times New Roman" w:cs="Times New Roman"/>
                <w:bCs/>
                <w:iCs/>
                <w:snapToGrid w:val="0"/>
                <w:sz w:val="24"/>
                <w:szCs w:val="24"/>
                <w:lang w:val="fr-FR"/>
              </w:rPr>
              <w:t>INTERPEACE</w:t>
            </w:r>
            <w:r w:rsidR="00C12D6A" w:rsidRPr="00ED6B34">
              <w:rPr>
                <w:rFonts w:ascii="Times New Roman" w:hAnsi="Times New Roman" w:cs="Times New Roman"/>
                <w:sz w:val="24"/>
                <w:szCs w:val="24"/>
                <w:lang w:val="fr-FR"/>
              </w:rPr>
              <w:t xml:space="preserve">$ </w:t>
            </w:r>
            <w:r w:rsidR="00827BE5" w:rsidRPr="00ED6B34">
              <w:rPr>
                <w:rFonts w:ascii="Times New Roman" w:hAnsi="Times New Roman" w:cs="Times New Roman"/>
                <w:bCs/>
                <w:iCs/>
                <w:snapToGrid w:val="0"/>
                <w:sz w:val="24"/>
                <w:szCs w:val="24"/>
                <w:lang w:val="fr-FR"/>
              </w:rPr>
              <w:t>986,440.36</w:t>
            </w:r>
          </w:p>
          <w:p w14:paraId="5D3D1BDC" w14:textId="77777777" w:rsidR="00793DE6" w:rsidRPr="00ED6B34" w:rsidRDefault="00793DE6" w:rsidP="001A3157">
            <w:pPr>
              <w:pStyle w:val="Sprechblasentext"/>
              <w:numPr>
                <w:ilvl w:val="12"/>
                <w:numId w:val="0"/>
              </w:numPr>
              <w:tabs>
                <w:tab w:val="left" w:pos="-720"/>
                <w:tab w:val="left" w:pos="4500"/>
              </w:tabs>
              <w:suppressAutoHyphens/>
              <w:rPr>
                <w:rFonts w:ascii="Times New Roman" w:hAnsi="Times New Roman" w:cs="Times New Roman"/>
                <w:bCs/>
                <w:iCs/>
                <w:snapToGrid w:val="0"/>
                <w:sz w:val="24"/>
                <w:szCs w:val="24"/>
                <w:lang w:val="fr-FR"/>
              </w:rPr>
            </w:pPr>
            <w:proofErr w:type="gramStart"/>
            <w:r w:rsidRPr="00ED6B34">
              <w:rPr>
                <w:rFonts w:ascii="Times New Roman" w:hAnsi="Times New Roman" w:cs="Times New Roman"/>
                <w:sz w:val="24"/>
                <w:szCs w:val="24"/>
                <w:lang w:val="fr-FR"/>
              </w:rPr>
              <w:t>Total:</w:t>
            </w:r>
            <w:r w:rsidR="00006EC0" w:rsidRPr="00ED6B34">
              <w:rPr>
                <w:rFonts w:ascii="Times New Roman" w:hAnsi="Times New Roman" w:cs="Times New Roman"/>
                <w:sz w:val="24"/>
                <w:szCs w:val="24"/>
                <w:lang w:val="fr-FR"/>
              </w:rPr>
              <w:t>$</w:t>
            </w:r>
            <w:proofErr w:type="gramEnd"/>
            <w:r w:rsidR="00006EC0" w:rsidRPr="00ED6B34">
              <w:rPr>
                <w:rFonts w:ascii="Times New Roman" w:hAnsi="Times New Roman" w:cs="Times New Roman"/>
                <w:sz w:val="24"/>
                <w:szCs w:val="24"/>
                <w:lang w:val="fr-FR"/>
              </w:rPr>
              <w:t xml:space="preserve"> </w:t>
            </w:r>
            <w:r w:rsidR="00827BE5" w:rsidRPr="00ED6B34">
              <w:rPr>
                <w:rFonts w:ascii="Times New Roman" w:hAnsi="Times New Roman" w:cs="Times New Roman"/>
                <w:bCs/>
                <w:iCs/>
                <w:snapToGrid w:val="0"/>
                <w:sz w:val="24"/>
                <w:szCs w:val="24"/>
                <w:lang w:val="fr-FR"/>
              </w:rPr>
              <w:t xml:space="preserve">3,999,999.98 </w:t>
            </w:r>
          </w:p>
          <w:p w14:paraId="0C62A7CF" w14:textId="1BB81E27" w:rsidR="001C56B8" w:rsidRPr="00ED6B34" w:rsidRDefault="000F43A8" w:rsidP="001A3157">
            <w:pPr>
              <w:pStyle w:val="Sprechblase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ED6B34">
              <w:rPr>
                <w:rFonts w:ascii="Times New Roman" w:hAnsi="Times New Roman" w:cs="Times New Roman"/>
                <w:bCs/>
                <w:iCs/>
                <w:snapToGrid w:val="0"/>
                <w:sz w:val="24"/>
                <w:szCs w:val="24"/>
                <w:lang w:val="fr-FR"/>
              </w:rPr>
              <w:t xml:space="preserve">Taux de mise en œuvre approximatif comme pourcentage du </w:t>
            </w:r>
            <w:r w:rsidRPr="00617828">
              <w:rPr>
                <w:rFonts w:ascii="Times New Roman" w:hAnsi="Times New Roman" w:cs="Times New Roman"/>
                <w:bCs/>
                <w:iCs/>
                <w:snapToGrid w:val="0"/>
                <w:sz w:val="24"/>
                <w:szCs w:val="24"/>
                <w:lang w:val="fr-FR"/>
              </w:rPr>
              <w:t>budget total</w:t>
            </w:r>
            <w:r w:rsidRPr="00ED6B34">
              <w:rPr>
                <w:rFonts w:ascii="Times New Roman" w:hAnsi="Times New Roman" w:cs="Times New Roman"/>
                <w:bCs/>
                <w:iCs/>
                <w:snapToGrid w:val="0"/>
                <w:sz w:val="24"/>
                <w:szCs w:val="24"/>
                <w:lang w:val="fr-FR"/>
              </w:rPr>
              <w:t xml:space="preserve"> du </w:t>
            </w:r>
            <w:proofErr w:type="gramStart"/>
            <w:r w:rsidRPr="00ED6B34">
              <w:rPr>
                <w:rFonts w:ascii="Times New Roman" w:hAnsi="Times New Roman" w:cs="Times New Roman"/>
                <w:bCs/>
                <w:iCs/>
                <w:snapToGrid w:val="0"/>
                <w:sz w:val="24"/>
                <w:szCs w:val="24"/>
                <w:lang w:val="fr-FR"/>
              </w:rPr>
              <w:t>projet</w:t>
            </w:r>
            <w:r w:rsidR="001C56B8" w:rsidRPr="00ED6B34">
              <w:rPr>
                <w:rFonts w:ascii="Times New Roman" w:hAnsi="Times New Roman" w:cs="Times New Roman"/>
                <w:bCs/>
                <w:iCs/>
                <w:snapToGrid w:val="0"/>
                <w:sz w:val="24"/>
                <w:szCs w:val="24"/>
                <w:lang w:val="fr-FR"/>
              </w:rPr>
              <w:t>:</w:t>
            </w:r>
            <w:proofErr w:type="gramEnd"/>
            <w:r w:rsidR="001C56B8" w:rsidRPr="00ED6B34">
              <w:rPr>
                <w:rFonts w:ascii="Times New Roman" w:hAnsi="Times New Roman" w:cs="Times New Roman"/>
                <w:bCs/>
                <w:iCs/>
                <w:snapToGrid w:val="0"/>
                <w:sz w:val="24"/>
                <w:szCs w:val="24"/>
                <w:lang w:val="fr-FR"/>
              </w:rPr>
              <w:t xml:space="preserve"> </w:t>
            </w:r>
            <w:r w:rsidR="00FA7E9A" w:rsidRPr="00FA7E9A">
              <w:rPr>
                <w:rFonts w:ascii="Times New Roman" w:hAnsi="Times New Roman" w:cs="Times New Roman"/>
                <w:bCs/>
                <w:iCs/>
                <w:snapToGrid w:val="0"/>
                <w:sz w:val="24"/>
                <w:szCs w:val="24"/>
                <w:highlight w:val="lightGray"/>
                <w:lang w:val="fr-FR"/>
              </w:rPr>
              <w:t>5</w:t>
            </w:r>
            <w:r w:rsidR="00FC4498">
              <w:rPr>
                <w:rFonts w:ascii="Times New Roman" w:hAnsi="Times New Roman" w:cs="Times New Roman"/>
                <w:bCs/>
                <w:iCs/>
                <w:snapToGrid w:val="0"/>
                <w:sz w:val="24"/>
                <w:szCs w:val="24"/>
                <w:highlight w:val="lightGray"/>
                <w:lang w:val="fr-FR"/>
              </w:rPr>
              <w:t>6</w:t>
            </w:r>
            <w:r w:rsidR="00FA7E9A" w:rsidRPr="00FA7E9A">
              <w:rPr>
                <w:rFonts w:ascii="Times New Roman" w:hAnsi="Times New Roman" w:cs="Times New Roman"/>
                <w:bCs/>
                <w:iCs/>
                <w:snapToGrid w:val="0"/>
                <w:sz w:val="24"/>
                <w:szCs w:val="24"/>
                <w:highlight w:val="lightGray"/>
                <w:lang w:val="fr-FR"/>
              </w:rPr>
              <w:t xml:space="preserve"> % (sur le budget global) et 7</w:t>
            </w:r>
            <w:r w:rsidR="00FC4498">
              <w:rPr>
                <w:rFonts w:ascii="Times New Roman" w:hAnsi="Times New Roman" w:cs="Times New Roman"/>
                <w:bCs/>
                <w:iCs/>
                <w:snapToGrid w:val="0"/>
                <w:sz w:val="24"/>
                <w:szCs w:val="24"/>
                <w:highlight w:val="lightGray"/>
                <w:lang w:val="fr-FR"/>
              </w:rPr>
              <w:t>5</w:t>
            </w:r>
            <w:r w:rsidR="00FA7E9A" w:rsidRPr="00FA7E9A">
              <w:rPr>
                <w:rFonts w:ascii="Times New Roman" w:hAnsi="Times New Roman" w:cs="Times New Roman"/>
                <w:bCs/>
                <w:iCs/>
                <w:snapToGrid w:val="0"/>
                <w:sz w:val="24"/>
                <w:szCs w:val="24"/>
                <w:highlight w:val="lightGray"/>
                <w:lang w:val="fr-FR"/>
              </w:rPr>
              <w:t xml:space="preserve"> % (sur la première tranche)</w:t>
            </w:r>
          </w:p>
          <w:p w14:paraId="3FCC5E5B" w14:textId="77777777" w:rsidR="00826923" w:rsidRPr="00ED6B34" w:rsidRDefault="00826923" w:rsidP="001A3157">
            <w:pPr>
              <w:pStyle w:val="Sprechblase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ED6B34">
              <w:rPr>
                <w:rFonts w:ascii="Times New Roman" w:hAnsi="Times New Roman" w:cs="Times New Roman"/>
                <w:bCs/>
                <w:iCs/>
                <w:snapToGrid w:val="0"/>
                <w:sz w:val="23"/>
                <w:szCs w:val="23"/>
                <w:lang w:val="fr-FR"/>
              </w:rPr>
              <w:t>*JOINDRE LE BUDGET EXCEL DU PROJET MONTRANT LES DÉPENSES APPROXIMATIVES ACTUELLES*</w:t>
            </w:r>
          </w:p>
          <w:p w14:paraId="1E4C9EB4" w14:textId="77777777" w:rsidR="00793DE6" w:rsidRPr="00ED6B34" w:rsidRDefault="00793DE6" w:rsidP="001A3157">
            <w:pPr>
              <w:pStyle w:val="Sprechblasentext"/>
              <w:numPr>
                <w:ilvl w:val="12"/>
                <w:numId w:val="0"/>
              </w:numPr>
              <w:tabs>
                <w:tab w:val="left" w:pos="-720"/>
                <w:tab w:val="left" w:pos="4500"/>
              </w:tabs>
              <w:suppressAutoHyphens/>
              <w:rPr>
                <w:rFonts w:ascii="Times New Roman" w:hAnsi="Times New Roman" w:cs="Times New Roman"/>
                <w:sz w:val="24"/>
                <w:szCs w:val="24"/>
                <w:lang w:val="fr-FR"/>
              </w:rPr>
            </w:pPr>
          </w:p>
          <w:p w14:paraId="7C712A77" w14:textId="77777777" w:rsidR="00006EC0" w:rsidRPr="00ED6B34" w:rsidRDefault="000F43A8" w:rsidP="001A3157">
            <w:pPr>
              <w:pStyle w:val="Sprechblasentext"/>
              <w:numPr>
                <w:ilvl w:val="12"/>
                <w:numId w:val="0"/>
              </w:numPr>
              <w:tabs>
                <w:tab w:val="left" w:pos="-720"/>
                <w:tab w:val="left" w:pos="4500"/>
              </w:tabs>
              <w:suppressAutoHyphens/>
              <w:rPr>
                <w:rFonts w:ascii="Times New Roman" w:hAnsi="Times New Roman" w:cs="Times New Roman"/>
                <w:b/>
                <w:bCs/>
                <w:sz w:val="24"/>
                <w:szCs w:val="24"/>
                <w:lang w:val="fr-FR"/>
              </w:rPr>
            </w:pPr>
            <w:r w:rsidRPr="00ED6B34">
              <w:rPr>
                <w:rFonts w:ascii="Times New Roman" w:hAnsi="Times New Roman" w:cs="Times New Roman"/>
                <w:b/>
                <w:bCs/>
                <w:sz w:val="24"/>
                <w:szCs w:val="24"/>
                <w:lang w:val="fr-FR"/>
              </w:rPr>
              <w:t>Budg</w:t>
            </w:r>
            <w:r w:rsidR="00E565B3" w:rsidRPr="00ED6B34">
              <w:rPr>
                <w:rFonts w:ascii="Times New Roman" w:hAnsi="Times New Roman" w:cs="Times New Roman"/>
                <w:b/>
                <w:bCs/>
                <w:sz w:val="24"/>
                <w:szCs w:val="24"/>
                <w:lang w:val="fr-FR"/>
              </w:rPr>
              <w:t>é</w:t>
            </w:r>
            <w:r w:rsidRPr="00ED6B34">
              <w:rPr>
                <w:rFonts w:ascii="Times New Roman" w:hAnsi="Times New Roman" w:cs="Times New Roman"/>
                <w:b/>
                <w:bCs/>
                <w:sz w:val="24"/>
                <w:szCs w:val="24"/>
                <w:lang w:val="fr-FR"/>
              </w:rPr>
              <w:t xml:space="preserve">tisation sensible au </w:t>
            </w:r>
            <w:proofErr w:type="gramStart"/>
            <w:r w:rsidRPr="00ED6B34">
              <w:rPr>
                <w:rFonts w:ascii="Times New Roman" w:hAnsi="Times New Roman" w:cs="Times New Roman"/>
                <w:b/>
                <w:bCs/>
                <w:sz w:val="24"/>
                <w:szCs w:val="24"/>
                <w:lang w:val="fr-FR"/>
              </w:rPr>
              <w:t>genre</w:t>
            </w:r>
            <w:r w:rsidR="00006EC0" w:rsidRPr="00ED6B34">
              <w:rPr>
                <w:rFonts w:ascii="Times New Roman" w:hAnsi="Times New Roman" w:cs="Times New Roman"/>
                <w:b/>
                <w:bCs/>
                <w:sz w:val="24"/>
                <w:szCs w:val="24"/>
                <w:lang w:val="fr-FR"/>
              </w:rPr>
              <w:t>:</w:t>
            </w:r>
            <w:proofErr w:type="gramEnd"/>
          </w:p>
          <w:p w14:paraId="1C771796" w14:textId="030D81AB" w:rsidR="00970F4C" w:rsidRPr="00ED6B34" w:rsidRDefault="000F43A8" w:rsidP="000F43A8">
            <w:pPr>
              <w:rPr>
                <w:lang w:val="fr-FR"/>
              </w:rPr>
            </w:pPr>
            <w:r w:rsidRPr="00ED6B34">
              <w:rPr>
                <w:lang w:val="fr-FR"/>
              </w:rPr>
              <w:t xml:space="preserve">Indiquez le montant ($) du budget dans le document de projet alloué aux activités dédiées à l’égalité des sexes ou à l’autonomisation des </w:t>
            </w:r>
            <w:proofErr w:type="gramStart"/>
            <w:r w:rsidRPr="00ED6B34">
              <w:rPr>
                <w:lang w:val="fr-FR"/>
              </w:rPr>
              <w:t>femmes</w:t>
            </w:r>
            <w:r w:rsidR="00970F4C" w:rsidRPr="00ED6B34">
              <w:rPr>
                <w:lang w:val="fr-FR"/>
              </w:rPr>
              <w:t>:</w:t>
            </w:r>
            <w:proofErr w:type="gramEnd"/>
            <w:r w:rsidR="00970F4C" w:rsidRPr="00ED6B34">
              <w:rPr>
                <w:lang w:val="fr-FR"/>
              </w:rPr>
              <w:t xml:space="preserve"> </w:t>
            </w:r>
            <w:bookmarkStart w:id="2" w:name="Text1"/>
            <w:r w:rsidR="008C01E3" w:rsidRPr="00FA7E9A">
              <w:rPr>
                <w:highlight w:val="lightGray"/>
                <w:lang w:val="fr-FR"/>
              </w:rPr>
              <w:t>$ 987,384.08</w:t>
            </w:r>
            <w:bookmarkEnd w:id="2"/>
          </w:p>
          <w:p w14:paraId="1F0399AE" w14:textId="6DCA960E" w:rsidR="00952DE4" w:rsidRPr="00ED6B34" w:rsidRDefault="000F43A8" w:rsidP="004234C7">
            <w:pPr>
              <w:rPr>
                <w:lang w:val="fr-FR"/>
              </w:rPr>
            </w:pPr>
            <w:r w:rsidRPr="00ED6B34">
              <w:rPr>
                <w:lang w:val="fr-FR"/>
              </w:rPr>
              <w:t xml:space="preserve">Indiquez le montant ($) du budget dépensé jusqu’à maintenant pour les activités dédiées à l’égalité des sexes ou à l’autonomisation des </w:t>
            </w:r>
            <w:proofErr w:type="gramStart"/>
            <w:r w:rsidRPr="00ED6B34">
              <w:rPr>
                <w:lang w:val="fr-FR"/>
              </w:rPr>
              <w:t>femmes</w:t>
            </w:r>
            <w:r w:rsidR="00006EC0" w:rsidRPr="00ED6B34">
              <w:rPr>
                <w:lang w:val="fr-FR"/>
              </w:rPr>
              <w:t>:</w:t>
            </w:r>
            <w:proofErr w:type="gramEnd"/>
            <w:r w:rsidR="00006EC0" w:rsidRPr="00ED6B34">
              <w:rPr>
                <w:lang w:val="fr-FR"/>
              </w:rPr>
              <w:t xml:space="preserve"> </w:t>
            </w:r>
            <w:r w:rsidR="00FA7E9A" w:rsidRPr="00FA7E9A">
              <w:rPr>
                <w:highlight w:val="lightGray"/>
                <w:lang w:val="fr-FR"/>
              </w:rPr>
              <w:t>$ 834,643</w:t>
            </w:r>
          </w:p>
        </w:tc>
      </w:tr>
      <w:tr w:rsidR="00ED6B34" w:rsidRPr="009740FB" w14:paraId="7FA47482" w14:textId="77777777" w:rsidTr="681F2457">
        <w:trPr>
          <w:trHeight w:val="1124"/>
        </w:trPr>
        <w:tc>
          <w:tcPr>
            <w:tcW w:w="10080" w:type="dxa"/>
            <w:gridSpan w:val="2"/>
          </w:tcPr>
          <w:p w14:paraId="65EA1842" w14:textId="77777777" w:rsidR="009B18EB" w:rsidRPr="00ED6B34" w:rsidRDefault="000F43A8" w:rsidP="00F23D0F">
            <w:pPr>
              <w:rPr>
                <w:b/>
                <w:bCs/>
                <w:iCs/>
                <w:lang w:val="fr-FR"/>
              </w:rPr>
            </w:pPr>
            <w:r w:rsidRPr="00ED6B34">
              <w:rPr>
                <w:b/>
                <w:bCs/>
                <w:iCs/>
                <w:lang w:val="fr-FR"/>
              </w:rPr>
              <w:t xml:space="preserve">Marquer de genre du </w:t>
            </w:r>
            <w:proofErr w:type="gramStart"/>
            <w:r w:rsidRPr="00ED6B34">
              <w:rPr>
                <w:b/>
                <w:bCs/>
                <w:iCs/>
                <w:lang w:val="fr-FR"/>
              </w:rPr>
              <w:t>projet</w:t>
            </w:r>
            <w:r w:rsidR="009B18EB" w:rsidRPr="00ED6B34">
              <w:rPr>
                <w:b/>
                <w:bCs/>
                <w:iCs/>
                <w:lang w:val="fr-FR"/>
              </w:rPr>
              <w:t>:</w:t>
            </w:r>
            <w:proofErr w:type="gramEnd"/>
            <w:r w:rsidR="009B18EB" w:rsidRPr="00ED6B34">
              <w:rPr>
                <w:b/>
                <w:bCs/>
                <w:iCs/>
                <w:lang w:val="fr-FR"/>
              </w:rPr>
              <w:t xml:space="preserve"> </w:t>
            </w:r>
            <w:r w:rsidR="00DA6914" w:rsidRPr="00ED6B34">
              <w:rPr>
                <w:b/>
                <w:bCs/>
                <w:iCs/>
                <w:sz w:val="20"/>
                <w:szCs w:val="20"/>
                <w:lang w:val="fr-FR"/>
              </w:rPr>
              <w:t>GM2</w:t>
            </w:r>
          </w:p>
          <w:p w14:paraId="60B187F2" w14:textId="77777777" w:rsidR="009B18EB" w:rsidRPr="00ED6B34" w:rsidRDefault="000F43A8" w:rsidP="00F23D0F">
            <w:pPr>
              <w:rPr>
                <w:b/>
                <w:bCs/>
                <w:iCs/>
                <w:lang w:val="fr-FR"/>
              </w:rPr>
            </w:pPr>
            <w:r w:rsidRPr="00ED6B34">
              <w:rPr>
                <w:b/>
                <w:bCs/>
                <w:iCs/>
                <w:lang w:val="fr-FR"/>
              </w:rPr>
              <w:t xml:space="preserve">Marquer de risque du </w:t>
            </w:r>
            <w:proofErr w:type="gramStart"/>
            <w:r w:rsidRPr="00ED6B34">
              <w:rPr>
                <w:b/>
                <w:bCs/>
                <w:iCs/>
                <w:lang w:val="fr-FR"/>
              </w:rPr>
              <w:t>projet</w:t>
            </w:r>
            <w:r w:rsidR="009B18EB" w:rsidRPr="00ED6B34">
              <w:rPr>
                <w:b/>
                <w:bCs/>
                <w:iCs/>
                <w:lang w:val="fr-FR"/>
              </w:rPr>
              <w:t>:</w:t>
            </w:r>
            <w:proofErr w:type="gramEnd"/>
            <w:r w:rsidR="009B18EB" w:rsidRPr="00ED6B34">
              <w:rPr>
                <w:b/>
                <w:bCs/>
                <w:iCs/>
                <w:lang w:val="fr-FR"/>
              </w:rPr>
              <w:t xml:space="preserve"> </w:t>
            </w:r>
            <w:r w:rsidR="005C2CE8" w:rsidRPr="00ED6B34">
              <w:rPr>
                <w:b/>
                <w:bCs/>
                <w:iCs/>
                <w:lang w:val="fr-FR"/>
              </w:rPr>
              <w:t>1</w:t>
            </w:r>
          </w:p>
          <w:p w14:paraId="15B9454E" w14:textId="77777777" w:rsidR="009B18EB" w:rsidRPr="00ED6B34" w:rsidRDefault="000F43A8" w:rsidP="00F23D0F">
            <w:pPr>
              <w:rPr>
                <w:b/>
                <w:bCs/>
                <w:iCs/>
                <w:lang w:val="fr-FR"/>
              </w:rPr>
            </w:pPr>
            <w:r w:rsidRPr="00ED6B34">
              <w:rPr>
                <w:b/>
                <w:bCs/>
                <w:szCs w:val="22"/>
                <w:lang w:val="fr-FR"/>
              </w:rPr>
              <w:t xml:space="preserve">Domaine de priorité de l’intervention PBF (« PBF </w:t>
            </w:r>
            <w:r w:rsidR="009B18EB" w:rsidRPr="00ED6B34">
              <w:rPr>
                <w:b/>
                <w:bCs/>
                <w:iCs/>
                <w:lang w:val="fr-FR"/>
              </w:rPr>
              <w:t>focus area</w:t>
            </w:r>
            <w:r w:rsidRPr="00ED6B34">
              <w:rPr>
                <w:b/>
                <w:bCs/>
                <w:iCs/>
                <w:lang w:val="fr-FR"/>
              </w:rPr>
              <w:t> »</w:t>
            </w:r>
            <w:proofErr w:type="gramStart"/>
            <w:r w:rsidRPr="00ED6B34">
              <w:rPr>
                <w:b/>
                <w:bCs/>
                <w:iCs/>
                <w:lang w:val="fr-FR"/>
              </w:rPr>
              <w:t>)</w:t>
            </w:r>
            <w:r w:rsidR="009B18EB" w:rsidRPr="00ED6B34">
              <w:rPr>
                <w:b/>
                <w:bCs/>
                <w:iCs/>
                <w:lang w:val="fr-FR"/>
              </w:rPr>
              <w:t>:</w:t>
            </w:r>
            <w:proofErr w:type="gramEnd"/>
            <w:r w:rsidR="009B18EB" w:rsidRPr="00ED6B34">
              <w:rPr>
                <w:b/>
                <w:bCs/>
                <w:iCs/>
                <w:lang w:val="fr-FR"/>
              </w:rPr>
              <w:t xml:space="preserve"> </w:t>
            </w:r>
            <w:r w:rsidR="00DA6914" w:rsidRPr="00ED6B34">
              <w:rPr>
                <w:b/>
                <w:bCs/>
                <w:iCs/>
                <w:sz w:val="20"/>
                <w:szCs w:val="20"/>
                <w:lang w:val="fr-FR"/>
              </w:rPr>
              <w:t>(1.2) Etat de droit</w:t>
            </w:r>
          </w:p>
        </w:tc>
      </w:tr>
      <w:tr w:rsidR="00ED6B34" w:rsidRPr="009740FB" w14:paraId="68CA2E16" w14:textId="77777777" w:rsidTr="681F2457">
        <w:trPr>
          <w:trHeight w:val="1124"/>
        </w:trPr>
        <w:tc>
          <w:tcPr>
            <w:tcW w:w="10080" w:type="dxa"/>
            <w:gridSpan w:val="2"/>
          </w:tcPr>
          <w:p w14:paraId="6316A1C0" w14:textId="77777777" w:rsidR="000F43A8" w:rsidRPr="00ED6B34" w:rsidRDefault="000F43A8" w:rsidP="000F43A8">
            <w:pPr>
              <w:rPr>
                <w:b/>
                <w:bCs/>
                <w:sz w:val="22"/>
                <w:lang w:val="fr-FR"/>
              </w:rPr>
            </w:pPr>
            <w:r w:rsidRPr="00ED6B34">
              <w:rPr>
                <w:b/>
                <w:bCs/>
                <w:sz w:val="22"/>
                <w:lang w:val="fr-FR"/>
              </w:rPr>
              <w:lastRenderedPageBreak/>
              <w:t xml:space="preserve">Préparation du </w:t>
            </w:r>
            <w:proofErr w:type="gramStart"/>
            <w:r w:rsidRPr="00ED6B34">
              <w:rPr>
                <w:b/>
                <w:bCs/>
                <w:sz w:val="22"/>
                <w:lang w:val="fr-FR"/>
              </w:rPr>
              <w:t>rapport:</w:t>
            </w:r>
            <w:proofErr w:type="gramEnd"/>
          </w:p>
          <w:p w14:paraId="76482CC5" w14:textId="107ACFFF" w:rsidR="000F43A8" w:rsidRPr="00ED6B34" w:rsidRDefault="000F43A8" w:rsidP="000F43A8">
            <w:pPr>
              <w:rPr>
                <w:lang w:val="fr-FR"/>
              </w:rPr>
            </w:pPr>
            <w:r w:rsidRPr="00ED6B34">
              <w:rPr>
                <w:lang w:val="fr-FR"/>
              </w:rPr>
              <w:t xml:space="preserve">Rapport préparé </w:t>
            </w:r>
            <w:proofErr w:type="gramStart"/>
            <w:r w:rsidRPr="00ED6B34">
              <w:rPr>
                <w:lang w:val="fr-FR"/>
              </w:rPr>
              <w:t>par:</w:t>
            </w:r>
            <w:proofErr w:type="gramEnd"/>
            <w:r w:rsidR="00902324">
              <w:rPr>
                <w:lang w:val="fr-FR"/>
              </w:rPr>
              <w:t xml:space="preserve"> OHCHR comme agence lead</w:t>
            </w:r>
          </w:p>
          <w:p w14:paraId="49EA8298" w14:textId="127B8F4B" w:rsidR="000F43A8" w:rsidRPr="00ED6B34" w:rsidRDefault="000F43A8" w:rsidP="000F43A8">
            <w:pPr>
              <w:rPr>
                <w:lang w:val="fr-FR"/>
              </w:rPr>
            </w:pPr>
            <w:r w:rsidRPr="00ED6B34">
              <w:rPr>
                <w:lang w:val="fr-FR"/>
              </w:rPr>
              <w:t xml:space="preserve">Rapport approuvé </w:t>
            </w:r>
            <w:proofErr w:type="gramStart"/>
            <w:r w:rsidRPr="00ED6B34">
              <w:rPr>
                <w:lang w:val="fr-FR"/>
              </w:rPr>
              <w:t>par:</w:t>
            </w:r>
            <w:proofErr w:type="gramEnd"/>
            <w:r w:rsidRPr="00ED6B34">
              <w:rPr>
                <w:lang w:val="fr-FR"/>
              </w:rPr>
              <w:t xml:space="preserve"> </w:t>
            </w:r>
            <w:r w:rsidR="00902324">
              <w:rPr>
                <w:lang w:val="fr-FR"/>
              </w:rPr>
              <w:t>Directeur Bureau OHCHR du Mali</w:t>
            </w:r>
          </w:p>
          <w:p w14:paraId="44A0D2F7" w14:textId="3863D4FD" w:rsidR="000F43A8" w:rsidRPr="00ED6B34" w:rsidRDefault="000F43A8" w:rsidP="000F43A8">
            <w:pPr>
              <w:rPr>
                <w:lang w:val="fr-FR"/>
              </w:rPr>
            </w:pPr>
            <w:r w:rsidRPr="00ED6B34">
              <w:rPr>
                <w:lang w:val="fr-FR"/>
              </w:rPr>
              <w:t xml:space="preserve">Le Secrétariat PBF a-t-il revu le </w:t>
            </w:r>
            <w:proofErr w:type="gramStart"/>
            <w:r w:rsidRPr="00ED6B34">
              <w:rPr>
                <w:lang w:val="fr-FR"/>
              </w:rPr>
              <w:t>rapport</w:t>
            </w:r>
            <w:r w:rsidRPr="00ED6B34">
              <w:rPr>
                <w:sz w:val="22"/>
                <w:lang w:val="fr-FR"/>
              </w:rPr>
              <w:t>:</w:t>
            </w:r>
            <w:proofErr w:type="gramEnd"/>
            <w:r w:rsidRPr="00ED6B34">
              <w:rPr>
                <w:sz w:val="22"/>
                <w:lang w:val="fr-FR"/>
              </w:rPr>
              <w:t xml:space="preserve"> </w:t>
            </w:r>
            <w:r w:rsidR="00D27CAC">
              <w:rPr>
                <w:lang w:val="fr-FR"/>
              </w:rPr>
              <w:t>Oui</w:t>
            </w:r>
          </w:p>
        </w:tc>
      </w:tr>
    </w:tbl>
    <w:p w14:paraId="2F56F276" w14:textId="77777777" w:rsidR="00272A58" w:rsidRPr="00ED6B34" w:rsidRDefault="00272A58" w:rsidP="00E76CA1">
      <w:pPr>
        <w:rPr>
          <w:b/>
          <w:lang w:val="fr-FR"/>
        </w:rPr>
        <w:sectPr w:rsidR="00272A58" w:rsidRPr="00ED6B34" w:rsidSect="0078600B">
          <w:headerReference w:type="default" r:id="rId12"/>
          <w:footerReference w:type="default" r:id="rId13"/>
          <w:pgSz w:w="11906" w:h="16838"/>
          <w:pgMar w:top="1440" w:right="1800" w:bottom="1440" w:left="1800" w:header="720" w:footer="720" w:gutter="0"/>
          <w:cols w:space="720"/>
          <w:docGrid w:linePitch="360"/>
        </w:sectPr>
      </w:pPr>
    </w:p>
    <w:p w14:paraId="35A064FF" w14:textId="77777777" w:rsidR="00F778A1" w:rsidRPr="00ED6B34" w:rsidRDefault="00F778A1" w:rsidP="00F778A1">
      <w:pPr>
        <w:ind w:hanging="810"/>
        <w:jc w:val="both"/>
        <w:rPr>
          <w:b/>
          <w:i/>
          <w:iCs/>
          <w:lang w:val="fr-FR"/>
        </w:rPr>
      </w:pPr>
      <w:r w:rsidRPr="00ED6B34">
        <w:rPr>
          <w:b/>
          <w:i/>
          <w:iCs/>
          <w:lang w:val="fr-FR"/>
        </w:rPr>
        <w:lastRenderedPageBreak/>
        <w:t xml:space="preserve">NOTES POUR REMPLIR LE </w:t>
      </w:r>
      <w:proofErr w:type="gramStart"/>
      <w:r w:rsidRPr="00ED6B34">
        <w:rPr>
          <w:b/>
          <w:i/>
          <w:iCs/>
          <w:lang w:val="fr-FR"/>
        </w:rPr>
        <w:t>RAPPORT:</w:t>
      </w:r>
      <w:proofErr w:type="gramEnd"/>
    </w:p>
    <w:p w14:paraId="654F5317" w14:textId="77777777" w:rsidR="00F778A1" w:rsidRPr="00ED6B34" w:rsidRDefault="00F778A1" w:rsidP="008F5A72">
      <w:pPr>
        <w:numPr>
          <w:ilvl w:val="0"/>
          <w:numId w:val="1"/>
        </w:numPr>
        <w:ind w:left="-540"/>
        <w:jc w:val="both"/>
        <w:rPr>
          <w:i/>
          <w:iCs/>
          <w:lang w:val="fr-FR"/>
        </w:rPr>
      </w:pPr>
      <w:r w:rsidRPr="00ED6B34">
        <w:rPr>
          <w:i/>
          <w:iCs/>
          <w:lang w:val="fr-FR"/>
        </w:rPr>
        <w:t>Évitez les acronymes et le jargon des Nations Unies, utilisez un langage général / commun.</w:t>
      </w:r>
    </w:p>
    <w:p w14:paraId="2F338BFF" w14:textId="77777777" w:rsidR="00F778A1" w:rsidRPr="00ED6B34" w:rsidRDefault="00F778A1" w:rsidP="008F5A72">
      <w:pPr>
        <w:numPr>
          <w:ilvl w:val="0"/>
          <w:numId w:val="1"/>
        </w:numPr>
        <w:ind w:left="-540"/>
        <w:jc w:val="both"/>
        <w:rPr>
          <w:i/>
          <w:iCs/>
          <w:lang w:val="fr-FR"/>
        </w:rPr>
      </w:pPr>
      <w:r w:rsidRPr="00ED6B34">
        <w:rPr>
          <w:i/>
          <w:iCs/>
          <w:lang w:val="fr-FR"/>
        </w:rPr>
        <w:t>Décrivez ce que le projet a fait dans la période de rapport, plutôt que les intentions du projet.</w:t>
      </w:r>
    </w:p>
    <w:p w14:paraId="678E8C07" w14:textId="77777777" w:rsidR="00F778A1" w:rsidRPr="00ED6B34" w:rsidRDefault="00F778A1" w:rsidP="008F5A72">
      <w:pPr>
        <w:numPr>
          <w:ilvl w:val="0"/>
          <w:numId w:val="1"/>
        </w:numPr>
        <w:ind w:left="-540"/>
        <w:jc w:val="both"/>
        <w:rPr>
          <w:i/>
          <w:iCs/>
          <w:lang w:val="fr-FR"/>
        </w:rPr>
      </w:pPr>
      <w:r w:rsidRPr="00ED6B34">
        <w:rPr>
          <w:i/>
          <w:iCs/>
          <w:lang w:val="fr-FR"/>
        </w:rPr>
        <w:t>Soyez aussi concret que possible. Évitez les discours théoriques, vagues ou conceptuels.</w:t>
      </w:r>
    </w:p>
    <w:p w14:paraId="629ED2F0" w14:textId="77777777" w:rsidR="00F778A1" w:rsidRPr="00ED6B34" w:rsidRDefault="00F778A1" w:rsidP="008F5A72">
      <w:pPr>
        <w:numPr>
          <w:ilvl w:val="0"/>
          <w:numId w:val="1"/>
        </w:numPr>
        <w:ind w:left="-810" w:hanging="90"/>
        <w:jc w:val="both"/>
        <w:rPr>
          <w:i/>
          <w:iCs/>
          <w:lang w:val="fr-FR"/>
        </w:rPr>
      </w:pPr>
      <w:r w:rsidRPr="00ED6B34">
        <w:rPr>
          <w:i/>
          <w:iCs/>
          <w:lang w:val="fr-FR"/>
        </w:rPr>
        <w:t>Veillez à ce que l'analyse et l'évaluation des progrès du projet tiennent compte des spécificités du sexe et de l'âge.</w:t>
      </w:r>
    </w:p>
    <w:p w14:paraId="020F3EB2" w14:textId="77777777" w:rsidR="00C955F4" w:rsidRPr="00ED6B34" w:rsidRDefault="00C955F4" w:rsidP="008F5A72">
      <w:pPr>
        <w:numPr>
          <w:ilvl w:val="0"/>
          <w:numId w:val="1"/>
        </w:numPr>
        <w:ind w:left="-810" w:hanging="90"/>
        <w:jc w:val="both"/>
        <w:rPr>
          <w:i/>
          <w:iCs/>
          <w:lang w:val="fr-FR"/>
        </w:rPr>
      </w:pPr>
      <w:r w:rsidRPr="00ED6B34">
        <w:rPr>
          <w:i/>
          <w:iCs/>
          <w:lang w:val="fr-FR"/>
        </w:rPr>
        <w:tab/>
      </w:r>
      <w:r w:rsidRPr="00ED6B34">
        <w:rPr>
          <w:i/>
          <w:iCs/>
          <w:lang w:val="fr-FR"/>
        </w:rPr>
        <w:tab/>
        <w:t xml:space="preserve">Veuillez inclure </w:t>
      </w:r>
      <w:r w:rsidR="001B4FC7" w:rsidRPr="00ED6B34">
        <w:rPr>
          <w:i/>
          <w:iCs/>
          <w:lang w:val="fr-FR"/>
        </w:rPr>
        <w:t>des</w:t>
      </w:r>
      <w:r w:rsidRPr="00ED6B34">
        <w:rPr>
          <w:i/>
          <w:iCs/>
          <w:lang w:val="fr-FR"/>
        </w:rPr>
        <w:t xml:space="preserve"> considérations, ajustements et résultats liés au COVID-19 et répond</w:t>
      </w:r>
      <w:r w:rsidR="001B4FC7" w:rsidRPr="00ED6B34">
        <w:rPr>
          <w:i/>
          <w:iCs/>
          <w:lang w:val="fr-FR"/>
        </w:rPr>
        <w:t>ez</w:t>
      </w:r>
      <w:r w:rsidRPr="00ED6B34">
        <w:rPr>
          <w:i/>
          <w:iCs/>
          <w:lang w:val="fr-FR"/>
        </w:rPr>
        <w:t xml:space="preserve"> à la section IV.</w:t>
      </w:r>
    </w:p>
    <w:p w14:paraId="1DE4EFA8" w14:textId="77777777" w:rsidR="00476758" w:rsidRPr="00ED6B34" w:rsidRDefault="00476758" w:rsidP="00476758">
      <w:pPr>
        <w:rPr>
          <w:b/>
          <w:lang w:val="fr-FR"/>
        </w:rPr>
      </w:pPr>
    </w:p>
    <w:p w14:paraId="72CAD453" w14:textId="77777777" w:rsidR="00476758" w:rsidRPr="00ED6B34" w:rsidRDefault="00476758" w:rsidP="00476758">
      <w:pPr>
        <w:rPr>
          <w:b/>
          <w:lang w:val="fr-FR"/>
        </w:rPr>
      </w:pPr>
    </w:p>
    <w:p w14:paraId="6A407241" w14:textId="77777777" w:rsidR="00F778A1" w:rsidRPr="00ED6B34" w:rsidRDefault="00F778A1" w:rsidP="00476758">
      <w:pPr>
        <w:rPr>
          <w:rFonts w:ascii="inherit" w:hAnsi="inherit"/>
          <w:b/>
          <w:bCs/>
          <w:u w:val="single"/>
          <w:lang w:val="fr-FR"/>
        </w:rPr>
      </w:pPr>
      <w:r w:rsidRPr="00ED6B34">
        <w:rPr>
          <w:b/>
          <w:u w:val="single"/>
          <w:lang w:val="fr-FR"/>
        </w:rPr>
        <w:t xml:space="preserve">Partie 1 : </w:t>
      </w:r>
      <w:r w:rsidRPr="00ED6B34">
        <w:rPr>
          <w:rFonts w:ascii="inherit" w:hAnsi="inherit"/>
          <w:b/>
          <w:bCs/>
          <w:u w:val="single"/>
          <w:lang w:val="fr-FR"/>
        </w:rPr>
        <w:t xml:space="preserve">Progrès global du projet </w:t>
      </w:r>
    </w:p>
    <w:p w14:paraId="456C1C6D" w14:textId="77777777" w:rsidR="00A02F58" w:rsidRPr="00ED6B34" w:rsidRDefault="00A02F58" w:rsidP="00F778A1">
      <w:pPr>
        <w:rPr>
          <w:b/>
          <w:lang w:val="fr-FR"/>
        </w:rPr>
      </w:pPr>
    </w:p>
    <w:p w14:paraId="5F8B6241" w14:textId="77777777" w:rsidR="004421D2" w:rsidRPr="00ED6B34" w:rsidRDefault="00F778A1" w:rsidP="004421D2">
      <w:pPr>
        <w:ind w:left="-810"/>
        <w:jc w:val="both"/>
        <w:rPr>
          <w:b/>
          <w:i/>
          <w:lang w:val="fr-FR"/>
        </w:rPr>
      </w:pPr>
      <w:r w:rsidRPr="00ED6B34">
        <w:rPr>
          <w:b/>
          <w:bCs/>
          <w:i/>
          <w:iCs/>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ED6B34">
        <w:rPr>
          <w:b/>
          <w:i/>
          <w:lang w:val="fr-FR"/>
        </w:rPr>
        <w:t>(limite de 1500 caractères</w:t>
      </w:r>
      <w:proofErr w:type="gramStart"/>
      <w:r w:rsidRPr="00ED6B34">
        <w:rPr>
          <w:b/>
          <w:i/>
          <w:lang w:val="fr-FR"/>
        </w:rPr>
        <w:t>):</w:t>
      </w:r>
      <w:proofErr w:type="gramEnd"/>
      <w:r w:rsidRPr="00ED6B34">
        <w:rPr>
          <w:b/>
          <w:i/>
          <w:lang w:val="fr-FR"/>
        </w:rPr>
        <w:t xml:space="preserve"> </w:t>
      </w:r>
    </w:p>
    <w:p w14:paraId="01453D98" w14:textId="77777777" w:rsidR="004421D2" w:rsidRPr="00ED6B34" w:rsidRDefault="004421D2" w:rsidP="004421D2">
      <w:pPr>
        <w:ind w:left="-810"/>
        <w:rPr>
          <w:lang w:val="fr-FR"/>
        </w:rPr>
      </w:pPr>
    </w:p>
    <w:p w14:paraId="37FCD76F" w14:textId="0403C032" w:rsidR="00F43833" w:rsidRPr="008469C5" w:rsidRDefault="0010677B" w:rsidP="004234C7">
      <w:pPr>
        <w:jc w:val="both"/>
        <w:rPr>
          <w:rFonts w:asciiTheme="majorBidi" w:hAnsiTheme="majorBidi" w:cstheme="majorBidi"/>
          <w:bCs/>
          <w:iCs/>
          <w:highlight w:val="lightGray"/>
          <w:lang w:val="fr-FR"/>
        </w:rPr>
      </w:pPr>
      <w:bookmarkStart w:id="3" w:name="_Hlk54620613"/>
      <w:bookmarkStart w:id="4" w:name="_Hlk73684445"/>
      <w:bookmarkStart w:id="5" w:name="_Hlk85096662"/>
      <w:r w:rsidRPr="008469C5">
        <w:rPr>
          <w:rFonts w:asciiTheme="majorBidi" w:hAnsiTheme="majorBidi" w:cstheme="majorBidi"/>
          <w:bCs/>
          <w:iCs/>
          <w:highlight w:val="lightGray"/>
          <w:lang w:val="fr-FR"/>
        </w:rPr>
        <w:t>La</w:t>
      </w:r>
      <w:r w:rsidR="004234C7" w:rsidRPr="008469C5">
        <w:rPr>
          <w:rFonts w:asciiTheme="majorBidi" w:hAnsiTheme="majorBidi" w:cstheme="majorBidi"/>
          <w:bCs/>
          <w:iCs/>
          <w:highlight w:val="lightGray"/>
          <w:lang w:val="fr-FR"/>
        </w:rPr>
        <w:t xml:space="preserve"> </w:t>
      </w:r>
      <w:r w:rsidR="008469C5">
        <w:rPr>
          <w:rFonts w:asciiTheme="majorBidi" w:hAnsiTheme="majorBidi" w:cstheme="majorBidi"/>
          <w:bCs/>
          <w:iCs/>
          <w:highlight w:val="lightGray"/>
          <w:lang w:val="fr-FR"/>
        </w:rPr>
        <w:t>2</w:t>
      </w:r>
      <w:r w:rsidR="008469C5" w:rsidRPr="008469C5">
        <w:rPr>
          <w:rFonts w:asciiTheme="majorBidi" w:hAnsiTheme="majorBidi" w:cstheme="majorBidi"/>
          <w:bCs/>
          <w:iCs/>
          <w:highlight w:val="lightGray"/>
          <w:vertAlign w:val="superscript"/>
          <w:lang w:val="fr-FR"/>
        </w:rPr>
        <w:t>ème</w:t>
      </w:r>
      <w:r w:rsidR="008469C5" w:rsidRPr="008469C5">
        <w:rPr>
          <w:rFonts w:asciiTheme="majorBidi" w:hAnsiTheme="majorBidi" w:cstheme="majorBidi"/>
          <w:bCs/>
          <w:iCs/>
          <w:highlight w:val="lightGray"/>
          <w:lang w:val="fr-FR"/>
        </w:rPr>
        <w:t xml:space="preserve"> </w:t>
      </w:r>
      <w:r w:rsidR="004234C7" w:rsidRPr="008469C5">
        <w:rPr>
          <w:rFonts w:asciiTheme="majorBidi" w:hAnsiTheme="majorBidi" w:cstheme="majorBidi"/>
          <w:bCs/>
          <w:iCs/>
          <w:highlight w:val="lightGray"/>
          <w:lang w:val="fr-FR"/>
        </w:rPr>
        <w:t xml:space="preserve">année </w:t>
      </w:r>
      <w:r w:rsidR="00F43833" w:rsidRPr="008469C5">
        <w:rPr>
          <w:rFonts w:asciiTheme="majorBidi" w:hAnsiTheme="majorBidi" w:cstheme="majorBidi"/>
          <w:bCs/>
          <w:iCs/>
          <w:highlight w:val="lightGray"/>
          <w:lang w:val="fr-FR"/>
        </w:rPr>
        <w:t>du projet</w:t>
      </w:r>
      <w:r w:rsidR="004234C7" w:rsidRPr="008469C5">
        <w:rPr>
          <w:rFonts w:asciiTheme="majorBidi" w:hAnsiTheme="majorBidi" w:cstheme="majorBidi"/>
          <w:bCs/>
          <w:iCs/>
          <w:highlight w:val="lightGray"/>
          <w:lang w:val="fr-FR"/>
        </w:rPr>
        <w:t xml:space="preserve"> </w:t>
      </w:r>
      <w:r w:rsidRPr="008469C5">
        <w:rPr>
          <w:rFonts w:asciiTheme="majorBidi" w:hAnsiTheme="majorBidi" w:cstheme="majorBidi"/>
          <w:bCs/>
          <w:iCs/>
          <w:highlight w:val="lightGray"/>
          <w:lang w:val="fr-FR"/>
        </w:rPr>
        <w:t>reste</w:t>
      </w:r>
      <w:r w:rsidR="00F43833" w:rsidRPr="008469C5">
        <w:rPr>
          <w:rFonts w:asciiTheme="majorBidi" w:hAnsiTheme="majorBidi" w:cstheme="majorBidi"/>
          <w:bCs/>
          <w:iCs/>
          <w:highlight w:val="lightGray"/>
          <w:lang w:val="fr-FR"/>
        </w:rPr>
        <w:t xml:space="preserve"> </w:t>
      </w:r>
      <w:r w:rsidR="004234C7" w:rsidRPr="008469C5">
        <w:rPr>
          <w:rFonts w:asciiTheme="majorBidi" w:hAnsiTheme="majorBidi" w:cstheme="majorBidi"/>
          <w:bCs/>
          <w:iCs/>
          <w:highlight w:val="lightGray"/>
          <w:lang w:val="fr-FR"/>
        </w:rPr>
        <w:t xml:space="preserve">marquée par </w:t>
      </w:r>
      <w:r w:rsidR="00D27CAC">
        <w:rPr>
          <w:rFonts w:asciiTheme="majorBidi" w:hAnsiTheme="majorBidi" w:cstheme="majorBidi"/>
          <w:bCs/>
          <w:iCs/>
          <w:highlight w:val="lightGray"/>
          <w:lang w:val="fr-FR"/>
        </w:rPr>
        <w:t>l’</w:t>
      </w:r>
      <w:r w:rsidR="004234C7" w:rsidRPr="008469C5">
        <w:rPr>
          <w:rFonts w:asciiTheme="majorBidi" w:hAnsiTheme="majorBidi" w:cstheme="majorBidi"/>
          <w:bCs/>
          <w:iCs/>
          <w:highlight w:val="lightGray"/>
          <w:lang w:val="fr-FR"/>
        </w:rPr>
        <w:t xml:space="preserve">instabilité politique </w:t>
      </w:r>
      <w:r w:rsidR="00316730">
        <w:rPr>
          <w:rFonts w:asciiTheme="majorBidi" w:hAnsiTheme="majorBidi" w:cstheme="majorBidi"/>
          <w:bCs/>
          <w:iCs/>
          <w:highlight w:val="lightGray"/>
          <w:lang w:val="fr-FR"/>
        </w:rPr>
        <w:t>grandissante</w:t>
      </w:r>
      <w:r w:rsidR="00D27CAC">
        <w:rPr>
          <w:rFonts w:asciiTheme="majorBidi" w:hAnsiTheme="majorBidi" w:cstheme="majorBidi"/>
          <w:bCs/>
          <w:iCs/>
          <w:highlight w:val="lightGray"/>
          <w:lang w:val="fr-FR"/>
        </w:rPr>
        <w:t xml:space="preserve"> (</w:t>
      </w:r>
      <w:r w:rsidR="00316730">
        <w:rPr>
          <w:rFonts w:asciiTheme="majorBidi" w:hAnsiTheme="majorBidi" w:cstheme="majorBidi"/>
          <w:bCs/>
          <w:iCs/>
          <w:highlight w:val="lightGray"/>
          <w:lang w:val="fr-FR"/>
        </w:rPr>
        <w:t>second coup d’</w:t>
      </w:r>
      <w:proofErr w:type="spellStart"/>
      <w:r w:rsidR="00316730">
        <w:rPr>
          <w:rFonts w:asciiTheme="majorBidi" w:hAnsiTheme="majorBidi" w:cstheme="majorBidi"/>
          <w:bCs/>
          <w:iCs/>
          <w:highlight w:val="lightGray"/>
          <w:lang w:val="fr-FR"/>
        </w:rPr>
        <w:t>Etat</w:t>
      </w:r>
      <w:proofErr w:type="spellEnd"/>
      <w:r w:rsidR="00316730">
        <w:rPr>
          <w:rFonts w:asciiTheme="majorBidi" w:hAnsiTheme="majorBidi" w:cstheme="majorBidi"/>
          <w:bCs/>
          <w:iCs/>
          <w:highlight w:val="lightGray"/>
          <w:lang w:val="fr-FR"/>
        </w:rPr>
        <w:t xml:space="preserve"> et mise en place d’un nouveau gouvernement</w:t>
      </w:r>
      <w:r w:rsidR="00D27CAC">
        <w:rPr>
          <w:rFonts w:asciiTheme="majorBidi" w:hAnsiTheme="majorBidi" w:cstheme="majorBidi"/>
          <w:bCs/>
          <w:iCs/>
          <w:highlight w:val="lightGray"/>
          <w:lang w:val="fr-FR"/>
        </w:rPr>
        <w:t>), l’</w:t>
      </w:r>
      <w:r w:rsidR="00316730">
        <w:rPr>
          <w:rFonts w:asciiTheme="majorBidi" w:hAnsiTheme="majorBidi" w:cstheme="majorBidi"/>
          <w:bCs/>
          <w:iCs/>
          <w:highlight w:val="lightGray"/>
          <w:lang w:val="fr-FR"/>
        </w:rPr>
        <w:t>in</w:t>
      </w:r>
      <w:r w:rsidR="005C5840" w:rsidRPr="008469C5">
        <w:rPr>
          <w:rFonts w:asciiTheme="majorBidi" w:hAnsiTheme="majorBidi" w:cstheme="majorBidi"/>
          <w:bCs/>
          <w:iCs/>
          <w:highlight w:val="lightGray"/>
          <w:lang w:val="fr-FR"/>
        </w:rPr>
        <w:t>sécurit</w:t>
      </w:r>
      <w:r w:rsidR="00316730">
        <w:rPr>
          <w:rFonts w:asciiTheme="majorBidi" w:hAnsiTheme="majorBidi" w:cstheme="majorBidi"/>
          <w:bCs/>
          <w:iCs/>
          <w:highlight w:val="lightGray"/>
          <w:lang w:val="fr-FR"/>
        </w:rPr>
        <w:t xml:space="preserve">é </w:t>
      </w:r>
      <w:r w:rsidR="00D27CAC">
        <w:rPr>
          <w:rFonts w:asciiTheme="majorBidi" w:hAnsiTheme="majorBidi" w:cstheme="majorBidi"/>
          <w:bCs/>
          <w:iCs/>
          <w:highlight w:val="lightGray"/>
          <w:lang w:val="fr-FR"/>
        </w:rPr>
        <w:t>qui se propage</w:t>
      </w:r>
      <w:r w:rsidR="00316730">
        <w:rPr>
          <w:rFonts w:asciiTheme="majorBidi" w:hAnsiTheme="majorBidi" w:cstheme="majorBidi"/>
          <w:bCs/>
          <w:iCs/>
          <w:highlight w:val="lightGray"/>
          <w:lang w:val="fr-FR"/>
        </w:rPr>
        <w:t xml:space="preserve"> vers </w:t>
      </w:r>
      <w:r w:rsidR="00D27CAC">
        <w:rPr>
          <w:rFonts w:asciiTheme="majorBidi" w:hAnsiTheme="majorBidi" w:cstheme="majorBidi"/>
          <w:bCs/>
          <w:iCs/>
          <w:highlight w:val="lightGray"/>
          <w:lang w:val="fr-FR"/>
        </w:rPr>
        <w:t>le</w:t>
      </w:r>
      <w:r w:rsidR="00316730">
        <w:rPr>
          <w:rFonts w:asciiTheme="majorBidi" w:hAnsiTheme="majorBidi" w:cstheme="majorBidi"/>
          <w:bCs/>
          <w:iCs/>
          <w:highlight w:val="lightGray"/>
          <w:lang w:val="fr-FR"/>
        </w:rPr>
        <w:t xml:space="preserve"> Sud du pay</w:t>
      </w:r>
      <w:r w:rsidR="00D27CAC">
        <w:rPr>
          <w:rFonts w:asciiTheme="majorBidi" w:hAnsiTheme="majorBidi" w:cstheme="majorBidi"/>
          <w:bCs/>
          <w:iCs/>
          <w:highlight w:val="lightGray"/>
          <w:lang w:val="fr-FR"/>
        </w:rPr>
        <w:t>s et</w:t>
      </w:r>
      <w:r w:rsidR="00316730">
        <w:rPr>
          <w:rFonts w:asciiTheme="majorBidi" w:hAnsiTheme="majorBidi" w:cstheme="majorBidi"/>
          <w:bCs/>
          <w:iCs/>
          <w:highlight w:val="lightGray"/>
          <w:lang w:val="fr-FR"/>
        </w:rPr>
        <w:t xml:space="preserve"> par </w:t>
      </w:r>
      <w:r w:rsidRPr="008469C5">
        <w:rPr>
          <w:rFonts w:asciiTheme="majorBidi" w:hAnsiTheme="majorBidi" w:cstheme="majorBidi"/>
          <w:bCs/>
          <w:iCs/>
          <w:highlight w:val="lightGray"/>
          <w:lang w:val="fr-FR"/>
        </w:rPr>
        <w:t xml:space="preserve">la crise sanitaire qui continuent </w:t>
      </w:r>
      <w:r w:rsidR="008469C5">
        <w:rPr>
          <w:rFonts w:asciiTheme="majorBidi" w:hAnsiTheme="majorBidi" w:cstheme="majorBidi"/>
          <w:bCs/>
          <w:iCs/>
          <w:highlight w:val="lightGray"/>
          <w:lang w:val="fr-FR"/>
        </w:rPr>
        <w:t>à</w:t>
      </w:r>
      <w:r w:rsidRPr="008469C5">
        <w:rPr>
          <w:rFonts w:asciiTheme="majorBidi" w:hAnsiTheme="majorBidi" w:cstheme="majorBidi"/>
          <w:bCs/>
          <w:iCs/>
          <w:highlight w:val="lightGray"/>
          <w:lang w:val="fr-FR"/>
        </w:rPr>
        <w:t xml:space="preserve"> avoir un impact </w:t>
      </w:r>
      <w:r w:rsidR="00F43833" w:rsidRPr="008469C5">
        <w:rPr>
          <w:rFonts w:asciiTheme="majorBidi" w:hAnsiTheme="majorBidi" w:cstheme="majorBidi"/>
          <w:bCs/>
          <w:iCs/>
          <w:highlight w:val="lightGray"/>
          <w:lang w:val="fr-FR"/>
        </w:rPr>
        <w:t xml:space="preserve">sur la mise en œuvre </w:t>
      </w:r>
      <w:r w:rsidRPr="008469C5">
        <w:rPr>
          <w:rFonts w:asciiTheme="majorBidi" w:hAnsiTheme="majorBidi" w:cstheme="majorBidi"/>
          <w:bCs/>
          <w:iCs/>
          <w:highlight w:val="lightGray"/>
          <w:lang w:val="fr-FR"/>
        </w:rPr>
        <w:t>de</w:t>
      </w:r>
      <w:r w:rsidR="005D3F75" w:rsidRPr="008469C5">
        <w:rPr>
          <w:rFonts w:asciiTheme="majorBidi" w:hAnsiTheme="majorBidi" w:cstheme="majorBidi"/>
          <w:bCs/>
          <w:iCs/>
          <w:highlight w:val="lightGray"/>
          <w:lang w:val="fr-FR"/>
        </w:rPr>
        <w:t xml:space="preserve"> tous les </w:t>
      </w:r>
      <w:r w:rsidR="005C5840" w:rsidRPr="008469C5">
        <w:rPr>
          <w:rFonts w:asciiTheme="majorBidi" w:hAnsiTheme="majorBidi" w:cstheme="majorBidi"/>
          <w:bCs/>
          <w:iCs/>
          <w:highlight w:val="lightGray"/>
          <w:lang w:val="fr-FR"/>
        </w:rPr>
        <w:t>résultats</w:t>
      </w:r>
      <w:r w:rsidR="00093805" w:rsidRPr="008469C5">
        <w:rPr>
          <w:rFonts w:asciiTheme="majorBidi" w:hAnsiTheme="majorBidi" w:cstheme="majorBidi"/>
          <w:bCs/>
          <w:iCs/>
          <w:highlight w:val="lightGray"/>
          <w:lang w:val="fr-FR"/>
        </w:rPr>
        <w:t xml:space="preserve">. </w:t>
      </w:r>
      <w:r w:rsidR="00F43833" w:rsidRPr="008469C5">
        <w:rPr>
          <w:rFonts w:asciiTheme="majorBidi" w:hAnsiTheme="majorBidi" w:cstheme="majorBidi"/>
          <w:bCs/>
          <w:iCs/>
          <w:highlight w:val="lightGray"/>
          <w:lang w:val="fr-FR"/>
        </w:rPr>
        <w:t xml:space="preserve">Les </w:t>
      </w:r>
      <w:r w:rsidR="005C5840" w:rsidRPr="008469C5">
        <w:rPr>
          <w:rFonts w:asciiTheme="majorBidi" w:hAnsiTheme="majorBidi" w:cstheme="majorBidi"/>
          <w:bCs/>
          <w:iCs/>
          <w:highlight w:val="lightGray"/>
          <w:lang w:val="fr-FR"/>
        </w:rPr>
        <w:t>réalisations</w:t>
      </w:r>
      <w:r w:rsidR="00F43833" w:rsidRPr="008469C5">
        <w:rPr>
          <w:rFonts w:asciiTheme="majorBidi" w:hAnsiTheme="majorBidi" w:cstheme="majorBidi"/>
          <w:bCs/>
          <w:iCs/>
          <w:highlight w:val="lightGray"/>
          <w:lang w:val="fr-FR"/>
        </w:rPr>
        <w:t xml:space="preserve"> du projet accus</w:t>
      </w:r>
      <w:r w:rsidR="00093805" w:rsidRPr="008469C5">
        <w:rPr>
          <w:rFonts w:asciiTheme="majorBidi" w:hAnsiTheme="majorBidi" w:cstheme="majorBidi"/>
          <w:bCs/>
          <w:iCs/>
          <w:highlight w:val="lightGray"/>
          <w:lang w:val="fr-FR"/>
        </w:rPr>
        <w:t>e</w:t>
      </w:r>
      <w:r w:rsidR="00F43833" w:rsidRPr="008469C5">
        <w:rPr>
          <w:rFonts w:asciiTheme="majorBidi" w:hAnsiTheme="majorBidi" w:cstheme="majorBidi"/>
          <w:bCs/>
          <w:iCs/>
          <w:highlight w:val="lightGray"/>
          <w:lang w:val="fr-FR"/>
        </w:rPr>
        <w:t>nt un retard mais les résultats peuvent encore être atteints</w:t>
      </w:r>
      <w:r w:rsidR="004234C7" w:rsidRPr="008469C5">
        <w:rPr>
          <w:rFonts w:asciiTheme="majorBidi" w:hAnsiTheme="majorBidi" w:cstheme="majorBidi"/>
          <w:bCs/>
          <w:iCs/>
          <w:highlight w:val="lightGray"/>
          <w:lang w:val="fr-FR"/>
        </w:rPr>
        <w:t xml:space="preserve">. </w:t>
      </w:r>
    </w:p>
    <w:p w14:paraId="3F3368F7" w14:textId="7072E380" w:rsidR="004234C7" w:rsidRPr="008469C5" w:rsidRDefault="004234C7" w:rsidP="004234C7">
      <w:pPr>
        <w:jc w:val="both"/>
        <w:rPr>
          <w:rFonts w:asciiTheme="majorBidi" w:hAnsiTheme="majorBidi" w:cstheme="majorBidi"/>
          <w:bCs/>
          <w:iCs/>
          <w:highlight w:val="lightGray"/>
          <w:lang w:val="fr-FR"/>
        </w:rPr>
      </w:pPr>
      <w:r w:rsidRPr="008469C5">
        <w:rPr>
          <w:rFonts w:asciiTheme="majorBidi" w:hAnsiTheme="majorBidi" w:cstheme="majorBidi"/>
          <w:bCs/>
          <w:iCs/>
          <w:highlight w:val="lightGray"/>
          <w:lang w:val="fr-FR"/>
        </w:rPr>
        <w:t xml:space="preserve">Malgré </w:t>
      </w:r>
      <w:r w:rsidR="008469C5">
        <w:rPr>
          <w:rFonts w:asciiTheme="majorBidi" w:hAnsiTheme="majorBidi" w:cstheme="majorBidi"/>
          <w:bCs/>
          <w:iCs/>
          <w:highlight w:val="lightGray"/>
          <w:lang w:val="fr-FR"/>
        </w:rPr>
        <w:t>c</w:t>
      </w:r>
      <w:r w:rsidRPr="008469C5">
        <w:rPr>
          <w:rFonts w:asciiTheme="majorBidi" w:hAnsiTheme="majorBidi" w:cstheme="majorBidi"/>
          <w:bCs/>
          <w:iCs/>
          <w:highlight w:val="lightGray"/>
          <w:lang w:val="fr-FR"/>
        </w:rPr>
        <w:t xml:space="preserve">e contexte difficile, </w:t>
      </w:r>
      <w:r w:rsidR="00D27CAC">
        <w:rPr>
          <w:rFonts w:asciiTheme="majorBidi" w:hAnsiTheme="majorBidi" w:cstheme="majorBidi"/>
          <w:bCs/>
          <w:iCs/>
          <w:highlight w:val="lightGray"/>
          <w:lang w:val="fr-FR"/>
        </w:rPr>
        <w:t>l</w:t>
      </w:r>
      <w:r w:rsidRPr="008469C5">
        <w:rPr>
          <w:rFonts w:asciiTheme="majorBidi" w:hAnsiTheme="majorBidi" w:cstheme="majorBidi"/>
          <w:bCs/>
          <w:iCs/>
          <w:highlight w:val="lightGray"/>
          <w:lang w:val="fr-FR"/>
        </w:rPr>
        <w:t xml:space="preserve">es progrès </w:t>
      </w:r>
      <w:r w:rsidR="00D27CAC">
        <w:rPr>
          <w:rFonts w:asciiTheme="majorBidi" w:hAnsiTheme="majorBidi" w:cstheme="majorBidi"/>
          <w:bCs/>
          <w:iCs/>
          <w:highlight w:val="lightGray"/>
          <w:lang w:val="fr-FR"/>
        </w:rPr>
        <w:t xml:space="preserve">suivants </w:t>
      </w:r>
      <w:r w:rsidRPr="008469C5">
        <w:rPr>
          <w:rFonts w:asciiTheme="majorBidi" w:hAnsiTheme="majorBidi" w:cstheme="majorBidi"/>
          <w:bCs/>
          <w:iCs/>
          <w:highlight w:val="lightGray"/>
          <w:lang w:val="fr-FR"/>
        </w:rPr>
        <w:t>ont été réalisés en 2021</w:t>
      </w:r>
      <w:r w:rsidR="00D27CAC">
        <w:rPr>
          <w:rFonts w:asciiTheme="majorBidi" w:hAnsiTheme="majorBidi" w:cstheme="majorBidi"/>
          <w:bCs/>
          <w:iCs/>
          <w:highlight w:val="lightGray"/>
          <w:lang w:val="fr-FR"/>
        </w:rPr>
        <w:t xml:space="preserve"> </w:t>
      </w:r>
      <w:r w:rsidR="00902324" w:rsidRPr="008469C5">
        <w:rPr>
          <w:rFonts w:asciiTheme="majorBidi" w:hAnsiTheme="majorBidi" w:cstheme="majorBidi"/>
          <w:bCs/>
          <w:iCs/>
          <w:highlight w:val="lightGray"/>
          <w:lang w:val="fr-FR"/>
        </w:rPr>
        <w:t>:</w:t>
      </w:r>
    </w:p>
    <w:p w14:paraId="071606CC" w14:textId="273F8F69" w:rsidR="00005635" w:rsidRPr="008469C5" w:rsidRDefault="00005635" w:rsidP="00005635">
      <w:pPr>
        <w:pStyle w:val="Listenabsatz"/>
        <w:numPr>
          <w:ilvl w:val="0"/>
          <w:numId w:val="5"/>
        </w:numPr>
        <w:jc w:val="both"/>
        <w:rPr>
          <w:rFonts w:asciiTheme="majorBidi" w:hAnsiTheme="majorBidi" w:cstheme="majorBidi"/>
          <w:bCs/>
          <w:iCs/>
          <w:highlight w:val="lightGray"/>
          <w:lang w:val="fr-FR"/>
        </w:rPr>
      </w:pPr>
      <w:r w:rsidRPr="008469C5">
        <w:rPr>
          <w:rFonts w:asciiTheme="majorBidi" w:hAnsiTheme="majorBidi" w:cstheme="majorBidi"/>
          <w:bCs/>
          <w:highlight w:val="lightGray"/>
          <w:lang w:val="fr-FR" w:eastAsia="fr-FR"/>
        </w:rPr>
        <w:t xml:space="preserve">Les données du baromètre analysées par les communautés et les acteurs de la </w:t>
      </w:r>
      <w:proofErr w:type="gramStart"/>
      <w:r w:rsidRPr="008469C5">
        <w:rPr>
          <w:rFonts w:asciiTheme="majorBidi" w:hAnsiTheme="majorBidi" w:cstheme="majorBidi"/>
          <w:bCs/>
          <w:highlight w:val="lightGray"/>
          <w:lang w:val="fr-FR" w:eastAsia="fr-FR"/>
        </w:rPr>
        <w:t>justice</w:t>
      </w:r>
      <w:r w:rsidR="005C5840">
        <w:rPr>
          <w:rFonts w:asciiTheme="majorBidi" w:hAnsiTheme="majorBidi" w:cstheme="majorBidi"/>
          <w:bCs/>
          <w:highlight w:val="lightGray"/>
          <w:lang w:val="fr-FR" w:eastAsia="fr-FR"/>
        </w:rPr>
        <w:t>;</w:t>
      </w:r>
      <w:proofErr w:type="gramEnd"/>
      <w:r w:rsidR="005C5840">
        <w:rPr>
          <w:rFonts w:asciiTheme="majorBidi" w:hAnsiTheme="majorBidi" w:cstheme="majorBidi"/>
          <w:bCs/>
          <w:highlight w:val="lightGray"/>
          <w:lang w:val="fr-FR" w:eastAsia="fr-FR"/>
        </w:rPr>
        <w:t xml:space="preserve"> </w:t>
      </w:r>
      <w:r>
        <w:rPr>
          <w:rFonts w:asciiTheme="majorBidi" w:hAnsiTheme="majorBidi" w:cstheme="majorBidi"/>
          <w:bCs/>
          <w:highlight w:val="lightGray"/>
          <w:lang w:val="fr-FR" w:eastAsia="fr-FR"/>
        </w:rPr>
        <w:t>u</w:t>
      </w:r>
      <w:r w:rsidRPr="008469C5">
        <w:rPr>
          <w:rFonts w:asciiTheme="majorBidi" w:hAnsiTheme="majorBidi" w:cstheme="majorBidi"/>
          <w:bCs/>
          <w:highlight w:val="lightGray"/>
          <w:lang w:val="fr-FR" w:eastAsia="fr-FR"/>
        </w:rPr>
        <w:t xml:space="preserve">n atelier de réflexion sur les résultats des différentes analyses </w:t>
      </w:r>
      <w:r>
        <w:rPr>
          <w:rFonts w:asciiTheme="majorBidi" w:hAnsiTheme="majorBidi" w:cstheme="majorBidi"/>
          <w:bCs/>
          <w:highlight w:val="lightGray"/>
          <w:lang w:val="fr-FR" w:eastAsia="fr-FR"/>
        </w:rPr>
        <w:t>organisé</w:t>
      </w:r>
      <w:r w:rsidRPr="008469C5">
        <w:rPr>
          <w:rFonts w:asciiTheme="majorBidi" w:hAnsiTheme="majorBidi" w:cstheme="majorBidi"/>
          <w:highlight w:val="lightGray"/>
          <w:lang w:val="fr-FR"/>
        </w:rPr>
        <w:t>.</w:t>
      </w:r>
    </w:p>
    <w:p w14:paraId="781A5255" w14:textId="219DCBB6" w:rsidR="00611A8E" w:rsidRPr="008469C5" w:rsidRDefault="004234C7" w:rsidP="00F43833">
      <w:pPr>
        <w:pStyle w:val="Listenabsatz"/>
        <w:numPr>
          <w:ilvl w:val="0"/>
          <w:numId w:val="5"/>
        </w:numPr>
        <w:jc w:val="both"/>
        <w:rPr>
          <w:rFonts w:asciiTheme="majorBidi" w:hAnsiTheme="majorBidi" w:cstheme="majorBidi"/>
          <w:bCs/>
          <w:iCs/>
          <w:highlight w:val="lightGray"/>
          <w:lang w:val="fr-FR"/>
        </w:rPr>
      </w:pPr>
      <w:r w:rsidRPr="008469C5">
        <w:rPr>
          <w:rFonts w:asciiTheme="majorBidi" w:hAnsiTheme="majorBidi" w:cstheme="majorBidi"/>
          <w:bCs/>
          <w:iCs/>
          <w:highlight w:val="lightGray"/>
          <w:lang w:val="fr-FR"/>
        </w:rPr>
        <w:t>La compréhension des défis du système judiciaire et des besoins des femmes et des jeunes</w:t>
      </w:r>
      <w:r w:rsidR="00BA41A0" w:rsidRPr="008469C5">
        <w:rPr>
          <w:rFonts w:asciiTheme="majorBidi" w:hAnsiTheme="majorBidi" w:cstheme="majorBidi"/>
          <w:bCs/>
          <w:iCs/>
          <w:highlight w:val="lightGray"/>
          <w:lang w:val="fr-FR"/>
        </w:rPr>
        <w:t xml:space="preserve"> </w:t>
      </w:r>
      <w:r w:rsidRPr="008469C5">
        <w:rPr>
          <w:rFonts w:asciiTheme="majorBidi" w:hAnsiTheme="majorBidi" w:cstheme="majorBidi"/>
          <w:bCs/>
          <w:iCs/>
          <w:highlight w:val="lightGray"/>
          <w:lang w:val="fr-FR"/>
        </w:rPr>
        <w:t xml:space="preserve">assurée à travers l’analyse des informations du baromètre participatif et du dialogue multi-acteurs inclusif </w:t>
      </w:r>
      <w:r w:rsidR="008469C5">
        <w:rPr>
          <w:rFonts w:asciiTheme="majorBidi" w:hAnsiTheme="majorBidi" w:cstheme="majorBidi"/>
          <w:bCs/>
          <w:iCs/>
          <w:highlight w:val="lightGray"/>
          <w:lang w:val="fr-FR"/>
        </w:rPr>
        <w:t>(</w:t>
      </w:r>
      <w:r w:rsidR="00461245" w:rsidRPr="008469C5">
        <w:rPr>
          <w:rFonts w:asciiTheme="majorBidi" w:hAnsiTheme="majorBidi" w:cstheme="majorBidi"/>
          <w:bCs/>
          <w:iCs/>
          <w:highlight w:val="lightGray"/>
          <w:lang w:val="fr-FR"/>
        </w:rPr>
        <w:t>2</w:t>
      </w:r>
      <w:r w:rsidR="00005635">
        <w:rPr>
          <w:rFonts w:asciiTheme="majorBidi" w:hAnsiTheme="majorBidi" w:cstheme="majorBidi"/>
          <w:bCs/>
          <w:iCs/>
          <w:highlight w:val="lightGray"/>
          <w:lang w:val="fr-FR"/>
        </w:rPr>
        <w:t>732</w:t>
      </w:r>
      <w:r w:rsidR="00461245" w:rsidRPr="008469C5">
        <w:rPr>
          <w:rFonts w:asciiTheme="majorBidi" w:hAnsiTheme="majorBidi" w:cstheme="majorBidi"/>
          <w:bCs/>
          <w:iCs/>
          <w:highlight w:val="lightGray"/>
          <w:lang w:val="fr-FR"/>
        </w:rPr>
        <w:t xml:space="preserve"> </w:t>
      </w:r>
      <w:r w:rsidRPr="008469C5">
        <w:rPr>
          <w:rFonts w:asciiTheme="majorBidi" w:hAnsiTheme="majorBidi" w:cstheme="majorBidi"/>
          <w:bCs/>
          <w:iCs/>
          <w:highlight w:val="lightGray"/>
          <w:lang w:val="fr-FR"/>
        </w:rPr>
        <w:t xml:space="preserve">personnes dont </w:t>
      </w:r>
      <w:r w:rsidR="00005635">
        <w:rPr>
          <w:rFonts w:asciiTheme="majorBidi" w:hAnsiTheme="majorBidi" w:cstheme="majorBidi"/>
          <w:bCs/>
          <w:iCs/>
          <w:highlight w:val="lightGray"/>
          <w:lang w:val="fr-FR"/>
        </w:rPr>
        <w:t>48</w:t>
      </w:r>
      <w:r w:rsidR="00461245" w:rsidRPr="008469C5">
        <w:rPr>
          <w:rFonts w:asciiTheme="majorBidi" w:hAnsiTheme="majorBidi" w:cstheme="majorBidi"/>
          <w:bCs/>
          <w:iCs/>
          <w:highlight w:val="lightGray"/>
          <w:lang w:val="fr-FR"/>
        </w:rPr>
        <w:t>%</w:t>
      </w:r>
      <w:r w:rsidRPr="008469C5">
        <w:rPr>
          <w:rFonts w:asciiTheme="majorBidi" w:hAnsiTheme="majorBidi" w:cstheme="majorBidi"/>
          <w:bCs/>
          <w:iCs/>
          <w:highlight w:val="lightGray"/>
          <w:lang w:val="fr-FR"/>
        </w:rPr>
        <w:t xml:space="preserve"> femmes</w:t>
      </w:r>
      <w:r w:rsidR="008469C5">
        <w:rPr>
          <w:rFonts w:asciiTheme="majorBidi" w:hAnsiTheme="majorBidi" w:cstheme="majorBidi"/>
          <w:bCs/>
          <w:iCs/>
          <w:highlight w:val="lightGray"/>
          <w:lang w:val="fr-FR"/>
        </w:rPr>
        <w:t>).</w:t>
      </w:r>
    </w:p>
    <w:p w14:paraId="3717E314" w14:textId="0DE50A90" w:rsidR="00611A8E" w:rsidRPr="005C5840" w:rsidRDefault="00D27CAC" w:rsidP="004234C7">
      <w:pPr>
        <w:pStyle w:val="Listenabsatz"/>
        <w:numPr>
          <w:ilvl w:val="0"/>
          <w:numId w:val="5"/>
        </w:numPr>
        <w:jc w:val="both"/>
        <w:rPr>
          <w:rFonts w:asciiTheme="majorBidi" w:hAnsiTheme="majorBidi" w:cstheme="majorBidi"/>
          <w:bCs/>
          <w:iCs/>
          <w:color w:val="000000" w:themeColor="text1"/>
          <w:highlight w:val="lightGray"/>
          <w:lang w:val="fr-FR"/>
        </w:rPr>
      </w:pPr>
      <w:r>
        <w:rPr>
          <w:rFonts w:asciiTheme="majorBidi" w:hAnsiTheme="majorBidi" w:cstheme="majorBidi"/>
          <w:bCs/>
          <w:iCs/>
          <w:highlight w:val="lightGray"/>
          <w:lang w:val="fr-FR"/>
        </w:rPr>
        <w:t>Les connaissances</w:t>
      </w:r>
      <w:r w:rsidR="004234C7" w:rsidRPr="008469C5">
        <w:rPr>
          <w:rFonts w:asciiTheme="majorBidi" w:hAnsiTheme="majorBidi" w:cstheme="majorBidi"/>
          <w:bCs/>
          <w:iCs/>
          <w:highlight w:val="lightGray"/>
          <w:lang w:val="fr-FR"/>
        </w:rPr>
        <w:t xml:space="preserve"> </w:t>
      </w:r>
      <w:r>
        <w:rPr>
          <w:rFonts w:asciiTheme="majorBidi" w:hAnsiTheme="majorBidi" w:cstheme="majorBidi"/>
          <w:bCs/>
          <w:iCs/>
          <w:color w:val="000000" w:themeColor="text1"/>
          <w:highlight w:val="lightGray"/>
          <w:lang w:val="fr-FR"/>
        </w:rPr>
        <w:t>sur le</w:t>
      </w:r>
      <w:r w:rsidRPr="005C5840">
        <w:rPr>
          <w:rFonts w:asciiTheme="majorBidi" w:hAnsiTheme="majorBidi" w:cstheme="majorBidi"/>
          <w:bCs/>
          <w:iCs/>
          <w:color w:val="000000" w:themeColor="text1"/>
          <w:highlight w:val="lightGray"/>
          <w:lang w:val="fr-FR"/>
        </w:rPr>
        <w:t xml:space="preserve"> genre et </w:t>
      </w:r>
      <w:r>
        <w:rPr>
          <w:rFonts w:asciiTheme="majorBidi" w:hAnsiTheme="majorBidi" w:cstheme="majorBidi"/>
          <w:bCs/>
          <w:iCs/>
          <w:color w:val="000000" w:themeColor="text1"/>
          <w:highlight w:val="lightGray"/>
          <w:lang w:val="fr-FR"/>
        </w:rPr>
        <w:t>l</w:t>
      </w:r>
      <w:r w:rsidRPr="005C5840">
        <w:rPr>
          <w:rFonts w:asciiTheme="majorBidi" w:hAnsiTheme="majorBidi" w:cstheme="majorBidi"/>
          <w:bCs/>
          <w:iCs/>
          <w:color w:val="000000" w:themeColor="text1"/>
          <w:highlight w:val="lightGray"/>
          <w:lang w:val="fr-FR"/>
        </w:rPr>
        <w:t>es droits humains</w:t>
      </w:r>
      <w:r w:rsidRPr="008469C5">
        <w:rPr>
          <w:rFonts w:asciiTheme="majorBidi" w:hAnsiTheme="majorBidi" w:cstheme="majorBidi"/>
          <w:bCs/>
          <w:iCs/>
          <w:highlight w:val="lightGray"/>
          <w:lang w:val="fr-FR"/>
        </w:rPr>
        <w:t xml:space="preserve"> </w:t>
      </w:r>
      <w:r w:rsidR="004234C7" w:rsidRPr="008469C5">
        <w:rPr>
          <w:rFonts w:asciiTheme="majorBidi" w:hAnsiTheme="majorBidi" w:cstheme="majorBidi"/>
          <w:bCs/>
          <w:iCs/>
          <w:highlight w:val="lightGray"/>
          <w:lang w:val="fr-FR"/>
        </w:rPr>
        <w:t>de</w:t>
      </w:r>
      <w:r>
        <w:rPr>
          <w:rFonts w:asciiTheme="majorBidi" w:hAnsiTheme="majorBidi" w:cstheme="majorBidi"/>
          <w:bCs/>
          <w:iCs/>
          <w:highlight w:val="lightGray"/>
          <w:lang w:val="fr-FR"/>
        </w:rPr>
        <w:t>s</w:t>
      </w:r>
      <w:r w:rsidR="004234C7" w:rsidRPr="008469C5">
        <w:rPr>
          <w:rFonts w:asciiTheme="majorBidi" w:hAnsiTheme="majorBidi" w:cstheme="majorBidi"/>
          <w:bCs/>
          <w:iCs/>
          <w:highlight w:val="lightGray"/>
          <w:lang w:val="fr-FR"/>
        </w:rPr>
        <w:t xml:space="preserve"> </w:t>
      </w:r>
      <w:r w:rsidR="00876188" w:rsidRPr="008469C5">
        <w:rPr>
          <w:rFonts w:asciiTheme="majorBidi" w:hAnsiTheme="majorBidi" w:cstheme="majorBidi"/>
          <w:bCs/>
          <w:iCs/>
          <w:highlight w:val="lightGray"/>
          <w:lang w:val="fr-FR"/>
        </w:rPr>
        <w:t>143</w:t>
      </w:r>
      <w:r w:rsidR="004234C7" w:rsidRPr="008469C5">
        <w:rPr>
          <w:rFonts w:asciiTheme="majorBidi" w:hAnsiTheme="majorBidi" w:cstheme="majorBidi"/>
          <w:bCs/>
          <w:iCs/>
          <w:highlight w:val="lightGray"/>
          <w:lang w:val="fr-FR"/>
        </w:rPr>
        <w:t xml:space="preserve"> acteurs de la justice formelle et informelle (dont </w:t>
      </w:r>
      <w:r w:rsidR="00876188" w:rsidRPr="008469C5">
        <w:rPr>
          <w:rFonts w:asciiTheme="majorBidi" w:hAnsiTheme="majorBidi" w:cstheme="majorBidi"/>
          <w:bCs/>
          <w:iCs/>
          <w:highlight w:val="lightGray"/>
          <w:lang w:val="fr-FR"/>
        </w:rPr>
        <w:t>56</w:t>
      </w:r>
      <w:r w:rsidR="004234C7" w:rsidRPr="008469C5">
        <w:rPr>
          <w:rFonts w:asciiTheme="majorBidi" w:hAnsiTheme="majorBidi" w:cstheme="majorBidi"/>
          <w:bCs/>
          <w:iCs/>
          <w:highlight w:val="lightGray"/>
          <w:lang w:val="fr-FR"/>
        </w:rPr>
        <w:t xml:space="preserve"> </w:t>
      </w:r>
      <w:r w:rsidR="004234C7" w:rsidRPr="005C5840">
        <w:rPr>
          <w:rFonts w:asciiTheme="majorBidi" w:hAnsiTheme="majorBidi" w:cstheme="majorBidi"/>
          <w:bCs/>
          <w:iCs/>
          <w:color w:val="000000" w:themeColor="text1"/>
          <w:highlight w:val="lightGray"/>
          <w:lang w:val="fr-FR"/>
        </w:rPr>
        <w:t>femmes) améliorée</w:t>
      </w:r>
      <w:r>
        <w:rPr>
          <w:rFonts w:asciiTheme="majorBidi" w:hAnsiTheme="majorBidi" w:cstheme="majorBidi"/>
          <w:bCs/>
          <w:iCs/>
          <w:color w:val="000000" w:themeColor="text1"/>
          <w:highlight w:val="lightGray"/>
          <w:lang w:val="fr-FR"/>
        </w:rPr>
        <w:t>s</w:t>
      </w:r>
      <w:r w:rsidR="004234C7" w:rsidRPr="005C5840">
        <w:rPr>
          <w:rFonts w:asciiTheme="majorBidi" w:hAnsiTheme="majorBidi" w:cstheme="majorBidi"/>
          <w:bCs/>
          <w:iCs/>
          <w:color w:val="000000" w:themeColor="text1"/>
          <w:highlight w:val="lightGray"/>
          <w:lang w:val="fr-FR"/>
        </w:rPr>
        <w:t>.</w:t>
      </w:r>
    </w:p>
    <w:p w14:paraId="1F7DEFDE" w14:textId="6008D02C" w:rsidR="004F1EC6" w:rsidRPr="005C5840" w:rsidRDefault="004F1EC6" w:rsidP="004234C7">
      <w:pPr>
        <w:pStyle w:val="Listenabsatz"/>
        <w:numPr>
          <w:ilvl w:val="0"/>
          <w:numId w:val="5"/>
        </w:numPr>
        <w:jc w:val="both"/>
        <w:rPr>
          <w:rFonts w:asciiTheme="majorBidi" w:hAnsiTheme="majorBidi" w:cstheme="majorBidi"/>
          <w:bCs/>
          <w:iCs/>
          <w:color w:val="000000" w:themeColor="text1"/>
          <w:highlight w:val="lightGray"/>
          <w:lang w:val="fr-FR"/>
        </w:rPr>
      </w:pPr>
      <w:r w:rsidRPr="005C5840">
        <w:rPr>
          <w:rFonts w:asciiTheme="majorBidi" w:hAnsiTheme="majorBidi" w:cstheme="majorBidi"/>
          <w:bCs/>
          <w:iCs/>
          <w:color w:val="000000" w:themeColor="text1"/>
          <w:highlight w:val="lightGray"/>
          <w:lang w:val="fr-FR"/>
        </w:rPr>
        <w:t xml:space="preserve">7 CCS installés dans les régions </w:t>
      </w:r>
      <w:r w:rsidR="00D7554F" w:rsidRPr="005C5840">
        <w:rPr>
          <w:rFonts w:asciiTheme="majorBidi" w:hAnsiTheme="majorBidi" w:cstheme="majorBidi"/>
          <w:bCs/>
          <w:iCs/>
          <w:color w:val="000000" w:themeColor="text1"/>
          <w:highlight w:val="lightGray"/>
          <w:lang w:val="fr-FR"/>
        </w:rPr>
        <w:t>de Ségou et Mopti</w:t>
      </w:r>
      <w:r w:rsidR="005C5840" w:rsidRPr="005C5840">
        <w:rPr>
          <w:rFonts w:asciiTheme="majorBidi" w:hAnsiTheme="majorBidi" w:cstheme="majorBidi"/>
          <w:bCs/>
          <w:iCs/>
          <w:color w:val="000000" w:themeColor="text1"/>
          <w:highlight w:val="lightGray"/>
          <w:lang w:val="fr-FR"/>
        </w:rPr>
        <w:t xml:space="preserve">, 2 </w:t>
      </w:r>
      <w:r w:rsidRPr="005C5840">
        <w:rPr>
          <w:rFonts w:asciiTheme="majorBidi" w:hAnsiTheme="majorBidi" w:cstheme="majorBidi"/>
          <w:bCs/>
          <w:iCs/>
          <w:color w:val="000000" w:themeColor="text1"/>
          <w:highlight w:val="lightGray"/>
          <w:lang w:val="fr-FR"/>
        </w:rPr>
        <w:t xml:space="preserve">CCS supplémentaires </w:t>
      </w:r>
      <w:r w:rsidR="005C5840" w:rsidRPr="005C5840">
        <w:rPr>
          <w:rFonts w:asciiTheme="majorBidi" w:hAnsiTheme="majorBidi" w:cstheme="majorBidi"/>
          <w:bCs/>
          <w:iCs/>
          <w:color w:val="000000" w:themeColor="text1"/>
          <w:highlight w:val="lightGray"/>
          <w:lang w:val="fr-FR"/>
        </w:rPr>
        <w:t xml:space="preserve">à </w:t>
      </w:r>
      <w:proofErr w:type="spellStart"/>
      <w:r w:rsidRPr="005C5840">
        <w:rPr>
          <w:rFonts w:asciiTheme="majorBidi" w:hAnsiTheme="majorBidi" w:cstheme="majorBidi"/>
          <w:bCs/>
          <w:iCs/>
          <w:color w:val="000000" w:themeColor="text1"/>
          <w:highlight w:val="lightGray"/>
          <w:lang w:val="fr-FR"/>
        </w:rPr>
        <w:t>Femaye</w:t>
      </w:r>
      <w:proofErr w:type="spellEnd"/>
      <w:r w:rsidRPr="005C5840">
        <w:rPr>
          <w:rFonts w:asciiTheme="majorBidi" w:hAnsiTheme="majorBidi" w:cstheme="majorBidi"/>
          <w:bCs/>
          <w:iCs/>
          <w:color w:val="000000" w:themeColor="text1"/>
          <w:highlight w:val="lightGray"/>
          <w:lang w:val="fr-FR"/>
        </w:rPr>
        <w:t xml:space="preserve"> et </w:t>
      </w:r>
      <w:proofErr w:type="spellStart"/>
      <w:r w:rsidRPr="005C5840">
        <w:rPr>
          <w:rFonts w:asciiTheme="majorBidi" w:hAnsiTheme="majorBidi" w:cstheme="majorBidi"/>
          <w:bCs/>
          <w:iCs/>
          <w:color w:val="000000" w:themeColor="text1"/>
          <w:highlight w:val="lightGray"/>
          <w:lang w:val="fr-FR"/>
        </w:rPr>
        <w:t>Yasso</w:t>
      </w:r>
      <w:proofErr w:type="spellEnd"/>
      <w:r w:rsidR="00D27CAC">
        <w:rPr>
          <w:rFonts w:asciiTheme="majorBidi" w:hAnsiTheme="majorBidi" w:cstheme="majorBidi"/>
          <w:bCs/>
          <w:iCs/>
          <w:color w:val="000000" w:themeColor="text1"/>
          <w:highlight w:val="lightGray"/>
          <w:lang w:val="fr-FR"/>
        </w:rPr>
        <w:t>.</w:t>
      </w:r>
    </w:p>
    <w:p w14:paraId="2C70CEAD" w14:textId="1282B4D6" w:rsidR="004F1EC6" w:rsidRPr="005C5840" w:rsidRDefault="00F21E05" w:rsidP="004234C7">
      <w:pPr>
        <w:pStyle w:val="Listenabsatz"/>
        <w:numPr>
          <w:ilvl w:val="0"/>
          <w:numId w:val="5"/>
        </w:numPr>
        <w:jc w:val="both"/>
        <w:rPr>
          <w:rFonts w:asciiTheme="majorBidi" w:hAnsiTheme="majorBidi" w:cstheme="majorBidi"/>
          <w:bCs/>
          <w:iCs/>
          <w:color w:val="000000" w:themeColor="text1"/>
          <w:highlight w:val="lightGray"/>
          <w:lang w:val="fr-FR"/>
        </w:rPr>
      </w:pPr>
      <w:r w:rsidRPr="005C5840">
        <w:rPr>
          <w:rFonts w:asciiTheme="majorBidi" w:hAnsiTheme="majorBidi" w:cstheme="majorBidi"/>
          <w:bCs/>
          <w:iCs/>
          <w:color w:val="000000" w:themeColor="text1"/>
          <w:highlight w:val="lightGray"/>
          <w:lang w:val="fr-FR"/>
        </w:rPr>
        <w:t>Une centaine de</w:t>
      </w:r>
      <w:r w:rsidR="000E521F" w:rsidRPr="005C5840">
        <w:rPr>
          <w:rFonts w:asciiTheme="majorBidi" w:hAnsiTheme="majorBidi" w:cstheme="majorBidi"/>
          <w:bCs/>
          <w:iCs/>
          <w:color w:val="000000" w:themeColor="text1"/>
          <w:highlight w:val="lightGray"/>
          <w:lang w:val="fr-FR"/>
        </w:rPr>
        <w:t xml:space="preserve"> </w:t>
      </w:r>
      <w:proofErr w:type="spellStart"/>
      <w:r w:rsidR="004F1EC6" w:rsidRPr="005C5840">
        <w:rPr>
          <w:rFonts w:asciiTheme="majorBidi" w:hAnsiTheme="majorBidi" w:cstheme="majorBidi"/>
          <w:bCs/>
          <w:iCs/>
          <w:color w:val="000000" w:themeColor="text1"/>
          <w:highlight w:val="lightGray"/>
          <w:lang w:val="fr-FR"/>
        </w:rPr>
        <w:t>COFOs</w:t>
      </w:r>
      <w:proofErr w:type="spellEnd"/>
      <w:r w:rsidR="004F1EC6" w:rsidRPr="005C5840">
        <w:rPr>
          <w:rFonts w:asciiTheme="majorBidi" w:hAnsiTheme="majorBidi" w:cstheme="majorBidi"/>
          <w:bCs/>
          <w:iCs/>
          <w:color w:val="000000" w:themeColor="text1"/>
          <w:highlight w:val="lightGray"/>
          <w:lang w:val="fr-FR"/>
        </w:rPr>
        <w:t xml:space="preserve"> </w:t>
      </w:r>
      <w:r w:rsidR="000E521F" w:rsidRPr="005C5840">
        <w:rPr>
          <w:rFonts w:asciiTheme="majorBidi" w:hAnsiTheme="majorBidi" w:cstheme="majorBidi"/>
          <w:bCs/>
          <w:iCs/>
          <w:color w:val="000000" w:themeColor="text1"/>
          <w:highlight w:val="lightGray"/>
          <w:lang w:val="fr-FR"/>
        </w:rPr>
        <w:t xml:space="preserve">communales </w:t>
      </w:r>
      <w:r w:rsidR="004F1EC6" w:rsidRPr="005C5840">
        <w:rPr>
          <w:rFonts w:asciiTheme="majorBidi" w:hAnsiTheme="majorBidi" w:cstheme="majorBidi"/>
          <w:bCs/>
          <w:iCs/>
          <w:color w:val="000000" w:themeColor="text1"/>
          <w:highlight w:val="lightGray"/>
          <w:lang w:val="fr-FR"/>
        </w:rPr>
        <w:t>redynamisées</w:t>
      </w:r>
      <w:r w:rsidR="005C5840" w:rsidRPr="005C5840">
        <w:rPr>
          <w:rFonts w:asciiTheme="majorBidi" w:hAnsiTheme="majorBidi" w:cstheme="majorBidi"/>
          <w:bCs/>
          <w:iCs/>
          <w:color w:val="000000" w:themeColor="text1"/>
          <w:highlight w:val="lightGray"/>
          <w:lang w:val="fr-FR"/>
        </w:rPr>
        <w:t>.</w:t>
      </w:r>
      <w:r w:rsidR="004F1EC6" w:rsidRPr="005C5840">
        <w:rPr>
          <w:rFonts w:asciiTheme="majorBidi" w:hAnsiTheme="majorBidi" w:cstheme="majorBidi"/>
          <w:bCs/>
          <w:iCs/>
          <w:color w:val="000000" w:themeColor="text1"/>
          <w:highlight w:val="lightGray"/>
          <w:lang w:val="fr-FR"/>
        </w:rPr>
        <w:t xml:space="preserve"> </w:t>
      </w:r>
    </w:p>
    <w:p w14:paraId="0F327834" w14:textId="4EEE5ECB" w:rsidR="004234C7" w:rsidRPr="008469C5" w:rsidRDefault="004234C7" w:rsidP="004234C7">
      <w:pPr>
        <w:pStyle w:val="Listenabsatz"/>
        <w:numPr>
          <w:ilvl w:val="0"/>
          <w:numId w:val="5"/>
        </w:numPr>
        <w:jc w:val="both"/>
        <w:rPr>
          <w:rFonts w:asciiTheme="majorBidi" w:hAnsiTheme="majorBidi" w:cstheme="majorBidi"/>
          <w:bCs/>
          <w:iCs/>
          <w:highlight w:val="lightGray"/>
          <w:lang w:val="fr-FR"/>
        </w:rPr>
      </w:pPr>
      <w:r w:rsidRPr="008469C5">
        <w:rPr>
          <w:rFonts w:asciiTheme="majorBidi" w:hAnsiTheme="majorBidi" w:cstheme="majorBidi"/>
          <w:bCs/>
          <w:iCs/>
          <w:highlight w:val="lightGray"/>
          <w:lang w:val="fr-FR"/>
        </w:rPr>
        <w:t xml:space="preserve">La confiance entre les membres de 100 </w:t>
      </w:r>
      <w:r w:rsidR="00497BA3" w:rsidRPr="008469C5">
        <w:rPr>
          <w:rFonts w:asciiTheme="majorBidi" w:hAnsiTheme="majorBidi" w:cstheme="majorBidi"/>
          <w:highlight w:val="lightGray"/>
          <w:lang w:val="fr-FR"/>
        </w:rPr>
        <w:t xml:space="preserve">Commissions </w:t>
      </w:r>
      <w:r w:rsidR="00F27482" w:rsidRPr="008469C5">
        <w:rPr>
          <w:rFonts w:asciiTheme="majorBidi" w:hAnsiTheme="majorBidi" w:cstheme="majorBidi"/>
          <w:highlight w:val="lightGray"/>
          <w:lang w:val="fr-FR"/>
        </w:rPr>
        <w:t>F</w:t>
      </w:r>
      <w:r w:rsidR="00497BA3" w:rsidRPr="008469C5">
        <w:rPr>
          <w:rFonts w:asciiTheme="majorBidi" w:hAnsiTheme="majorBidi" w:cstheme="majorBidi"/>
          <w:highlight w:val="lightGray"/>
          <w:lang w:val="fr-FR"/>
        </w:rPr>
        <w:t>oncières</w:t>
      </w:r>
      <w:r w:rsidR="009A3BC9">
        <w:rPr>
          <w:rFonts w:asciiTheme="majorBidi" w:hAnsiTheme="majorBidi" w:cstheme="majorBidi"/>
          <w:highlight w:val="lightGray"/>
          <w:lang w:val="fr-FR"/>
        </w:rPr>
        <w:t xml:space="preserve"> </w:t>
      </w:r>
      <w:r w:rsidRPr="008469C5">
        <w:rPr>
          <w:rFonts w:asciiTheme="majorBidi" w:hAnsiTheme="majorBidi" w:cstheme="majorBidi"/>
          <w:bCs/>
          <w:iCs/>
          <w:highlight w:val="lightGray"/>
          <w:lang w:val="fr-FR"/>
        </w:rPr>
        <w:t>et les 7</w:t>
      </w:r>
      <w:r w:rsidR="00CD639F">
        <w:rPr>
          <w:rFonts w:asciiTheme="majorBidi" w:hAnsiTheme="majorBidi" w:cstheme="majorBidi"/>
          <w:bCs/>
          <w:iCs/>
          <w:highlight w:val="lightGray"/>
          <w:lang w:val="fr-FR"/>
        </w:rPr>
        <w:t xml:space="preserve"> </w:t>
      </w:r>
      <w:r w:rsidRPr="008469C5">
        <w:rPr>
          <w:rFonts w:asciiTheme="majorBidi" w:hAnsiTheme="majorBidi" w:cstheme="majorBidi"/>
          <w:bCs/>
          <w:iCs/>
          <w:highlight w:val="lightGray"/>
          <w:lang w:val="fr-FR"/>
        </w:rPr>
        <w:t>juridictions ciblées</w:t>
      </w:r>
      <w:r w:rsidR="00D27CAC" w:rsidRPr="00D27CAC">
        <w:rPr>
          <w:rFonts w:asciiTheme="majorBidi" w:hAnsiTheme="majorBidi" w:cstheme="majorBidi"/>
          <w:highlight w:val="lightGray"/>
          <w:lang w:val="fr-FR"/>
        </w:rPr>
        <w:t xml:space="preserve"> </w:t>
      </w:r>
      <w:r w:rsidR="00D27CAC">
        <w:rPr>
          <w:rFonts w:asciiTheme="majorBidi" w:hAnsiTheme="majorBidi" w:cstheme="majorBidi"/>
          <w:highlight w:val="lightGray"/>
          <w:lang w:val="fr-FR"/>
        </w:rPr>
        <w:t>redynamisée</w:t>
      </w:r>
      <w:r w:rsidRPr="008469C5">
        <w:rPr>
          <w:rFonts w:asciiTheme="majorBidi" w:hAnsiTheme="majorBidi" w:cstheme="majorBidi"/>
          <w:bCs/>
          <w:iCs/>
          <w:highlight w:val="lightGray"/>
          <w:lang w:val="fr-FR"/>
        </w:rPr>
        <w:t>.</w:t>
      </w:r>
    </w:p>
    <w:p w14:paraId="0CB43567" w14:textId="3FFD720E" w:rsidR="0010677B" w:rsidRPr="008469C5" w:rsidRDefault="00D27CAC" w:rsidP="004234C7">
      <w:pPr>
        <w:pStyle w:val="Listenabsatz"/>
        <w:numPr>
          <w:ilvl w:val="0"/>
          <w:numId w:val="5"/>
        </w:numPr>
        <w:jc w:val="both"/>
        <w:rPr>
          <w:rFonts w:asciiTheme="majorBidi" w:hAnsiTheme="majorBidi" w:cstheme="majorBidi"/>
          <w:bCs/>
          <w:iCs/>
          <w:color w:val="000000" w:themeColor="text1"/>
          <w:highlight w:val="lightGray"/>
          <w:lang w:val="fr-FR"/>
        </w:rPr>
      </w:pPr>
      <w:r>
        <w:rPr>
          <w:rFonts w:asciiTheme="majorBidi" w:hAnsiTheme="majorBidi" w:cstheme="majorBidi"/>
          <w:color w:val="000000" w:themeColor="text1"/>
          <w:highlight w:val="lightGray"/>
          <w:shd w:val="clear" w:color="auto" w:fill="D3D3D3"/>
          <w:lang w:val="fr-FR"/>
        </w:rPr>
        <w:t>L</w:t>
      </w:r>
      <w:r w:rsidR="0010677B" w:rsidRPr="008469C5">
        <w:rPr>
          <w:rFonts w:asciiTheme="majorBidi" w:hAnsiTheme="majorBidi" w:cstheme="majorBidi"/>
          <w:color w:val="000000" w:themeColor="text1"/>
          <w:highlight w:val="lightGray"/>
          <w:shd w:val="clear" w:color="auto" w:fill="D3D3D3"/>
          <w:lang w:val="fr-FR"/>
        </w:rPr>
        <w:t xml:space="preserve">es besoins des commissariats et </w:t>
      </w:r>
      <w:r w:rsidR="00093805" w:rsidRPr="008469C5">
        <w:rPr>
          <w:rFonts w:asciiTheme="majorBidi" w:hAnsiTheme="majorBidi" w:cstheme="majorBidi"/>
          <w:color w:val="000000" w:themeColor="text1"/>
          <w:highlight w:val="lightGray"/>
          <w:shd w:val="clear" w:color="auto" w:fill="D3D3D3"/>
          <w:lang w:val="fr-FR"/>
        </w:rPr>
        <w:t>brigades territoriales</w:t>
      </w:r>
      <w:r>
        <w:rPr>
          <w:rFonts w:asciiTheme="majorBidi" w:hAnsiTheme="majorBidi" w:cstheme="majorBidi"/>
          <w:color w:val="000000" w:themeColor="text1"/>
          <w:highlight w:val="lightGray"/>
          <w:shd w:val="clear" w:color="auto" w:fill="D3D3D3"/>
          <w:lang w:val="fr-FR"/>
        </w:rPr>
        <w:t xml:space="preserve"> identifiés par des études</w:t>
      </w:r>
      <w:r w:rsidR="005C5840">
        <w:rPr>
          <w:rFonts w:asciiTheme="majorBidi" w:hAnsiTheme="majorBidi" w:cstheme="majorBidi"/>
          <w:color w:val="000000" w:themeColor="text1"/>
          <w:highlight w:val="lightGray"/>
          <w:shd w:val="clear" w:color="auto" w:fill="D3D3D3"/>
          <w:lang w:val="fr-FR"/>
        </w:rPr>
        <w:t> ; un</w:t>
      </w:r>
      <w:r w:rsidR="0010677B" w:rsidRPr="008469C5">
        <w:rPr>
          <w:rFonts w:asciiTheme="majorBidi" w:hAnsiTheme="majorBidi" w:cstheme="majorBidi"/>
          <w:color w:val="000000" w:themeColor="text1"/>
          <w:highlight w:val="lightGray"/>
          <w:shd w:val="clear" w:color="auto" w:fill="D3D3D3"/>
          <w:lang w:val="fr-FR"/>
        </w:rPr>
        <w:t xml:space="preserve"> appui</w:t>
      </w:r>
      <w:r w:rsidR="00C201A4" w:rsidRPr="008469C5">
        <w:rPr>
          <w:rFonts w:asciiTheme="majorBidi" w:hAnsiTheme="majorBidi" w:cstheme="majorBidi"/>
          <w:color w:val="000000" w:themeColor="text1"/>
          <w:highlight w:val="lightGray"/>
          <w:shd w:val="clear" w:color="auto" w:fill="D3D3D3"/>
          <w:lang w:val="fr-FR"/>
        </w:rPr>
        <w:t xml:space="preserve"> technique fourni </w:t>
      </w:r>
      <w:r w:rsidR="0010677B" w:rsidRPr="008469C5">
        <w:rPr>
          <w:rFonts w:asciiTheme="majorBidi" w:hAnsiTheme="majorBidi" w:cstheme="majorBidi"/>
          <w:color w:val="000000" w:themeColor="text1"/>
          <w:highlight w:val="lightGray"/>
          <w:shd w:val="clear" w:color="auto" w:fill="D3D3D3"/>
          <w:lang w:val="fr-FR"/>
        </w:rPr>
        <w:t>à la Direction Nationale de Justice militaire pour la relecture du Code de Justice militaire du Mali.</w:t>
      </w:r>
    </w:p>
    <w:p w14:paraId="07DD35F7" w14:textId="38765262" w:rsidR="00611A8E" w:rsidRPr="008469C5" w:rsidRDefault="00611A8E" w:rsidP="004234C7">
      <w:pPr>
        <w:pStyle w:val="Listenabsatz"/>
        <w:numPr>
          <w:ilvl w:val="0"/>
          <w:numId w:val="5"/>
        </w:numPr>
        <w:jc w:val="both"/>
        <w:rPr>
          <w:rFonts w:asciiTheme="majorBidi" w:hAnsiTheme="majorBidi" w:cstheme="majorBidi"/>
          <w:bCs/>
          <w:iCs/>
          <w:highlight w:val="lightGray"/>
          <w:lang w:val="fr-FR"/>
        </w:rPr>
      </w:pPr>
      <w:r w:rsidRPr="008469C5">
        <w:rPr>
          <w:rFonts w:asciiTheme="majorBidi" w:hAnsiTheme="majorBidi" w:cstheme="majorBidi"/>
          <w:bCs/>
          <w:iCs/>
          <w:highlight w:val="lightGray"/>
          <w:lang w:val="fr-FR"/>
        </w:rPr>
        <w:t>Un comité d’avocats experts constitué au sein du Barreau pour l’assistance juridique aux victimes des violations des droits de l’homme.</w:t>
      </w:r>
    </w:p>
    <w:p w14:paraId="0DC3A972" w14:textId="672C84E8" w:rsidR="00611A8E" w:rsidRPr="008469C5" w:rsidRDefault="00611A8E" w:rsidP="004234C7">
      <w:pPr>
        <w:pStyle w:val="Listenabsatz"/>
        <w:numPr>
          <w:ilvl w:val="0"/>
          <w:numId w:val="5"/>
        </w:numPr>
        <w:jc w:val="both"/>
        <w:rPr>
          <w:rFonts w:asciiTheme="majorBidi" w:hAnsiTheme="majorBidi" w:cstheme="majorBidi"/>
          <w:bCs/>
          <w:iCs/>
          <w:highlight w:val="lightGray"/>
          <w:lang w:val="fr-FR"/>
        </w:rPr>
      </w:pPr>
      <w:r w:rsidRPr="008469C5">
        <w:rPr>
          <w:rFonts w:asciiTheme="majorBidi" w:hAnsiTheme="majorBidi" w:cstheme="majorBidi"/>
          <w:bCs/>
          <w:iCs/>
          <w:highlight w:val="lightGray"/>
          <w:lang w:val="fr-FR"/>
        </w:rPr>
        <w:t xml:space="preserve">Des cadres de concertation entre les acteurs de la justice, la sécurité et la </w:t>
      </w:r>
      <w:r w:rsidR="005C5840" w:rsidRPr="008469C5">
        <w:rPr>
          <w:rFonts w:asciiTheme="majorBidi" w:hAnsiTheme="majorBidi" w:cstheme="majorBidi"/>
          <w:bCs/>
          <w:iCs/>
          <w:highlight w:val="lightGray"/>
          <w:lang w:val="fr-FR"/>
        </w:rPr>
        <w:t>société</w:t>
      </w:r>
      <w:r w:rsidRPr="008469C5">
        <w:rPr>
          <w:rFonts w:asciiTheme="majorBidi" w:hAnsiTheme="majorBidi" w:cstheme="majorBidi"/>
          <w:bCs/>
          <w:iCs/>
          <w:highlight w:val="lightGray"/>
          <w:lang w:val="fr-FR"/>
        </w:rPr>
        <w:t xml:space="preserve"> civile lancés à Mopti et à Ségou.</w:t>
      </w:r>
    </w:p>
    <w:p w14:paraId="0E800B72" w14:textId="790D54AE" w:rsidR="00611A8E" w:rsidRPr="008469C5" w:rsidRDefault="00611A8E" w:rsidP="00F43833">
      <w:pPr>
        <w:pStyle w:val="Listenabsatz"/>
        <w:numPr>
          <w:ilvl w:val="0"/>
          <w:numId w:val="5"/>
        </w:numPr>
        <w:jc w:val="both"/>
        <w:rPr>
          <w:rFonts w:asciiTheme="majorBidi" w:hAnsiTheme="majorBidi" w:cstheme="majorBidi"/>
          <w:bCs/>
          <w:iCs/>
          <w:highlight w:val="lightGray"/>
          <w:lang w:val="fr-FR"/>
        </w:rPr>
      </w:pPr>
      <w:r w:rsidRPr="008469C5">
        <w:rPr>
          <w:rFonts w:asciiTheme="majorBidi" w:hAnsiTheme="majorBidi" w:cstheme="majorBidi"/>
          <w:bCs/>
          <w:iCs/>
          <w:highlight w:val="lightGray"/>
          <w:lang w:val="fr-FR"/>
        </w:rPr>
        <w:t>La CNDH doté</w:t>
      </w:r>
      <w:r w:rsidR="00D27CAC">
        <w:rPr>
          <w:rFonts w:asciiTheme="majorBidi" w:hAnsiTheme="majorBidi" w:cstheme="majorBidi"/>
          <w:bCs/>
          <w:iCs/>
          <w:highlight w:val="lightGray"/>
          <w:lang w:val="fr-FR"/>
        </w:rPr>
        <w:t>s</w:t>
      </w:r>
      <w:r w:rsidRPr="008469C5">
        <w:rPr>
          <w:rFonts w:asciiTheme="majorBidi" w:hAnsiTheme="majorBidi" w:cstheme="majorBidi"/>
          <w:bCs/>
          <w:iCs/>
          <w:highlight w:val="lightGray"/>
          <w:lang w:val="fr-FR"/>
        </w:rPr>
        <w:t xml:space="preserve"> d’un outil informatique de recueil des plaintes.</w:t>
      </w:r>
    </w:p>
    <w:p w14:paraId="24E7955E" w14:textId="4AE1FE25" w:rsidR="00517E71" w:rsidRPr="008469C5" w:rsidRDefault="00517E71" w:rsidP="004234C7">
      <w:pPr>
        <w:jc w:val="both"/>
        <w:rPr>
          <w:bCs/>
          <w:iCs/>
          <w:color w:val="000000" w:themeColor="text1"/>
          <w:sz w:val="22"/>
          <w:szCs w:val="22"/>
          <w:lang w:val="fr-FR"/>
        </w:rPr>
      </w:pPr>
    </w:p>
    <w:bookmarkEnd w:id="3"/>
    <w:bookmarkEnd w:id="4"/>
    <w:p w14:paraId="245F8D83" w14:textId="77777777" w:rsidR="004421D2" w:rsidRPr="00ED6B34" w:rsidRDefault="004421D2" w:rsidP="004421D2">
      <w:pPr>
        <w:ind w:left="-810"/>
        <w:rPr>
          <w:lang w:val="fr-FR"/>
        </w:rPr>
      </w:pPr>
    </w:p>
    <w:bookmarkEnd w:id="5"/>
    <w:p w14:paraId="00C4A4B3" w14:textId="3C2AC5D0" w:rsidR="00161D02" w:rsidRPr="00ED6B34" w:rsidRDefault="00F778A1" w:rsidP="004421D2">
      <w:pPr>
        <w:ind w:left="-810"/>
        <w:jc w:val="both"/>
        <w:rPr>
          <w:b/>
          <w:bCs/>
          <w:i/>
          <w:iCs/>
          <w:lang w:val="fr-FR"/>
        </w:rPr>
      </w:pPr>
      <w:r w:rsidRPr="00ED6B34">
        <w:rPr>
          <w:b/>
          <w:bCs/>
          <w:i/>
          <w:iCs/>
          <w:lang w:val="fr-FR" w:eastAsia="en-US"/>
        </w:rPr>
        <w:t xml:space="preserve">Veuillez indiquer tout événement important lié au projet prévu au cours des six prochains mois, par exemple : les dialogues nationaux, les congrès des jeunes, les projections de films </w:t>
      </w:r>
      <w:r w:rsidR="00161D02" w:rsidRPr="00ED6B34">
        <w:rPr>
          <w:b/>
          <w:bCs/>
          <w:i/>
          <w:iCs/>
          <w:lang w:val="fr-FR"/>
        </w:rPr>
        <w:t>(</w:t>
      </w:r>
      <w:r w:rsidRPr="00ED6B34">
        <w:rPr>
          <w:b/>
          <w:bCs/>
          <w:i/>
          <w:iCs/>
          <w:lang w:val="fr-FR"/>
        </w:rPr>
        <w:t>limite de 1000 caractères</w:t>
      </w:r>
      <w:proofErr w:type="gramStart"/>
      <w:r w:rsidR="00161D02" w:rsidRPr="00ED6B34">
        <w:rPr>
          <w:b/>
          <w:bCs/>
          <w:i/>
          <w:iCs/>
          <w:lang w:val="fr-FR"/>
        </w:rPr>
        <w:t>):</w:t>
      </w:r>
      <w:proofErr w:type="gramEnd"/>
    </w:p>
    <w:p w14:paraId="388EDD37" w14:textId="77777777" w:rsidR="00F43833" w:rsidRPr="00DB42BE" w:rsidRDefault="00F43833" w:rsidP="00DB42BE">
      <w:pPr>
        <w:rPr>
          <w:bCs/>
          <w:iCs/>
          <w:sz w:val="22"/>
          <w:szCs w:val="22"/>
          <w:highlight w:val="lightGray"/>
          <w:lang w:val="fr-FR"/>
        </w:rPr>
      </w:pPr>
      <w:bookmarkStart w:id="6" w:name="_Hlk85096716"/>
    </w:p>
    <w:p w14:paraId="5BC9634A" w14:textId="092466AF" w:rsidR="00F43833" w:rsidRPr="00316730" w:rsidRDefault="00F43833" w:rsidP="00F43833">
      <w:pPr>
        <w:pStyle w:val="Listenabsatz"/>
        <w:numPr>
          <w:ilvl w:val="0"/>
          <w:numId w:val="1"/>
        </w:numPr>
        <w:rPr>
          <w:bCs/>
          <w:iCs/>
          <w:highlight w:val="lightGray"/>
          <w:lang w:val="fr-FR"/>
        </w:rPr>
      </w:pPr>
      <w:r w:rsidRPr="00316730">
        <w:rPr>
          <w:highlight w:val="lightGray"/>
          <w:lang w:val="fr-FR"/>
        </w:rPr>
        <w:lastRenderedPageBreak/>
        <w:t>Des ateliers de restitutions et de validation des données de la phase de dialogue</w:t>
      </w:r>
      <w:r w:rsidR="00093805" w:rsidRPr="00316730">
        <w:rPr>
          <w:highlight w:val="lightGray"/>
          <w:lang w:val="fr-FR"/>
        </w:rPr>
        <w:t xml:space="preserve"> </w:t>
      </w:r>
      <w:proofErr w:type="spellStart"/>
      <w:r w:rsidR="00093805" w:rsidRPr="00316730">
        <w:rPr>
          <w:highlight w:val="lightGray"/>
          <w:lang w:val="fr-FR"/>
        </w:rPr>
        <w:t>multiacteurs</w:t>
      </w:r>
      <w:proofErr w:type="spellEnd"/>
      <w:r w:rsidR="00005635" w:rsidRPr="00316730">
        <w:rPr>
          <w:highlight w:val="lightGray"/>
          <w:lang w:val="fr-FR"/>
        </w:rPr>
        <w:t>.</w:t>
      </w:r>
    </w:p>
    <w:p w14:paraId="1A672111" w14:textId="1EE5960F" w:rsidR="004234C7" w:rsidRPr="003047ED" w:rsidRDefault="004234C7" w:rsidP="004234C7">
      <w:pPr>
        <w:pStyle w:val="Listenabsatz"/>
        <w:numPr>
          <w:ilvl w:val="0"/>
          <w:numId w:val="1"/>
        </w:numPr>
        <w:rPr>
          <w:bCs/>
          <w:iCs/>
          <w:highlight w:val="lightGray"/>
          <w:lang w:val="fr-FR"/>
        </w:rPr>
      </w:pPr>
      <w:r w:rsidRPr="003047ED">
        <w:rPr>
          <w:bCs/>
          <w:iCs/>
          <w:highlight w:val="lightGray"/>
          <w:lang w:val="fr-FR"/>
        </w:rPr>
        <w:t xml:space="preserve">L’appui à la mise en </w:t>
      </w:r>
      <w:r w:rsidR="00D27CAC" w:rsidRPr="003047ED">
        <w:rPr>
          <w:bCs/>
          <w:iCs/>
          <w:highlight w:val="lightGray"/>
          <w:lang w:val="fr-FR"/>
        </w:rPr>
        <w:t>œuvre</w:t>
      </w:r>
      <w:r w:rsidRPr="003047ED">
        <w:rPr>
          <w:bCs/>
          <w:iCs/>
          <w:highlight w:val="lightGray"/>
          <w:lang w:val="fr-FR"/>
        </w:rPr>
        <w:t xml:space="preserve"> des initiatives impliquant les femmes </w:t>
      </w:r>
      <w:proofErr w:type="gramStart"/>
      <w:r w:rsidRPr="003047ED">
        <w:rPr>
          <w:bCs/>
          <w:iCs/>
          <w:highlight w:val="lightGray"/>
          <w:lang w:val="fr-FR"/>
        </w:rPr>
        <w:t>suite au</w:t>
      </w:r>
      <w:proofErr w:type="gramEnd"/>
      <w:r w:rsidRPr="003047ED">
        <w:rPr>
          <w:bCs/>
          <w:iCs/>
          <w:highlight w:val="lightGray"/>
          <w:lang w:val="fr-FR"/>
        </w:rPr>
        <w:t xml:space="preserve"> </w:t>
      </w:r>
      <w:r w:rsidR="00005635" w:rsidRPr="00316730">
        <w:rPr>
          <w:highlight w:val="lightGray"/>
          <w:lang w:val="fr-FR"/>
        </w:rPr>
        <w:t xml:space="preserve">dialogue </w:t>
      </w:r>
      <w:proofErr w:type="spellStart"/>
      <w:r w:rsidR="00005635" w:rsidRPr="00316730">
        <w:rPr>
          <w:highlight w:val="lightGray"/>
          <w:lang w:val="fr-FR"/>
        </w:rPr>
        <w:t>multiacteurs</w:t>
      </w:r>
      <w:proofErr w:type="spellEnd"/>
      <w:r w:rsidRPr="003047ED">
        <w:rPr>
          <w:bCs/>
          <w:iCs/>
          <w:highlight w:val="lightGray"/>
          <w:lang w:val="fr-FR"/>
        </w:rPr>
        <w:t>.</w:t>
      </w:r>
    </w:p>
    <w:p w14:paraId="168200D4" w14:textId="77777777" w:rsidR="00093805" w:rsidRPr="003047ED" w:rsidRDefault="00093805" w:rsidP="00093805">
      <w:pPr>
        <w:pStyle w:val="Listenabsatz"/>
        <w:numPr>
          <w:ilvl w:val="0"/>
          <w:numId w:val="1"/>
        </w:numPr>
        <w:rPr>
          <w:bCs/>
          <w:iCs/>
          <w:highlight w:val="lightGray"/>
          <w:lang w:val="fr-FR"/>
        </w:rPr>
      </w:pPr>
      <w:r w:rsidRPr="00316730">
        <w:rPr>
          <w:bCs/>
          <w:iCs/>
          <w:highlight w:val="lightGray"/>
          <w:lang w:val="fr-FR"/>
        </w:rPr>
        <w:t xml:space="preserve">Le démarrage de la consultation sur l’analyse de la prise en compte </w:t>
      </w:r>
      <w:r w:rsidRPr="00316730">
        <w:rPr>
          <w:highlight w:val="lightGray"/>
          <w:lang w:val="fr-FR"/>
        </w:rPr>
        <w:t>du genre</w:t>
      </w:r>
      <w:r w:rsidRPr="00316730">
        <w:rPr>
          <w:bCs/>
          <w:iCs/>
          <w:highlight w:val="lightGray"/>
          <w:lang w:val="fr-FR"/>
        </w:rPr>
        <w:t xml:space="preserve"> et des droits humains.</w:t>
      </w:r>
    </w:p>
    <w:p w14:paraId="016C51DC" w14:textId="6967CF2E" w:rsidR="004234C7" w:rsidRPr="003047ED" w:rsidRDefault="004234C7" w:rsidP="004234C7">
      <w:pPr>
        <w:pStyle w:val="Listenabsatz"/>
        <w:numPr>
          <w:ilvl w:val="0"/>
          <w:numId w:val="1"/>
        </w:numPr>
        <w:rPr>
          <w:bCs/>
          <w:iCs/>
          <w:highlight w:val="lightGray"/>
          <w:lang w:val="fr-FR"/>
        </w:rPr>
      </w:pPr>
      <w:r w:rsidRPr="003047ED">
        <w:rPr>
          <w:bCs/>
          <w:iCs/>
          <w:highlight w:val="lightGray"/>
          <w:lang w:val="fr-FR"/>
        </w:rPr>
        <w:t>La finalisation des études situationnelles locales sur les cas des conflits intercommunautaires.</w:t>
      </w:r>
    </w:p>
    <w:p w14:paraId="555E5D15" w14:textId="78771CA1" w:rsidR="00F43833" w:rsidRPr="00316730" w:rsidRDefault="004234C7" w:rsidP="00F43833">
      <w:pPr>
        <w:pStyle w:val="Listenabsatz"/>
        <w:numPr>
          <w:ilvl w:val="0"/>
          <w:numId w:val="1"/>
        </w:numPr>
        <w:rPr>
          <w:bCs/>
          <w:iCs/>
          <w:highlight w:val="lightGray"/>
          <w:lang w:val="fr-FR"/>
        </w:rPr>
      </w:pPr>
      <w:r w:rsidRPr="00316730">
        <w:rPr>
          <w:bCs/>
          <w:iCs/>
          <w:highlight w:val="lightGray"/>
          <w:lang w:val="fr-FR"/>
        </w:rPr>
        <w:t>L’appui aux organes de redevabilité internes et aux points focaux genre de la sécurité et de la justice</w:t>
      </w:r>
      <w:r w:rsidR="003D4875" w:rsidRPr="00316730">
        <w:rPr>
          <w:bCs/>
          <w:iCs/>
          <w:highlight w:val="lightGray"/>
          <w:lang w:val="fr-FR"/>
        </w:rPr>
        <w:t>.</w:t>
      </w:r>
    </w:p>
    <w:p w14:paraId="407A4609" w14:textId="71BF1B27" w:rsidR="000A145A" w:rsidRPr="00316730" w:rsidRDefault="003D4875" w:rsidP="00F43833">
      <w:pPr>
        <w:pStyle w:val="Listenabsatz"/>
        <w:numPr>
          <w:ilvl w:val="0"/>
          <w:numId w:val="1"/>
        </w:numPr>
        <w:rPr>
          <w:bCs/>
          <w:iCs/>
          <w:highlight w:val="lightGray"/>
          <w:lang w:val="fr-FR"/>
        </w:rPr>
      </w:pPr>
      <w:r w:rsidRPr="00316730">
        <w:rPr>
          <w:bCs/>
          <w:iCs/>
          <w:highlight w:val="lightGray"/>
          <w:lang w:val="fr-FR"/>
        </w:rPr>
        <w:t xml:space="preserve">L’appui </w:t>
      </w:r>
      <w:r w:rsidR="008E3F9E" w:rsidRPr="00316730">
        <w:rPr>
          <w:bCs/>
          <w:iCs/>
          <w:highlight w:val="lightGray"/>
          <w:lang w:val="fr-FR"/>
        </w:rPr>
        <w:t>à</w:t>
      </w:r>
      <w:r w:rsidRPr="00316730">
        <w:rPr>
          <w:bCs/>
          <w:iCs/>
          <w:highlight w:val="lightGray"/>
          <w:lang w:val="fr-FR"/>
        </w:rPr>
        <w:t xml:space="preserve"> </w:t>
      </w:r>
      <w:r w:rsidR="005D297C" w:rsidRPr="00316730">
        <w:rPr>
          <w:bCs/>
          <w:iCs/>
          <w:highlight w:val="lightGray"/>
          <w:lang w:val="fr-FR"/>
        </w:rPr>
        <w:t>la mise en œuvre des plans d’actions des CCS</w:t>
      </w:r>
      <w:r w:rsidR="000A145A" w:rsidRPr="00316730">
        <w:rPr>
          <w:bCs/>
          <w:iCs/>
          <w:highlight w:val="lightGray"/>
          <w:lang w:val="fr-FR"/>
        </w:rPr>
        <w:t xml:space="preserve"> et les activités de sensibilisation des populations </w:t>
      </w:r>
      <w:r w:rsidR="00005635" w:rsidRPr="00316730">
        <w:rPr>
          <w:bCs/>
          <w:iCs/>
          <w:highlight w:val="lightGray"/>
          <w:lang w:val="fr-FR"/>
        </w:rPr>
        <w:t>sur les droits de l’homme et l</w:t>
      </w:r>
      <w:r w:rsidR="000A145A" w:rsidRPr="00316730">
        <w:rPr>
          <w:bCs/>
          <w:iCs/>
          <w:highlight w:val="lightGray"/>
          <w:lang w:val="fr-FR"/>
        </w:rPr>
        <w:t>a lutte contre la corruption</w:t>
      </w:r>
      <w:r w:rsidR="00005635" w:rsidRPr="00316730">
        <w:rPr>
          <w:bCs/>
          <w:iCs/>
          <w:highlight w:val="lightGray"/>
          <w:lang w:val="fr-FR"/>
        </w:rPr>
        <w:t>.</w:t>
      </w:r>
    </w:p>
    <w:p w14:paraId="00212EA2" w14:textId="00564725" w:rsidR="003D4875" w:rsidRPr="00316730" w:rsidRDefault="000A145A" w:rsidP="00F43833">
      <w:pPr>
        <w:pStyle w:val="Listenabsatz"/>
        <w:numPr>
          <w:ilvl w:val="0"/>
          <w:numId w:val="1"/>
        </w:numPr>
        <w:rPr>
          <w:bCs/>
          <w:iCs/>
          <w:highlight w:val="lightGray"/>
          <w:lang w:val="fr-FR"/>
        </w:rPr>
      </w:pPr>
      <w:r w:rsidRPr="00316730">
        <w:rPr>
          <w:bCs/>
          <w:iCs/>
          <w:highlight w:val="lightGray"/>
          <w:lang w:val="fr-FR"/>
        </w:rPr>
        <w:t>Formation des acteurs de la justice et de sécurité sur base des constats des études</w:t>
      </w:r>
      <w:r w:rsidR="00350271" w:rsidRPr="00316730">
        <w:rPr>
          <w:bCs/>
          <w:iCs/>
          <w:highlight w:val="lightGray"/>
          <w:lang w:val="fr-FR"/>
        </w:rPr>
        <w:t>/analyses</w:t>
      </w:r>
      <w:r w:rsidRPr="00316730">
        <w:rPr>
          <w:bCs/>
          <w:iCs/>
          <w:highlight w:val="lightGray"/>
          <w:lang w:val="fr-FR"/>
        </w:rPr>
        <w:t xml:space="preserve"> réalisés</w:t>
      </w:r>
      <w:r w:rsidR="005D297C" w:rsidRPr="00316730">
        <w:rPr>
          <w:bCs/>
          <w:iCs/>
          <w:highlight w:val="lightGray"/>
          <w:lang w:val="fr-FR"/>
        </w:rPr>
        <w:t>.</w:t>
      </w:r>
    </w:p>
    <w:p w14:paraId="68E3C4A0" w14:textId="45C592DD" w:rsidR="00F43833" w:rsidRPr="00316730" w:rsidRDefault="00F43833" w:rsidP="00F43833">
      <w:pPr>
        <w:pStyle w:val="Listenabsatz"/>
        <w:numPr>
          <w:ilvl w:val="0"/>
          <w:numId w:val="1"/>
        </w:numPr>
        <w:rPr>
          <w:bCs/>
          <w:iCs/>
          <w:highlight w:val="lightGray"/>
          <w:lang w:val="fr-FR"/>
        </w:rPr>
      </w:pPr>
      <w:r w:rsidRPr="00316730">
        <w:rPr>
          <w:bCs/>
          <w:iCs/>
          <w:highlight w:val="lightGray"/>
          <w:lang w:val="fr-FR"/>
        </w:rPr>
        <w:t xml:space="preserve">La finalisation de l‘élaboration de la stratégie d‘assistance </w:t>
      </w:r>
      <w:r w:rsidR="008E3F9E" w:rsidRPr="00316730">
        <w:rPr>
          <w:bCs/>
          <w:iCs/>
          <w:highlight w:val="lightGray"/>
          <w:lang w:val="fr-FR"/>
        </w:rPr>
        <w:t>légale</w:t>
      </w:r>
      <w:r w:rsidRPr="00316730">
        <w:rPr>
          <w:bCs/>
          <w:iCs/>
          <w:highlight w:val="lightGray"/>
          <w:lang w:val="fr-FR"/>
        </w:rPr>
        <w:t xml:space="preserve"> et de la stratégie de protection des victimes.</w:t>
      </w:r>
    </w:p>
    <w:p w14:paraId="090AEB21" w14:textId="27DD4DEF" w:rsidR="003A4149" w:rsidRPr="00316730" w:rsidRDefault="003A4149" w:rsidP="003A4149">
      <w:pPr>
        <w:pStyle w:val="Listenabsatz"/>
        <w:numPr>
          <w:ilvl w:val="0"/>
          <w:numId w:val="1"/>
        </w:numPr>
        <w:rPr>
          <w:bCs/>
          <w:iCs/>
          <w:highlight w:val="lightGray"/>
          <w:lang w:val="fr-FR"/>
        </w:rPr>
      </w:pPr>
      <w:r w:rsidRPr="00316730">
        <w:rPr>
          <w:bCs/>
          <w:iCs/>
          <w:highlight w:val="lightGray"/>
          <w:lang w:val="fr-FR"/>
        </w:rPr>
        <w:t>La tenue de l’atelier de validation de l’avant-projet de code de justice militaire</w:t>
      </w:r>
    </w:p>
    <w:bookmarkEnd w:id="6"/>
    <w:p w14:paraId="5FCF61C3" w14:textId="63051A32" w:rsidR="003D4875" w:rsidRPr="00316730" w:rsidRDefault="003D4875" w:rsidP="003D4875">
      <w:pPr>
        <w:pStyle w:val="Listenabsatz"/>
        <w:numPr>
          <w:ilvl w:val="0"/>
          <w:numId w:val="1"/>
        </w:numPr>
        <w:jc w:val="both"/>
        <w:rPr>
          <w:bCs/>
          <w:iCs/>
          <w:highlight w:val="lightGray"/>
          <w:lang w:val="fr-FR"/>
        </w:rPr>
      </w:pPr>
      <w:r w:rsidRPr="00316730">
        <w:rPr>
          <w:bCs/>
          <w:iCs/>
          <w:highlight w:val="lightGray"/>
          <w:lang w:val="fr-FR"/>
        </w:rPr>
        <w:t xml:space="preserve">L’appui au Barreau, aux OSC d’assistance </w:t>
      </w:r>
      <w:r w:rsidR="008E3F9E" w:rsidRPr="00316730">
        <w:rPr>
          <w:bCs/>
          <w:iCs/>
          <w:highlight w:val="lightGray"/>
          <w:lang w:val="fr-FR"/>
        </w:rPr>
        <w:t>légale</w:t>
      </w:r>
      <w:r w:rsidRPr="00316730">
        <w:rPr>
          <w:bCs/>
          <w:iCs/>
          <w:highlight w:val="lightGray"/>
          <w:lang w:val="fr-FR"/>
        </w:rPr>
        <w:t xml:space="preserve"> et aux One Stop Centers.</w:t>
      </w:r>
    </w:p>
    <w:p w14:paraId="479DF01F" w14:textId="71FF4699" w:rsidR="003D4875" w:rsidRPr="00316730" w:rsidRDefault="003D4875" w:rsidP="003D4875">
      <w:pPr>
        <w:pStyle w:val="Listenabsatz"/>
        <w:numPr>
          <w:ilvl w:val="0"/>
          <w:numId w:val="1"/>
        </w:numPr>
        <w:rPr>
          <w:bCs/>
          <w:iCs/>
          <w:highlight w:val="lightGray"/>
          <w:lang w:val="fr-FR"/>
        </w:rPr>
      </w:pPr>
      <w:r w:rsidRPr="00316730">
        <w:rPr>
          <w:bCs/>
          <w:iCs/>
          <w:highlight w:val="lightGray"/>
          <w:lang w:val="fr-FR"/>
        </w:rPr>
        <w:t>L‘appui à la CNDH pour l’élaboration et la publication d’un rapport thématique sur l’accès à la justice</w:t>
      </w:r>
      <w:r w:rsidR="00005635" w:rsidRPr="00316730">
        <w:rPr>
          <w:bCs/>
          <w:iCs/>
          <w:highlight w:val="lightGray"/>
          <w:lang w:val="fr-FR"/>
        </w:rPr>
        <w:t>.</w:t>
      </w:r>
    </w:p>
    <w:p w14:paraId="1111A164" w14:textId="7A7CEE10" w:rsidR="003D4875" w:rsidRPr="00316730" w:rsidRDefault="003D4875" w:rsidP="003D4875">
      <w:pPr>
        <w:pStyle w:val="Listenabsatz"/>
        <w:numPr>
          <w:ilvl w:val="0"/>
          <w:numId w:val="1"/>
        </w:numPr>
        <w:rPr>
          <w:bCs/>
          <w:iCs/>
          <w:highlight w:val="lightGray"/>
          <w:lang w:val="fr-FR"/>
        </w:rPr>
      </w:pPr>
      <w:r w:rsidRPr="00316730">
        <w:rPr>
          <w:bCs/>
          <w:iCs/>
          <w:highlight w:val="lightGray"/>
          <w:lang w:val="fr-FR"/>
        </w:rPr>
        <w:t>L‘appui au renforcement du cadre de concertation entre la CNDH et les organisations locales.</w:t>
      </w:r>
    </w:p>
    <w:p w14:paraId="7773F2CE" w14:textId="77777777" w:rsidR="00161D02" w:rsidRPr="00ED6B34" w:rsidRDefault="00161D02" w:rsidP="00F43833">
      <w:pPr>
        <w:pStyle w:val="Listenabsatz"/>
        <w:ind w:left="-90"/>
        <w:rPr>
          <w:lang w:val="fr-FR"/>
        </w:rPr>
      </w:pPr>
    </w:p>
    <w:p w14:paraId="3636C42B" w14:textId="77777777" w:rsidR="00F778A1" w:rsidRPr="00ED6B34" w:rsidRDefault="00F778A1" w:rsidP="0041681F">
      <w:pPr>
        <w:ind w:left="-810" w:right="-154"/>
        <w:jc w:val="both"/>
        <w:rPr>
          <w:b/>
          <w:bCs/>
          <w:i/>
          <w:iCs/>
          <w:lang w:val="fr-FR"/>
        </w:rPr>
      </w:pPr>
      <w:r w:rsidRPr="00ED6B34">
        <w:rPr>
          <w:b/>
          <w:bCs/>
          <w:i/>
          <w:iCs/>
          <w:lang w:val="fr-FR"/>
        </w:rPr>
        <w:t>POUR LES PROJETS DANS LES SIX DERNIERS MOIS DE MISE EN ŒUVRE :</w:t>
      </w:r>
    </w:p>
    <w:p w14:paraId="6E107EDC" w14:textId="26B684CA" w:rsidR="0041681F" w:rsidRPr="00ED6B34" w:rsidRDefault="00476758" w:rsidP="0041681F">
      <w:pPr>
        <w:ind w:left="-810" w:right="-154"/>
        <w:jc w:val="both"/>
        <w:rPr>
          <w:b/>
          <w:i/>
          <w:lang w:val="fr-FR"/>
        </w:rPr>
      </w:pPr>
      <w:r w:rsidRPr="00ED6B34">
        <w:rPr>
          <w:b/>
          <w:bCs/>
          <w:i/>
          <w:iCs/>
          <w:lang w:val="fr-FR"/>
        </w:rPr>
        <w:t>Résumez</w:t>
      </w:r>
      <w:r w:rsidR="003D4875">
        <w:rPr>
          <w:b/>
          <w:bCs/>
          <w:i/>
          <w:iCs/>
          <w:lang w:val="fr-FR"/>
        </w:rPr>
        <w:t xml:space="preserve"> </w:t>
      </w:r>
      <w:r w:rsidRPr="00ED6B34">
        <w:rPr>
          <w:b/>
          <w:bCs/>
          <w:i/>
          <w:iCs/>
          <w:lang w:val="fr-FR"/>
        </w:rPr>
        <w:t xml:space="preserve">le principal changement structurel, institutionnel ou sociétal auquel le projet a approuvé. Ceci n’est pas une anecdote ou une liste des activités individuelles accomplies, mais une description de progrès fait vers l’objectif principal du </w:t>
      </w:r>
      <w:proofErr w:type="gramStart"/>
      <w:r w:rsidRPr="00ED6B34">
        <w:rPr>
          <w:b/>
          <w:bCs/>
          <w:i/>
          <w:iCs/>
          <w:lang w:val="fr-FR"/>
        </w:rPr>
        <w:t>projet.</w:t>
      </w:r>
      <w:r w:rsidR="008C782A" w:rsidRPr="00ED6B34">
        <w:rPr>
          <w:b/>
          <w:i/>
          <w:lang w:val="fr-FR"/>
        </w:rPr>
        <w:t>(</w:t>
      </w:r>
      <w:proofErr w:type="gramEnd"/>
      <w:r w:rsidR="008C782A" w:rsidRPr="00ED6B34">
        <w:rPr>
          <w:b/>
          <w:i/>
          <w:lang w:val="fr-FR"/>
        </w:rPr>
        <w:t>limit</w:t>
      </w:r>
      <w:r w:rsidRPr="00ED6B34">
        <w:rPr>
          <w:b/>
          <w:i/>
          <w:lang w:val="fr-FR"/>
        </w:rPr>
        <w:t xml:space="preserve">e de 1500 </w:t>
      </w:r>
      <w:r w:rsidRPr="00ED6B34">
        <w:rPr>
          <w:b/>
          <w:bCs/>
          <w:i/>
          <w:iCs/>
          <w:lang w:val="fr-FR"/>
        </w:rPr>
        <w:t>caractères</w:t>
      </w:r>
      <w:r w:rsidR="008C782A" w:rsidRPr="00ED6B34">
        <w:rPr>
          <w:b/>
          <w:i/>
          <w:lang w:val="fr-FR"/>
        </w:rPr>
        <w:t xml:space="preserve">): </w:t>
      </w:r>
    </w:p>
    <w:p w14:paraId="09DFA494" w14:textId="77777777" w:rsidR="0041681F" w:rsidRPr="00ED6B34" w:rsidRDefault="0041681F" w:rsidP="0041681F">
      <w:pPr>
        <w:ind w:left="-810" w:right="-154"/>
        <w:jc w:val="both"/>
        <w:rPr>
          <w:b/>
          <w:i/>
          <w:lang w:val="fr-FR"/>
        </w:rPr>
      </w:pPr>
    </w:p>
    <w:p w14:paraId="0A1A1136" w14:textId="77777777" w:rsidR="00005635" w:rsidRPr="00005635" w:rsidRDefault="00005635" w:rsidP="00005635">
      <w:pPr>
        <w:ind w:right="-154"/>
        <w:jc w:val="both"/>
        <w:rPr>
          <w:sz w:val="22"/>
          <w:szCs w:val="22"/>
          <w:highlight w:val="lightGray"/>
          <w:lang w:val="fr-FR"/>
        </w:rPr>
      </w:pPr>
      <w:r w:rsidRPr="00005635">
        <w:rPr>
          <w:sz w:val="22"/>
          <w:szCs w:val="22"/>
          <w:highlight w:val="lightGray"/>
          <w:lang w:val="fr-FR"/>
        </w:rPr>
        <w:t xml:space="preserve">Dans le cadre de la collaboration entre population et acteur de la justice, après une consultation dans le cercle de Niono sur la collaboration entre acteurs de la justice et les justiciables le président de la Jeunesse locale de Niono a entrepris de rapprocher les populations de la chaine judiciaire, plus particulièrement la police. Après avoir tenu des rencontres de sensibilisation lors desquelles il a fait appel à la police pour parler aux jeunes, il a organisé un tournoi de football entre jeune et police afin de rapprocher les différentes parties. </w:t>
      </w:r>
    </w:p>
    <w:p w14:paraId="2512FEEA" w14:textId="77777777" w:rsidR="00005635" w:rsidRPr="00005635" w:rsidRDefault="00005635" w:rsidP="00005635">
      <w:pPr>
        <w:ind w:right="-154"/>
        <w:jc w:val="both"/>
        <w:rPr>
          <w:sz w:val="22"/>
          <w:szCs w:val="22"/>
          <w:highlight w:val="lightGray"/>
          <w:lang w:val="fr-FR"/>
        </w:rPr>
      </w:pPr>
      <w:r w:rsidRPr="00005635">
        <w:rPr>
          <w:sz w:val="22"/>
          <w:szCs w:val="22"/>
          <w:highlight w:val="lightGray"/>
          <w:lang w:val="fr-FR"/>
        </w:rPr>
        <w:t>Un changement important peut être noté en ce qui concerne la reconnaissance des Commissions foncières (</w:t>
      </w:r>
      <w:proofErr w:type="spellStart"/>
      <w:r w:rsidRPr="00005635">
        <w:rPr>
          <w:sz w:val="22"/>
          <w:szCs w:val="22"/>
          <w:highlight w:val="lightGray"/>
          <w:lang w:val="fr-FR"/>
        </w:rPr>
        <w:t>CoFos</w:t>
      </w:r>
      <w:proofErr w:type="spellEnd"/>
      <w:r w:rsidRPr="00005635">
        <w:rPr>
          <w:sz w:val="22"/>
          <w:szCs w:val="22"/>
          <w:highlight w:val="lightGray"/>
          <w:lang w:val="fr-FR"/>
        </w:rPr>
        <w:t xml:space="preserve">) par les tribunaux de Bla, San et </w:t>
      </w:r>
      <w:proofErr w:type="spellStart"/>
      <w:r w:rsidRPr="00005635">
        <w:rPr>
          <w:sz w:val="22"/>
          <w:szCs w:val="22"/>
          <w:highlight w:val="lightGray"/>
          <w:lang w:val="fr-FR"/>
        </w:rPr>
        <w:t>Djénné</w:t>
      </w:r>
      <w:proofErr w:type="spellEnd"/>
      <w:r w:rsidRPr="00005635">
        <w:rPr>
          <w:sz w:val="22"/>
          <w:szCs w:val="22"/>
          <w:highlight w:val="lightGray"/>
          <w:lang w:val="fr-FR"/>
        </w:rPr>
        <w:t xml:space="preserve">. Cela s’est traduit par l’homologation des </w:t>
      </w:r>
      <w:proofErr w:type="spellStart"/>
      <w:r w:rsidRPr="00005635">
        <w:rPr>
          <w:sz w:val="22"/>
          <w:szCs w:val="22"/>
          <w:highlight w:val="lightGray"/>
          <w:lang w:val="fr-FR"/>
        </w:rPr>
        <w:t>procès verbaux</w:t>
      </w:r>
      <w:proofErr w:type="spellEnd"/>
      <w:r w:rsidRPr="00005635">
        <w:rPr>
          <w:sz w:val="22"/>
          <w:szCs w:val="22"/>
          <w:highlight w:val="lightGray"/>
          <w:lang w:val="fr-FR"/>
        </w:rPr>
        <w:t xml:space="preserve"> de conciliation des </w:t>
      </w:r>
      <w:proofErr w:type="spellStart"/>
      <w:r w:rsidRPr="00005635">
        <w:rPr>
          <w:sz w:val="22"/>
          <w:szCs w:val="22"/>
          <w:highlight w:val="lightGray"/>
          <w:lang w:val="fr-FR"/>
        </w:rPr>
        <w:t>CoFos</w:t>
      </w:r>
      <w:proofErr w:type="spellEnd"/>
      <w:r w:rsidRPr="00005635">
        <w:rPr>
          <w:sz w:val="22"/>
          <w:szCs w:val="22"/>
          <w:highlight w:val="lightGray"/>
          <w:lang w:val="fr-FR"/>
        </w:rPr>
        <w:t xml:space="preserve"> à propos de conflits fonciers entre les communautés. En conséquence, ces litiges ne pourront plus faire l’objet de poursuites devant ces juridictions car </w:t>
      </w:r>
      <w:proofErr w:type="spellStart"/>
      <w:r w:rsidRPr="00005635">
        <w:rPr>
          <w:sz w:val="22"/>
          <w:szCs w:val="22"/>
          <w:highlight w:val="lightGray"/>
          <w:lang w:val="fr-FR"/>
        </w:rPr>
        <w:t>celles ci</w:t>
      </w:r>
      <w:proofErr w:type="spellEnd"/>
      <w:r w:rsidRPr="00005635">
        <w:rPr>
          <w:sz w:val="22"/>
          <w:szCs w:val="22"/>
          <w:highlight w:val="lightGray"/>
          <w:lang w:val="fr-FR"/>
        </w:rPr>
        <w:t xml:space="preserve"> considèrent que les conflits sont </w:t>
      </w:r>
      <w:proofErr w:type="spellStart"/>
      <w:r w:rsidRPr="00005635">
        <w:rPr>
          <w:sz w:val="22"/>
          <w:szCs w:val="22"/>
          <w:highlight w:val="lightGray"/>
          <w:lang w:val="fr-FR"/>
        </w:rPr>
        <w:t>reglés</w:t>
      </w:r>
      <w:proofErr w:type="spellEnd"/>
      <w:r w:rsidRPr="00005635">
        <w:rPr>
          <w:sz w:val="22"/>
          <w:szCs w:val="22"/>
          <w:highlight w:val="lightGray"/>
          <w:lang w:val="fr-FR"/>
        </w:rPr>
        <w:t xml:space="preserve">. Dans ce cas, 46 conflits liés au foncier ont été résolus sur 76 </w:t>
      </w:r>
      <w:proofErr w:type="spellStart"/>
      <w:r w:rsidRPr="00005635">
        <w:rPr>
          <w:sz w:val="22"/>
          <w:szCs w:val="22"/>
          <w:highlight w:val="lightGray"/>
          <w:lang w:val="fr-FR"/>
        </w:rPr>
        <w:t>procès verbaux</w:t>
      </w:r>
      <w:proofErr w:type="spellEnd"/>
      <w:r w:rsidRPr="00005635">
        <w:rPr>
          <w:sz w:val="22"/>
          <w:szCs w:val="22"/>
          <w:highlight w:val="lightGray"/>
          <w:lang w:val="fr-FR"/>
        </w:rPr>
        <w:t xml:space="preserve"> soumis par les </w:t>
      </w:r>
      <w:proofErr w:type="spellStart"/>
      <w:r w:rsidRPr="00005635">
        <w:rPr>
          <w:sz w:val="22"/>
          <w:szCs w:val="22"/>
          <w:highlight w:val="lightGray"/>
          <w:lang w:val="fr-FR"/>
        </w:rPr>
        <w:t>CoFos</w:t>
      </w:r>
      <w:proofErr w:type="spellEnd"/>
      <w:r w:rsidRPr="00005635">
        <w:rPr>
          <w:sz w:val="22"/>
          <w:szCs w:val="22"/>
          <w:highlight w:val="lightGray"/>
          <w:lang w:val="fr-FR"/>
        </w:rPr>
        <w:t xml:space="preserve"> aux juridictions citées. Il faut souligner la contribution des femmes à la résolution de ces conflits à travers leur participation active dans ces </w:t>
      </w:r>
      <w:proofErr w:type="spellStart"/>
      <w:r w:rsidRPr="00005635">
        <w:rPr>
          <w:sz w:val="22"/>
          <w:szCs w:val="22"/>
          <w:highlight w:val="lightGray"/>
          <w:lang w:val="fr-FR"/>
        </w:rPr>
        <w:t>CoFos</w:t>
      </w:r>
      <w:proofErr w:type="spellEnd"/>
      <w:r w:rsidRPr="00005635">
        <w:rPr>
          <w:sz w:val="22"/>
          <w:szCs w:val="22"/>
          <w:highlight w:val="lightGray"/>
          <w:lang w:val="fr-FR"/>
        </w:rPr>
        <w:t xml:space="preserve">. </w:t>
      </w:r>
    </w:p>
    <w:p w14:paraId="64CA169F" w14:textId="77777777" w:rsidR="00005635" w:rsidRPr="00005635" w:rsidRDefault="00005635" w:rsidP="00005635">
      <w:pPr>
        <w:ind w:right="-154"/>
        <w:jc w:val="both"/>
        <w:rPr>
          <w:sz w:val="22"/>
          <w:szCs w:val="22"/>
          <w:lang w:val="fr-FR"/>
        </w:rPr>
      </w:pPr>
      <w:r w:rsidRPr="00005635">
        <w:rPr>
          <w:sz w:val="22"/>
          <w:szCs w:val="22"/>
          <w:highlight w:val="lightGray"/>
          <w:lang w:val="fr-FR"/>
        </w:rPr>
        <w:t>Avec la mise en place d’une base de données constituant un système d'information, permettant un traitement plus efficace de l’ensemble des requêtes liées aux plaintes et à la surveillance des centres de détention et des détenus, la CNDH est maintenant en mesure de mieux prendre en charge des dossiers qui lui ont été confiés.</w:t>
      </w:r>
    </w:p>
    <w:p w14:paraId="5BF92706" w14:textId="77777777" w:rsidR="0041681F" w:rsidRPr="00ED6B34" w:rsidRDefault="0041681F" w:rsidP="0041681F">
      <w:pPr>
        <w:jc w:val="both"/>
        <w:rPr>
          <w:sz w:val="22"/>
          <w:lang w:val="fr-FR"/>
        </w:rPr>
      </w:pPr>
    </w:p>
    <w:p w14:paraId="005AF0DE" w14:textId="77777777" w:rsidR="0041681F" w:rsidRPr="00ED6B34" w:rsidRDefault="0041681F" w:rsidP="0041681F">
      <w:pPr>
        <w:ind w:left="-810"/>
        <w:jc w:val="both"/>
        <w:rPr>
          <w:b/>
          <w:bCs/>
          <w:i/>
          <w:iCs/>
          <w:lang w:val="fr-FR"/>
        </w:rPr>
      </w:pPr>
      <w:r w:rsidRPr="00ED6B34">
        <w:rPr>
          <w:b/>
          <w:bCs/>
          <w:i/>
          <w:i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ED6B34">
        <w:rPr>
          <w:b/>
          <w:bCs/>
          <w:i/>
          <w:iCs/>
          <w:lang w:val="fr-FR"/>
        </w:rPr>
        <w:t>weblinks</w:t>
      </w:r>
      <w:proofErr w:type="spellEnd"/>
      <w:r w:rsidRPr="00ED6B34">
        <w:rPr>
          <w:b/>
          <w:bCs/>
          <w:i/>
          <w:iCs/>
          <w:lang w:val="fr-FR"/>
        </w:rPr>
        <w:t xml:space="preserve"> à la communication stratégique publiée. (</w:t>
      </w:r>
      <w:proofErr w:type="gramStart"/>
      <w:r w:rsidRPr="00ED6B34">
        <w:rPr>
          <w:b/>
          <w:bCs/>
          <w:i/>
          <w:iCs/>
          <w:lang w:val="fr-FR"/>
        </w:rPr>
        <w:t>limite</w:t>
      </w:r>
      <w:proofErr w:type="gramEnd"/>
      <w:r w:rsidRPr="00ED6B34">
        <w:rPr>
          <w:b/>
          <w:bCs/>
          <w:i/>
          <w:iCs/>
          <w:lang w:val="fr-FR"/>
        </w:rPr>
        <w:t xml:space="preserve"> de 2000 caractères):</w:t>
      </w:r>
    </w:p>
    <w:p w14:paraId="3BD72667" w14:textId="77777777" w:rsidR="00BA5D85" w:rsidRPr="00ED6B34" w:rsidRDefault="00BA5D85" w:rsidP="001B6DFD">
      <w:pPr>
        <w:ind w:left="-810"/>
        <w:rPr>
          <w:lang w:val="fr-FR"/>
        </w:rPr>
      </w:pPr>
    </w:p>
    <w:p w14:paraId="113C3892" w14:textId="51ABAE26" w:rsidR="00CF7730" w:rsidRPr="00005635" w:rsidRDefault="00660326" w:rsidP="00CF7730">
      <w:pPr>
        <w:jc w:val="both"/>
        <w:rPr>
          <w:highlight w:val="lightGray"/>
          <w:lang w:val="fr-FR"/>
        </w:rPr>
      </w:pPr>
      <w:bookmarkStart w:id="7" w:name="_Hlk85096892"/>
      <w:r w:rsidRPr="00005635">
        <w:rPr>
          <w:highlight w:val="lightGray"/>
          <w:lang w:val="fr-FR"/>
        </w:rPr>
        <w:t xml:space="preserve">La reconnaissance des </w:t>
      </w:r>
      <w:proofErr w:type="spellStart"/>
      <w:r w:rsidR="005D297C" w:rsidRPr="00005635">
        <w:rPr>
          <w:highlight w:val="lightGray"/>
          <w:lang w:val="fr-FR"/>
        </w:rPr>
        <w:t>CoFos</w:t>
      </w:r>
      <w:proofErr w:type="spellEnd"/>
      <w:r w:rsidRPr="00005635">
        <w:rPr>
          <w:highlight w:val="lightGray"/>
          <w:lang w:val="fr-FR"/>
        </w:rPr>
        <w:t xml:space="preserve"> par les tribunaux </w:t>
      </w:r>
      <w:r w:rsidR="00CF7730" w:rsidRPr="00005635">
        <w:rPr>
          <w:highlight w:val="lightGray"/>
          <w:lang w:val="fr-FR"/>
        </w:rPr>
        <w:t>démontre aussi la consolidation de la confiance entre les communautés et le sy</w:t>
      </w:r>
      <w:r w:rsidR="005D297C" w:rsidRPr="00005635">
        <w:rPr>
          <w:highlight w:val="lightGray"/>
          <w:lang w:val="fr-FR"/>
        </w:rPr>
        <w:t>s</w:t>
      </w:r>
      <w:r w:rsidR="00CF7730" w:rsidRPr="00005635">
        <w:rPr>
          <w:highlight w:val="lightGray"/>
          <w:lang w:val="fr-FR"/>
        </w:rPr>
        <w:t xml:space="preserve">tème de justice formelle. Elles ont concilié leurs mécanismes de résolution des conflits fonciers </w:t>
      </w:r>
      <w:proofErr w:type="spellStart"/>
      <w:r w:rsidR="00CF7730" w:rsidRPr="00005635">
        <w:rPr>
          <w:highlight w:val="lightGray"/>
          <w:lang w:val="fr-FR"/>
        </w:rPr>
        <w:t>auquelles</w:t>
      </w:r>
      <w:proofErr w:type="spellEnd"/>
      <w:r w:rsidR="00CF7730" w:rsidRPr="00005635">
        <w:rPr>
          <w:highlight w:val="lightGray"/>
          <w:lang w:val="fr-FR"/>
        </w:rPr>
        <w:t xml:space="preserve"> elles sont attachées, et l’utilisation de mécanismes formels comme les </w:t>
      </w:r>
      <w:proofErr w:type="spellStart"/>
      <w:r w:rsidR="00CF7730" w:rsidRPr="00005635">
        <w:rPr>
          <w:highlight w:val="lightGray"/>
          <w:lang w:val="fr-FR"/>
        </w:rPr>
        <w:t>Cofos</w:t>
      </w:r>
      <w:proofErr w:type="spellEnd"/>
      <w:r w:rsidR="00CF7730" w:rsidRPr="00005635">
        <w:rPr>
          <w:highlight w:val="lightGray"/>
          <w:lang w:val="fr-FR"/>
        </w:rPr>
        <w:t>.</w:t>
      </w:r>
    </w:p>
    <w:p w14:paraId="5FCF4409" w14:textId="3E3D6CCC" w:rsidR="00CF7730" w:rsidRPr="00005635" w:rsidRDefault="00CF7730" w:rsidP="00CF7730">
      <w:pPr>
        <w:jc w:val="both"/>
        <w:rPr>
          <w:bCs/>
          <w:i/>
          <w:highlight w:val="lightGray"/>
          <w:lang w:val="fr-FR"/>
        </w:rPr>
      </w:pPr>
      <w:r w:rsidRPr="00005635">
        <w:rPr>
          <w:bCs/>
          <w:iCs/>
          <w:highlight w:val="lightGray"/>
          <w:lang w:val="fr-FR"/>
        </w:rPr>
        <w:t xml:space="preserve">A titre illustratif, on peut citer le témoignage du président du </w:t>
      </w:r>
      <w:proofErr w:type="spellStart"/>
      <w:r w:rsidR="00660326" w:rsidRPr="00005635">
        <w:rPr>
          <w:bCs/>
          <w:iCs/>
          <w:highlight w:val="lightGray"/>
          <w:lang w:val="fr-FR"/>
        </w:rPr>
        <w:t>Cofo</w:t>
      </w:r>
      <w:proofErr w:type="spellEnd"/>
      <w:r w:rsidR="00660326" w:rsidRPr="00005635">
        <w:rPr>
          <w:bCs/>
          <w:iCs/>
          <w:highlight w:val="lightGray"/>
          <w:lang w:val="fr-FR"/>
        </w:rPr>
        <w:t xml:space="preserve"> </w:t>
      </w:r>
      <w:r w:rsidRPr="00005635">
        <w:rPr>
          <w:bCs/>
          <w:iCs/>
          <w:highlight w:val="lightGray"/>
          <w:lang w:val="fr-FR"/>
        </w:rPr>
        <w:t xml:space="preserve">de </w:t>
      </w:r>
      <w:proofErr w:type="spellStart"/>
      <w:r w:rsidRPr="00005635">
        <w:rPr>
          <w:bCs/>
          <w:iCs/>
          <w:highlight w:val="lightGray"/>
          <w:lang w:val="fr-FR"/>
        </w:rPr>
        <w:t>Orodou</w:t>
      </w:r>
      <w:proofErr w:type="spellEnd"/>
      <w:r w:rsidRPr="00005635">
        <w:rPr>
          <w:bCs/>
          <w:iCs/>
          <w:highlight w:val="lightGray"/>
          <w:lang w:val="fr-FR"/>
        </w:rPr>
        <w:t xml:space="preserve"> (Cercle de </w:t>
      </w:r>
      <w:proofErr w:type="spellStart"/>
      <w:r w:rsidRPr="00005635">
        <w:rPr>
          <w:bCs/>
          <w:iCs/>
          <w:highlight w:val="lightGray"/>
          <w:lang w:val="fr-FR"/>
        </w:rPr>
        <w:t>Djénné</w:t>
      </w:r>
      <w:proofErr w:type="spellEnd"/>
      <w:proofErr w:type="gramStart"/>
      <w:r w:rsidRPr="00005635">
        <w:rPr>
          <w:bCs/>
          <w:iCs/>
          <w:highlight w:val="lightGray"/>
          <w:lang w:val="fr-FR"/>
        </w:rPr>
        <w:t>):</w:t>
      </w:r>
      <w:proofErr w:type="gramEnd"/>
      <w:r w:rsidRPr="00005635">
        <w:rPr>
          <w:bCs/>
          <w:iCs/>
          <w:highlight w:val="lightGray"/>
          <w:lang w:val="fr-FR"/>
        </w:rPr>
        <w:t xml:space="preserve"> </w:t>
      </w:r>
      <w:r w:rsidRPr="00005635">
        <w:rPr>
          <w:bCs/>
          <w:i/>
          <w:highlight w:val="lightGray"/>
          <w:lang w:val="fr-FR"/>
        </w:rPr>
        <w:t xml:space="preserve">« Je me nomme </w:t>
      </w:r>
      <w:proofErr w:type="spellStart"/>
      <w:r w:rsidRPr="00005635">
        <w:rPr>
          <w:bCs/>
          <w:i/>
          <w:highlight w:val="lightGray"/>
          <w:lang w:val="fr-FR"/>
        </w:rPr>
        <w:t>Endè</w:t>
      </w:r>
      <w:proofErr w:type="spellEnd"/>
      <w:r w:rsidRPr="00005635">
        <w:rPr>
          <w:bCs/>
          <w:i/>
          <w:highlight w:val="lightGray"/>
          <w:lang w:val="fr-FR"/>
        </w:rPr>
        <w:t xml:space="preserve"> Gouro </w:t>
      </w:r>
      <w:proofErr w:type="spellStart"/>
      <w:r w:rsidRPr="00005635">
        <w:rPr>
          <w:bCs/>
          <w:i/>
          <w:highlight w:val="lightGray"/>
          <w:lang w:val="fr-FR"/>
        </w:rPr>
        <w:t>Pelcoulba</w:t>
      </w:r>
      <w:proofErr w:type="spellEnd"/>
      <w:r w:rsidRPr="00005635">
        <w:rPr>
          <w:bCs/>
          <w:i/>
          <w:highlight w:val="lightGray"/>
          <w:lang w:val="fr-FR"/>
        </w:rPr>
        <w:t>, Président de la commission foncière d’</w:t>
      </w:r>
      <w:proofErr w:type="spellStart"/>
      <w:r w:rsidRPr="00005635">
        <w:rPr>
          <w:bCs/>
          <w:i/>
          <w:highlight w:val="lightGray"/>
          <w:lang w:val="fr-FR"/>
        </w:rPr>
        <w:t>Orodou</w:t>
      </w:r>
      <w:proofErr w:type="spellEnd"/>
      <w:r w:rsidRPr="00005635">
        <w:rPr>
          <w:bCs/>
          <w:i/>
          <w:highlight w:val="lightGray"/>
          <w:lang w:val="fr-FR"/>
        </w:rPr>
        <w:t xml:space="preserve">. </w:t>
      </w:r>
      <w:r w:rsidRPr="00005635">
        <w:rPr>
          <w:bCs/>
          <w:i/>
          <w:highlight w:val="lightGray"/>
        </w:rPr>
        <w:t xml:space="preserve">Le </w:t>
      </w:r>
      <w:proofErr w:type="spellStart"/>
      <w:r w:rsidRPr="00005635">
        <w:rPr>
          <w:bCs/>
          <w:i/>
          <w:highlight w:val="lightGray"/>
        </w:rPr>
        <w:t>litige</w:t>
      </w:r>
      <w:proofErr w:type="spellEnd"/>
      <w:r w:rsidRPr="00005635">
        <w:rPr>
          <w:bCs/>
          <w:i/>
          <w:highlight w:val="lightGray"/>
        </w:rPr>
        <w:t xml:space="preserve"> </w:t>
      </w:r>
      <w:proofErr w:type="spellStart"/>
      <w:r w:rsidRPr="00005635">
        <w:rPr>
          <w:bCs/>
          <w:i/>
          <w:highlight w:val="lightGray"/>
        </w:rPr>
        <w:t>foncier</w:t>
      </w:r>
      <w:proofErr w:type="spellEnd"/>
      <w:r w:rsidRPr="00005635">
        <w:rPr>
          <w:bCs/>
          <w:i/>
          <w:highlight w:val="lightGray"/>
        </w:rPr>
        <w:t xml:space="preserve"> </w:t>
      </w:r>
      <w:proofErr w:type="spellStart"/>
      <w:r w:rsidRPr="00005635">
        <w:rPr>
          <w:bCs/>
          <w:i/>
          <w:highlight w:val="lightGray"/>
        </w:rPr>
        <w:t>dont</w:t>
      </w:r>
      <w:proofErr w:type="spellEnd"/>
      <w:r w:rsidRPr="00005635">
        <w:rPr>
          <w:bCs/>
          <w:i/>
          <w:highlight w:val="lightGray"/>
        </w:rPr>
        <w:t xml:space="preserve"> je </w:t>
      </w:r>
      <w:proofErr w:type="spellStart"/>
      <w:r w:rsidRPr="00005635">
        <w:rPr>
          <w:bCs/>
          <w:i/>
          <w:highlight w:val="lightGray"/>
        </w:rPr>
        <w:t>vous</w:t>
      </w:r>
      <w:proofErr w:type="spellEnd"/>
      <w:r w:rsidRPr="00005635">
        <w:rPr>
          <w:bCs/>
          <w:i/>
          <w:highlight w:val="lightGray"/>
        </w:rPr>
        <w:t xml:space="preserve"> </w:t>
      </w:r>
      <w:proofErr w:type="spellStart"/>
      <w:r w:rsidRPr="00005635">
        <w:rPr>
          <w:bCs/>
          <w:i/>
          <w:highlight w:val="lightGray"/>
        </w:rPr>
        <w:t>parle</w:t>
      </w:r>
      <w:proofErr w:type="spellEnd"/>
      <w:r w:rsidRPr="00005635">
        <w:rPr>
          <w:bCs/>
          <w:i/>
          <w:highlight w:val="lightGray"/>
        </w:rPr>
        <w:t xml:space="preserve"> </w:t>
      </w:r>
      <w:proofErr w:type="spellStart"/>
      <w:r w:rsidRPr="00005635">
        <w:rPr>
          <w:bCs/>
          <w:i/>
          <w:highlight w:val="lightGray"/>
        </w:rPr>
        <w:t>remonte</w:t>
      </w:r>
      <w:proofErr w:type="spellEnd"/>
      <w:r w:rsidRPr="00005635">
        <w:rPr>
          <w:bCs/>
          <w:i/>
          <w:highlight w:val="lightGray"/>
        </w:rPr>
        <w:t xml:space="preserve"> à </w:t>
      </w:r>
      <w:proofErr w:type="spellStart"/>
      <w:r w:rsidRPr="00005635">
        <w:rPr>
          <w:bCs/>
          <w:i/>
          <w:highlight w:val="lightGray"/>
        </w:rPr>
        <w:t>plusieurs</w:t>
      </w:r>
      <w:proofErr w:type="spellEnd"/>
      <w:r w:rsidRPr="00005635">
        <w:rPr>
          <w:bCs/>
          <w:i/>
          <w:highlight w:val="lightGray"/>
        </w:rPr>
        <w:t xml:space="preserve"> </w:t>
      </w:r>
      <w:proofErr w:type="spellStart"/>
      <w:r w:rsidRPr="00005635">
        <w:rPr>
          <w:bCs/>
          <w:i/>
          <w:highlight w:val="lightGray"/>
        </w:rPr>
        <w:t>années</w:t>
      </w:r>
      <w:proofErr w:type="spellEnd"/>
      <w:r w:rsidRPr="00005635">
        <w:rPr>
          <w:bCs/>
          <w:i/>
          <w:highlight w:val="lightGray"/>
        </w:rPr>
        <w:t xml:space="preserve">. </w:t>
      </w:r>
      <w:r w:rsidRPr="00005635">
        <w:rPr>
          <w:bCs/>
          <w:i/>
          <w:highlight w:val="lightGray"/>
          <w:lang w:val="fr-FR"/>
        </w:rPr>
        <w:t xml:space="preserve">Ce litige a été solutionné par notre </w:t>
      </w:r>
      <w:proofErr w:type="spellStart"/>
      <w:r w:rsidRPr="00005635">
        <w:rPr>
          <w:bCs/>
          <w:i/>
          <w:highlight w:val="lightGray"/>
          <w:lang w:val="fr-FR"/>
        </w:rPr>
        <w:t>CoFo</w:t>
      </w:r>
      <w:proofErr w:type="spellEnd"/>
      <w:r w:rsidRPr="00005635">
        <w:rPr>
          <w:bCs/>
          <w:i/>
          <w:highlight w:val="lightGray"/>
          <w:lang w:val="fr-FR"/>
        </w:rPr>
        <w:t xml:space="preserve"> mise en place, formée et outillée par le projet </w:t>
      </w:r>
      <w:r w:rsidR="001911CC">
        <w:rPr>
          <w:bCs/>
          <w:i/>
          <w:highlight w:val="lightGray"/>
          <w:lang w:val="fr-FR"/>
        </w:rPr>
        <w:t>mis en œuvre par</w:t>
      </w:r>
      <w:r w:rsidR="001911CC" w:rsidRPr="00005635">
        <w:rPr>
          <w:bCs/>
          <w:i/>
          <w:highlight w:val="lightGray"/>
          <w:lang w:val="fr-FR"/>
        </w:rPr>
        <w:t xml:space="preserve"> </w:t>
      </w:r>
      <w:r w:rsidRPr="00005635">
        <w:rPr>
          <w:bCs/>
          <w:i/>
          <w:highlight w:val="lightGray"/>
          <w:lang w:val="fr-FR"/>
        </w:rPr>
        <w:t xml:space="preserve">le PNUD et ONU Femmes. Le conflit a opposé messieurs les héritiers de </w:t>
      </w:r>
      <w:proofErr w:type="spellStart"/>
      <w:r w:rsidRPr="00005635">
        <w:rPr>
          <w:bCs/>
          <w:i/>
          <w:highlight w:val="lightGray"/>
          <w:lang w:val="fr-FR"/>
        </w:rPr>
        <w:t>Seiny</w:t>
      </w:r>
      <w:proofErr w:type="spellEnd"/>
      <w:r w:rsidRPr="00005635">
        <w:rPr>
          <w:bCs/>
          <w:i/>
          <w:highlight w:val="lightGray"/>
          <w:lang w:val="fr-FR"/>
        </w:rPr>
        <w:t xml:space="preserve"> </w:t>
      </w:r>
      <w:proofErr w:type="spellStart"/>
      <w:r w:rsidRPr="00005635">
        <w:rPr>
          <w:bCs/>
          <w:i/>
          <w:highlight w:val="lightGray"/>
          <w:lang w:val="fr-FR"/>
        </w:rPr>
        <w:t>Pelcouliba</w:t>
      </w:r>
      <w:proofErr w:type="spellEnd"/>
      <w:r w:rsidRPr="00005635">
        <w:rPr>
          <w:bCs/>
          <w:i/>
          <w:highlight w:val="lightGray"/>
          <w:lang w:val="fr-FR"/>
        </w:rPr>
        <w:t xml:space="preserve"> qui était propriétaire d’un terrain de 5 ha et Oumar </w:t>
      </w:r>
      <w:proofErr w:type="spellStart"/>
      <w:r w:rsidRPr="00005635">
        <w:rPr>
          <w:bCs/>
          <w:i/>
          <w:highlight w:val="lightGray"/>
          <w:lang w:val="fr-FR"/>
        </w:rPr>
        <w:t>Sangalba</w:t>
      </w:r>
      <w:proofErr w:type="spellEnd"/>
      <w:r w:rsidRPr="00005635">
        <w:rPr>
          <w:bCs/>
          <w:i/>
          <w:highlight w:val="lightGray"/>
          <w:lang w:val="fr-FR"/>
        </w:rPr>
        <w:t xml:space="preserve"> qui est emprunteur dudit terrain. L’objet du litige </w:t>
      </w:r>
      <w:proofErr w:type="gramStart"/>
      <w:r w:rsidRPr="00005635">
        <w:rPr>
          <w:bCs/>
          <w:i/>
          <w:highlight w:val="lightGray"/>
          <w:lang w:val="fr-FR"/>
        </w:rPr>
        <w:t>était  la</w:t>
      </w:r>
      <w:proofErr w:type="gramEnd"/>
      <w:r w:rsidRPr="00005635">
        <w:rPr>
          <w:bCs/>
          <w:i/>
          <w:highlight w:val="lightGray"/>
          <w:lang w:val="fr-FR"/>
        </w:rPr>
        <w:t xml:space="preserve"> confusion de modalité d’attribution de la terre (prêt versus donation).</w:t>
      </w:r>
    </w:p>
    <w:p w14:paraId="2D71F5A5" w14:textId="14158175" w:rsidR="00CF7730" w:rsidRPr="00DB42BE" w:rsidRDefault="00CF7730" w:rsidP="00CF7730">
      <w:pPr>
        <w:jc w:val="both"/>
        <w:rPr>
          <w:bCs/>
          <w:iCs/>
          <w:lang w:val="fr-FR"/>
        </w:rPr>
      </w:pPr>
      <w:r w:rsidRPr="00005635">
        <w:rPr>
          <w:bCs/>
          <w:i/>
          <w:highlight w:val="lightGray"/>
          <w:lang w:val="fr-FR"/>
        </w:rPr>
        <w:t xml:space="preserve">Depuis plus de vingt ans, </w:t>
      </w:r>
      <w:proofErr w:type="spellStart"/>
      <w:r w:rsidRPr="00005635">
        <w:rPr>
          <w:bCs/>
          <w:i/>
          <w:highlight w:val="lightGray"/>
          <w:lang w:val="fr-FR"/>
        </w:rPr>
        <w:t>Seiny</w:t>
      </w:r>
      <w:proofErr w:type="spellEnd"/>
      <w:r w:rsidRPr="00005635">
        <w:rPr>
          <w:bCs/>
          <w:i/>
          <w:highlight w:val="lightGray"/>
          <w:lang w:val="fr-FR"/>
        </w:rPr>
        <w:t xml:space="preserve"> </w:t>
      </w:r>
      <w:proofErr w:type="spellStart"/>
      <w:r w:rsidRPr="00005635">
        <w:rPr>
          <w:bCs/>
          <w:i/>
          <w:highlight w:val="lightGray"/>
          <w:lang w:val="fr-FR"/>
        </w:rPr>
        <w:t>Pelcouliba</w:t>
      </w:r>
      <w:proofErr w:type="spellEnd"/>
      <w:r w:rsidRPr="00005635">
        <w:rPr>
          <w:bCs/>
          <w:i/>
          <w:highlight w:val="lightGray"/>
          <w:lang w:val="fr-FR"/>
        </w:rPr>
        <w:t xml:space="preserve">, avait prêté une parcelle de 5ha à Oumar </w:t>
      </w:r>
      <w:proofErr w:type="spellStart"/>
      <w:r w:rsidRPr="00005635">
        <w:rPr>
          <w:bCs/>
          <w:i/>
          <w:highlight w:val="lightGray"/>
          <w:lang w:val="fr-FR"/>
        </w:rPr>
        <w:t>Sangalba</w:t>
      </w:r>
      <w:proofErr w:type="spellEnd"/>
      <w:r w:rsidRPr="00005635">
        <w:rPr>
          <w:bCs/>
          <w:i/>
          <w:highlight w:val="lightGray"/>
          <w:lang w:val="fr-FR"/>
        </w:rPr>
        <w:t xml:space="preserve"> qui l’exploitait sans une réclamation de la part de </w:t>
      </w:r>
      <w:proofErr w:type="spellStart"/>
      <w:r w:rsidRPr="00005635">
        <w:rPr>
          <w:bCs/>
          <w:i/>
          <w:highlight w:val="lightGray"/>
          <w:lang w:val="fr-FR"/>
        </w:rPr>
        <w:t>Seiny</w:t>
      </w:r>
      <w:proofErr w:type="spellEnd"/>
      <w:r w:rsidRPr="00005635">
        <w:rPr>
          <w:bCs/>
          <w:i/>
          <w:highlight w:val="lightGray"/>
          <w:lang w:val="fr-FR"/>
        </w:rPr>
        <w:t xml:space="preserve"> compte tenu de la confiance qu’il portait à Oumar. </w:t>
      </w:r>
      <w:proofErr w:type="spellStart"/>
      <w:r w:rsidRPr="00005635">
        <w:rPr>
          <w:bCs/>
          <w:i/>
          <w:highlight w:val="lightGray"/>
        </w:rPr>
        <w:t>Après</w:t>
      </w:r>
      <w:proofErr w:type="spellEnd"/>
      <w:r w:rsidRPr="00005635">
        <w:rPr>
          <w:bCs/>
          <w:i/>
          <w:highlight w:val="lightGray"/>
        </w:rPr>
        <w:t xml:space="preserve"> le </w:t>
      </w:r>
      <w:proofErr w:type="spellStart"/>
      <w:r w:rsidRPr="00005635">
        <w:rPr>
          <w:bCs/>
          <w:i/>
          <w:highlight w:val="lightGray"/>
        </w:rPr>
        <w:t>décès</w:t>
      </w:r>
      <w:proofErr w:type="spellEnd"/>
      <w:r w:rsidRPr="00005635">
        <w:rPr>
          <w:bCs/>
          <w:i/>
          <w:highlight w:val="lightGray"/>
        </w:rPr>
        <w:t xml:space="preserve"> de </w:t>
      </w:r>
      <w:proofErr w:type="spellStart"/>
      <w:r w:rsidRPr="00005635">
        <w:rPr>
          <w:bCs/>
          <w:i/>
          <w:highlight w:val="lightGray"/>
        </w:rPr>
        <w:t>Seiny</w:t>
      </w:r>
      <w:proofErr w:type="spellEnd"/>
      <w:r w:rsidRPr="00005635">
        <w:rPr>
          <w:bCs/>
          <w:i/>
          <w:highlight w:val="lightGray"/>
        </w:rPr>
        <w:t xml:space="preserve"> en 2020, les </w:t>
      </w:r>
      <w:proofErr w:type="spellStart"/>
      <w:r w:rsidRPr="00005635">
        <w:rPr>
          <w:bCs/>
          <w:i/>
          <w:highlight w:val="lightGray"/>
        </w:rPr>
        <w:t>fils</w:t>
      </w:r>
      <w:proofErr w:type="spellEnd"/>
      <w:r w:rsidRPr="00005635">
        <w:rPr>
          <w:bCs/>
          <w:i/>
          <w:highlight w:val="lightGray"/>
        </w:rPr>
        <w:t xml:space="preserve"> de </w:t>
      </w:r>
      <w:proofErr w:type="spellStart"/>
      <w:r w:rsidRPr="00005635">
        <w:rPr>
          <w:bCs/>
          <w:i/>
          <w:highlight w:val="lightGray"/>
        </w:rPr>
        <w:t>Seiny</w:t>
      </w:r>
      <w:proofErr w:type="spellEnd"/>
      <w:r w:rsidRPr="00005635">
        <w:rPr>
          <w:bCs/>
          <w:i/>
          <w:highlight w:val="lightGray"/>
        </w:rPr>
        <w:t xml:space="preserve"> </w:t>
      </w:r>
      <w:proofErr w:type="spellStart"/>
      <w:r w:rsidRPr="00005635">
        <w:rPr>
          <w:bCs/>
          <w:i/>
          <w:highlight w:val="lightGray"/>
        </w:rPr>
        <w:t>ont</w:t>
      </w:r>
      <w:proofErr w:type="spellEnd"/>
      <w:r w:rsidRPr="00005635">
        <w:rPr>
          <w:bCs/>
          <w:i/>
          <w:highlight w:val="lightGray"/>
        </w:rPr>
        <w:t xml:space="preserve"> </w:t>
      </w:r>
      <w:proofErr w:type="spellStart"/>
      <w:r w:rsidRPr="00005635">
        <w:rPr>
          <w:bCs/>
          <w:i/>
          <w:highlight w:val="lightGray"/>
        </w:rPr>
        <w:t>essayé</w:t>
      </w:r>
      <w:proofErr w:type="spellEnd"/>
      <w:r w:rsidRPr="00005635">
        <w:rPr>
          <w:bCs/>
          <w:i/>
          <w:highlight w:val="lightGray"/>
        </w:rPr>
        <w:t xml:space="preserve"> de </w:t>
      </w:r>
      <w:proofErr w:type="spellStart"/>
      <w:r w:rsidRPr="00005635">
        <w:rPr>
          <w:bCs/>
          <w:i/>
          <w:highlight w:val="lightGray"/>
        </w:rPr>
        <w:t>récupérer</w:t>
      </w:r>
      <w:proofErr w:type="spellEnd"/>
      <w:r w:rsidRPr="00005635">
        <w:rPr>
          <w:bCs/>
          <w:i/>
          <w:highlight w:val="lightGray"/>
        </w:rPr>
        <w:t xml:space="preserve"> les </w:t>
      </w:r>
      <w:proofErr w:type="spellStart"/>
      <w:r w:rsidRPr="00005635">
        <w:rPr>
          <w:bCs/>
          <w:i/>
          <w:highlight w:val="lightGray"/>
        </w:rPr>
        <w:t>terres</w:t>
      </w:r>
      <w:proofErr w:type="spellEnd"/>
      <w:r w:rsidRPr="00005635">
        <w:rPr>
          <w:bCs/>
          <w:i/>
          <w:highlight w:val="lightGray"/>
        </w:rPr>
        <w:t xml:space="preserve"> par </w:t>
      </w:r>
      <w:proofErr w:type="spellStart"/>
      <w:r w:rsidRPr="00005635">
        <w:rPr>
          <w:bCs/>
          <w:i/>
          <w:highlight w:val="lightGray"/>
        </w:rPr>
        <w:t>leur</w:t>
      </w:r>
      <w:proofErr w:type="spellEnd"/>
      <w:r w:rsidRPr="00005635">
        <w:rPr>
          <w:bCs/>
          <w:i/>
          <w:highlight w:val="lightGray"/>
        </w:rPr>
        <w:t xml:space="preserve"> </w:t>
      </w:r>
      <w:proofErr w:type="spellStart"/>
      <w:r w:rsidRPr="00005635">
        <w:rPr>
          <w:bCs/>
          <w:i/>
          <w:highlight w:val="lightGray"/>
        </w:rPr>
        <w:t>père</w:t>
      </w:r>
      <w:proofErr w:type="spellEnd"/>
      <w:r w:rsidRPr="00005635">
        <w:rPr>
          <w:bCs/>
          <w:i/>
          <w:highlight w:val="lightGray"/>
        </w:rPr>
        <w:t xml:space="preserve">. </w:t>
      </w:r>
      <w:r w:rsidRPr="00005635">
        <w:rPr>
          <w:bCs/>
          <w:i/>
          <w:highlight w:val="lightGray"/>
          <w:lang w:val="fr-FR"/>
        </w:rPr>
        <w:t xml:space="preserve">Mais Oumar leur a fait savoir que les 5 ha de terre lui avaient été donnés et il n’est pas prêt </w:t>
      </w:r>
      <w:proofErr w:type="spellStart"/>
      <w:proofErr w:type="gramStart"/>
      <w:r w:rsidRPr="00005635">
        <w:rPr>
          <w:bCs/>
          <w:i/>
          <w:highlight w:val="lightGray"/>
          <w:lang w:val="fr-FR"/>
        </w:rPr>
        <w:t>a</w:t>
      </w:r>
      <w:proofErr w:type="spellEnd"/>
      <w:proofErr w:type="gramEnd"/>
      <w:r w:rsidRPr="00005635">
        <w:rPr>
          <w:bCs/>
          <w:i/>
          <w:highlight w:val="lightGray"/>
          <w:lang w:val="fr-FR"/>
        </w:rPr>
        <w:t xml:space="preserve"> céder cette parcelle. C’est alors que le plus âgé des enfants de </w:t>
      </w:r>
      <w:proofErr w:type="spellStart"/>
      <w:r w:rsidRPr="00005635">
        <w:rPr>
          <w:bCs/>
          <w:i/>
          <w:highlight w:val="lightGray"/>
          <w:lang w:val="fr-FR"/>
        </w:rPr>
        <w:t>Seiny</w:t>
      </w:r>
      <w:proofErr w:type="spellEnd"/>
      <w:r w:rsidRPr="00005635">
        <w:rPr>
          <w:bCs/>
          <w:i/>
          <w:highlight w:val="lightGray"/>
          <w:lang w:val="fr-FR"/>
        </w:rPr>
        <w:t xml:space="preserve"> avait convoqué Oumar chez le président de la commission foncière pour</w:t>
      </w:r>
      <w:r w:rsidR="00E707F3" w:rsidRPr="00005635">
        <w:rPr>
          <w:bCs/>
          <w:i/>
          <w:highlight w:val="lightGray"/>
          <w:lang w:val="fr-FR"/>
        </w:rPr>
        <w:t xml:space="preserve"> conciliation</w:t>
      </w:r>
      <w:r w:rsidRPr="00005635">
        <w:rPr>
          <w:bCs/>
          <w:i/>
          <w:highlight w:val="lightGray"/>
          <w:lang w:val="fr-FR"/>
        </w:rPr>
        <w:t xml:space="preserve">. Une première tentative de conciliation des deux parties a eu lieu le 5 avril 2021 à </w:t>
      </w:r>
      <w:proofErr w:type="spellStart"/>
      <w:r w:rsidRPr="00005635">
        <w:rPr>
          <w:bCs/>
          <w:i/>
          <w:highlight w:val="lightGray"/>
          <w:lang w:val="fr-FR"/>
        </w:rPr>
        <w:t>Orodou</w:t>
      </w:r>
      <w:proofErr w:type="spellEnd"/>
      <w:r w:rsidRPr="00005635">
        <w:rPr>
          <w:bCs/>
          <w:i/>
          <w:highlight w:val="lightGray"/>
          <w:lang w:val="fr-FR"/>
        </w:rPr>
        <w:t xml:space="preserve">. Après l‘échec de la conciliation soutenu par un PV, une deuxième rencontre de conciliation fut convoquée le 20 avril 2021 soutenue par un PV aussi. Ce jour, hormis les membres des commissions foncières, d’autres personnes ressources furent invitées pour appuyer les membres dans la conciliation. </w:t>
      </w:r>
      <w:proofErr w:type="spellStart"/>
      <w:r w:rsidRPr="00005635">
        <w:rPr>
          <w:bCs/>
          <w:i/>
          <w:highlight w:val="lightGray"/>
        </w:rPr>
        <w:t>Malgré</w:t>
      </w:r>
      <w:proofErr w:type="spellEnd"/>
      <w:r w:rsidRPr="00005635">
        <w:rPr>
          <w:bCs/>
          <w:i/>
          <w:highlight w:val="lightGray"/>
        </w:rPr>
        <w:t xml:space="preserve"> les </w:t>
      </w:r>
      <w:proofErr w:type="spellStart"/>
      <w:r w:rsidRPr="00005635">
        <w:rPr>
          <w:bCs/>
          <w:i/>
          <w:highlight w:val="lightGray"/>
        </w:rPr>
        <w:t>témoignages</w:t>
      </w:r>
      <w:proofErr w:type="spellEnd"/>
      <w:r w:rsidRPr="00005635">
        <w:rPr>
          <w:bCs/>
          <w:i/>
          <w:highlight w:val="lightGray"/>
        </w:rPr>
        <w:t xml:space="preserve"> des </w:t>
      </w:r>
      <w:proofErr w:type="spellStart"/>
      <w:r w:rsidRPr="00005635">
        <w:rPr>
          <w:bCs/>
          <w:i/>
          <w:highlight w:val="lightGray"/>
        </w:rPr>
        <w:t>vieux</w:t>
      </w:r>
      <w:proofErr w:type="spellEnd"/>
      <w:r w:rsidRPr="00005635">
        <w:rPr>
          <w:bCs/>
          <w:i/>
          <w:highlight w:val="lightGray"/>
        </w:rPr>
        <w:t xml:space="preserve"> </w:t>
      </w:r>
      <w:proofErr w:type="spellStart"/>
      <w:r w:rsidRPr="00005635">
        <w:rPr>
          <w:bCs/>
          <w:i/>
          <w:highlight w:val="lightGray"/>
        </w:rPr>
        <w:t>proches</w:t>
      </w:r>
      <w:proofErr w:type="spellEnd"/>
      <w:r w:rsidRPr="00005635">
        <w:rPr>
          <w:bCs/>
          <w:i/>
          <w:highlight w:val="lightGray"/>
        </w:rPr>
        <w:t xml:space="preserve"> du </w:t>
      </w:r>
      <w:proofErr w:type="spellStart"/>
      <w:r w:rsidRPr="00005635">
        <w:rPr>
          <w:bCs/>
          <w:i/>
          <w:highlight w:val="lightGray"/>
        </w:rPr>
        <w:t>défunt</w:t>
      </w:r>
      <w:proofErr w:type="spellEnd"/>
      <w:r w:rsidRPr="00005635">
        <w:rPr>
          <w:bCs/>
          <w:i/>
          <w:highlight w:val="lightGray"/>
        </w:rPr>
        <w:t xml:space="preserve">, Oumar </w:t>
      </w:r>
      <w:proofErr w:type="spellStart"/>
      <w:r w:rsidRPr="00005635">
        <w:rPr>
          <w:bCs/>
          <w:i/>
          <w:highlight w:val="lightGray"/>
        </w:rPr>
        <w:t>est</w:t>
      </w:r>
      <w:proofErr w:type="spellEnd"/>
      <w:r w:rsidRPr="00005635">
        <w:rPr>
          <w:bCs/>
          <w:i/>
          <w:highlight w:val="lightGray"/>
        </w:rPr>
        <w:t xml:space="preserve"> </w:t>
      </w:r>
      <w:proofErr w:type="spellStart"/>
      <w:r w:rsidRPr="00005635">
        <w:rPr>
          <w:bCs/>
          <w:i/>
          <w:highlight w:val="lightGray"/>
        </w:rPr>
        <w:t>resté</w:t>
      </w:r>
      <w:proofErr w:type="spellEnd"/>
      <w:r w:rsidRPr="00005635">
        <w:rPr>
          <w:bCs/>
          <w:i/>
          <w:highlight w:val="lightGray"/>
        </w:rPr>
        <w:t xml:space="preserve"> </w:t>
      </w:r>
      <w:proofErr w:type="spellStart"/>
      <w:r w:rsidRPr="00005635">
        <w:rPr>
          <w:bCs/>
          <w:i/>
          <w:highlight w:val="lightGray"/>
        </w:rPr>
        <w:t>sur</w:t>
      </w:r>
      <w:proofErr w:type="spellEnd"/>
      <w:r w:rsidRPr="00005635">
        <w:rPr>
          <w:bCs/>
          <w:i/>
          <w:highlight w:val="lightGray"/>
        </w:rPr>
        <w:t xml:space="preserve"> </w:t>
      </w:r>
      <w:proofErr w:type="spellStart"/>
      <w:r w:rsidRPr="00005635">
        <w:rPr>
          <w:bCs/>
          <w:i/>
          <w:highlight w:val="lightGray"/>
        </w:rPr>
        <w:t>sa</w:t>
      </w:r>
      <w:proofErr w:type="spellEnd"/>
      <w:r w:rsidRPr="00005635">
        <w:rPr>
          <w:bCs/>
          <w:i/>
          <w:highlight w:val="lightGray"/>
        </w:rPr>
        <w:t xml:space="preserve"> </w:t>
      </w:r>
      <w:proofErr w:type="spellStart"/>
      <w:r w:rsidRPr="00005635">
        <w:rPr>
          <w:bCs/>
          <w:i/>
          <w:highlight w:val="lightGray"/>
        </w:rPr>
        <w:t>position</w:t>
      </w:r>
      <w:proofErr w:type="spellEnd"/>
      <w:r w:rsidRPr="00005635">
        <w:rPr>
          <w:bCs/>
          <w:i/>
          <w:highlight w:val="lightGray"/>
        </w:rPr>
        <w:t xml:space="preserve">. </w:t>
      </w:r>
      <w:r w:rsidRPr="00005635">
        <w:rPr>
          <w:bCs/>
          <w:i/>
          <w:highlight w:val="lightGray"/>
          <w:lang w:val="fr-FR"/>
        </w:rPr>
        <w:t>C’est comme ça que la commission à fait recours aux us et coutumes en demandant aux deux protagonistes de jurer sur le lieu sacré du village. Oumar a alors reconnu son tor</w:t>
      </w:r>
      <w:r w:rsidR="000B59A5" w:rsidRPr="00005635">
        <w:rPr>
          <w:bCs/>
          <w:i/>
          <w:highlight w:val="lightGray"/>
          <w:lang w:val="fr-FR"/>
        </w:rPr>
        <w:t>t</w:t>
      </w:r>
      <w:r w:rsidRPr="00005635">
        <w:rPr>
          <w:bCs/>
          <w:i/>
          <w:highlight w:val="lightGray"/>
          <w:lang w:val="fr-FR"/>
        </w:rPr>
        <w:t xml:space="preserve"> et a demandé pardon. Voilà comment la commission foncière est parvenue à régler le conflit sans passer par la justice.  Nous ne cesserons pas de remercier le projet pour son soutien au village »</w:t>
      </w:r>
      <w:r w:rsidRPr="00005635">
        <w:rPr>
          <w:bCs/>
          <w:iCs/>
          <w:highlight w:val="lightGray"/>
          <w:lang w:val="fr-FR"/>
        </w:rPr>
        <w:t>.</w:t>
      </w:r>
    </w:p>
    <w:bookmarkEnd w:id="7"/>
    <w:p w14:paraId="16D436AB" w14:textId="77777777" w:rsidR="00B75574" w:rsidRPr="00ED6B34" w:rsidRDefault="00B75574" w:rsidP="0078600B">
      <w:pPr>
        <w:rPr>
          <w:b/>
          <w:lang w:val="fr-FR"/>
        </w:rPr>
      </w:pPr>
    </w:p>
    <w:p w14:paraId="6641FCD6" w14:textId="77777777" w:rsidR="00F5504F" w:rsidRPr="00ED6B34" w:rsidRDefault="00476758" w:rsidP="00476758">
      <w:pPr>
        <w:rPr>
          <w:b/>
          <w:u w:val="single"/>
          <w:lang w:val="fr-FR"/>
        </w:rPr>
      </w:pPr>
      <w:r w:rsidRPr="00ED6B34">
        <w:rPr>
          <w:b/>
          <w:u w:val="single"/>
          <w:lang w:val="fr-FR"/>
        </w:rPr>
        <w:t xml:space="preserve">Partie </w:t>
      </w:r>
      <w:proofErr w:type="gramStart"/>
      <w:r w:rsidRPr="00ED6B34">
        <w:rPr>
          <w:b/>
          <w:u w:val="single"/>
          <w:lang w:val="fr-FR"/>
        </w:rPr>
        <w:t>II:</w:t>
      </w:r>
      <w:proofErr w:type="gramEnd"/>
      <w:r w:rsidRPr="00ED6B34">
        <w:rPr>
          <w:b/>
          <w:u w:val="single"/>
          <w:lang w:val="fr-FR"/>
        </w:rPr>
        <w:t xml:space="preserve"> Progrès par Résultat du projet</w:t>
      </w:r>
    </w:p>
    <w:p w14:paraId="0C8D78DC" w14:textId="77777777" w:rsidR="00476758" w:rsidRPr="00ED6B34" w:rsidRDefault="00476758" w:rsidP="00476758">
      <w:pPr>
        <w:rPr>
          <w:b/>
          <w:u w:val="single"/>
          <w:lang w:val="fr-FR"/>
        </w:rPr>
      </w:pPr>
    </w:p>
    <w:p w14:paraId="2A623E9B" w14:textId="77777777" w:rsidR="005D15A3" w:rsidRPr="00ED6B34" w:rsidRDefault="005D15A3" w:rsidP="005D15A3">
      <w:pPr>
        <w:ind w:left="-810"/>
        <w:rPr>
          <w:i/>
          <w:lang w:val="fr-FR"/>
        </w:rPr>
      </w:pPr>
      <w:r w:rsidRPr="00ED6B34">
        <w:rPr>
          <w:i/>
          <w:lang w:val="fr-FR"/>
        </w:rPr>
        <w:t xml:space="preserve">Décrire les principaux progrès réalisés au cours de la période considérée (pour les rapports de </w:t>
      </w:r>
      <w:proofErr w:type="gramStart"/>
      <w:r w:rsidRPr="00ED6B34">
        <w:rPr>
          <w:i/>
          <w:lang w:val="fr-FR"/>
        </w:rPr>
        <w:t>juin:</w:t>
      </w:r>
      <w:proofErr w:type="gramEnd"/>
      <w:r w:rsidRPr="00ED6B34">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16087A02" w14:textId="77777777" w:rsidR="00287878" w:rsidRPr="00ED6B34" w:rsidRDefault="00287878" w:rsidP="003D4CD7">
      <w:pPr>
        <w:ind w:left="-810"/>
        <w:rPr>
          <w:i/>
          <w:lang w:val="fr-FR"/>
        </w:rPr>
      </w:pPr>
      <w:r w:rsidRPr="00ED6B34">
        <w:rPr>
          <w:i/>
          <w:lang w:val="fr-FR"/>
        </w:rPr>
        <w:t xml:space="preserve">. </w:t>
      </w:r>
    </w:p>
    <w:p w14:paraId="5E3D4CF5" w14:textId="77777777" w:rsidR="005D15A3" w:rsidRPr="00ED6B34" w:rsidRDefault="008364E5" w:rsidP="008F5A72">
      <w:pPr>
        <w:numPr>
          <w:ilvl w:val="0"/>
          <w:numId w:val="2"/>
        </w:numPr>
        <w:rPr>
          <w:i/>
          <w:lang w:val="fr-FR"/>
        </w:rPr>
      </w:pPr>
      <w:r w:rsidRPr="00ED6B34">
        <w:rPr>
          <w:i/>
          <w:lang w:val="fr-FR"/>
        </w:rPr>
        <w:t xml:space="preserve">“On </w:t>
      </w:r>
      <w:proofErr w:type="spellStart"/>
      <w:r w:rsidRPr="00ED6B34">
        <w:rPr>
          <w:i/>
          <w:lang w:val="fr-FR"/>
        </w:rPr>
        <w:t>track</w:t>
      </w:r>
      <w:proofErr w:type="spellEnd"/>
      <w:r w:rsidRPr="00ED6B34">
        <w:rPr>
          <w:i/>
          <w:lang w:val="fr-FR"/>
        </w:rPr>
        <w:t xml:space="preserve">” </w:t>
      </w:r>
      <w:r w:rsidR="005D15A3" w:rsidRPr="00ED6B34">
        <w:rPr>
          <w:i/>
          <w:lang w:val="fr-FR"/>
        </w:rPr>
        <w:t>– il s’agit de l'achèvement en temps voulu des produits du projet, comme indiqué dans le plan de travail annuel ;</w:t>
      </w:r>
    </w:p>
    <w:p w14:paraId="70BE2F9D" w14:textId="77777777" w:rsidR="007118F5" w:rsidRPr="00ED6B34" w:rsidRDefault="007118F5" w:rsidP="008F5A72">
      <w:pPr>
        <w:numPr>
          <w:ilvl w:val="0"/>
          <w:numId w:val="2"/>
        </w:numPr>
        <w:rPr>
          <w:i/>
          <w:lang w:val="fr-FR"/>
        </w:rPr>
      </w:pPr>
      <w:r w:rsidRPr="00ED6B34">
        <w:rPr>
          <w:i/>
          <w:lang w:val="fr-FR"/>
        </w:rPr>
        <w:t xml:space="preserve">“On </w:t>
      </w:r>
      <w:proofErr w:type="spellStart"/>
      <w:r w:rsidRPr="00ED6B34">
        <w:rPr>
          <w:i/>
          <w:lang w:val="fr-FR"/>
        </w:rPr>
        <w:t>trackwithpeacebuildingresults</w:t>
      </w:r>
      <w:proofErr w:type="spellEnd"/>
      <w:r w:rsidRPr="00ED6B34">
        <w:rPr>
          <w:i/>
          <w:lang w:val="fr-FR"/>
        </w:rPr>
        <w:t xml:space="preserve">” </w:t>
      </w:r>
      <w:r w:rsidR="005D15A3" w:rsidRPr="00ED6B34">
        <w:rPr>
          <w:i/>
          <w:lang w:val="fr-FR"/>
        </w:rPr>
        <w:t>-</w:t>
      </w:r>
      <w:r w:rsidR="005D15A3" w:rsidRPr="00ED6B34">
        <w:rPr>
          <w:i/>
          <w:iCs/>
          <w:lang w:val="fr-FR"/>
        </w:rPr>
        <w:t>f</w:t>
      </w:r>
      <w:r w:rsidR="005D15A3" w:rsidRPr="00ED6B34">
        <w:rPr>
          <w:i/>
          <w:lang w:val="fr-FR"/>
        </w:rPr>
        <w:t>ait référence à des changements de niveau supérieur dans les facteurs de conflit ou de paix auxquels le projet est censé contribuer. Ceci est plus probable dans les projets matures que nouveaux.</w:t>
      </w:r>
    </w:p>
    <w:p w14:paraId="4B35875B" w14:textId="77777777" w:rsidR="00287878" w:rsidRPr="00ED6B34" w:rsidRDefault="00287878" w:rsidP="008364E5">
      <w:pPr>
        <w:rPr>
          <w:i/>
          <w:lang w:val="fr-FR"/>
        </w:rPr>
      </w:pPr>
    </w:p>
    <w:p w14:paraId="5F96887F" w14:textId="77777777" w:rsidR="003D4CD7" w:rsidRPr="00ED6B34" w:rsidRDefault="005D15A3" w:rsidP="003D4CD7">
      <w:pPr>
        <w:ind w:left="-810"/>
        <w:rPr>
          <w:i/>
          <w:iCs/>
          <w:lang w:val="fr-FR"/>
        </w:rPr>
      </w:pPr>
      <w:r w:rsidRPr="00ED6B34">
        <w:rPr>
          <w:i/>
          <w:iCs/>
          <w:lang w:val="fr-FR"/>
        </w:rPr>
        <w:t>Si votre projet a plus de quatre Résultats, contactez PBSO (Bureau d’Appui à la Consolidation de la Paix) pour la modification de ce canevas.</w:t>
      </w:r>
    </w:p>
    <w:p w14:paraId="2CFF5332" w14:textId="77777777" w:rsidR="003D4CD7" w:rsidRPr="00ED6B34" w:rsidRDefault="003D4CD7" w:rsidP="0078600B">
      <w:pPr>
        <w:rPr>
          <w:b/>
          <w:u w:val="single"/>
          <w:lang w:val="fr-FR"/>
        </w:rPr>
      </w:pPr>
    </w:p>
    <w:p w14:paraId="5A275D95" w14:textId="55CAE966" w:rsidR="005D15A3" w:rsidRPr="00ED6B34" w:rsidRDefault="005D15A3" w:rsidP="00AA4EF3">
      <w:pPr>
        <w:ind w:left="-720"/>
        <w:jc w:val="both"/>
        <w:rPr>
          <w:b/>
          <w:lang w:val="fr-FR"/>
        </w:rPr>
      </w:pPr>
      <w:r w:rsidRPr="00ED6B34">
        <w:rPr>
          <w:b/>
          <w:u w:val="single"/>
          <w:lang w:val="fr-FR"/>
        </w:rPr>
        <w:lastRenderedPageBreak/>
        <w:t xml:space="preserve">Résultat </w:t>
      </w:r>
      <w:proofErr w:type="gramStart"/>
      <w:r w:rsidRPr="00ED6B34">
        <w:rPr>
          <w:b/>
          <w:u w:val="single"/>
          <w:lang w:val="fr-FR"/>
        </w:rPr>
        <w:t>1:</w:t>
      </w:r>
      <w:proofErr w:type="gramEnd"/>
      <w:r w:rsidR="008E3F9E">
        <w:rPr>
          <w:b/>
          <w:u w:val="single"/>
          <w:lang w:val="fr-FR"/>
        </w:rPr>
        <w:t xml:space="preserve"> </w:t>
      </w:r>
      <w:r w:rsidR="001A140F" w:rsidRPr="00ED6B34">
        <w:rPr>
          <w:rFonts w:asciiTheme="majorBidi" w:hAnsiTheme="majorBidi" w:cstheme="majorBidi"/>
          <w:b/>
          <w:bCs/>
          <w:lang w:val="fr-FR"/>
        </w:rPr>
        <w:t>Les causes de l’impunité et les perceptions des acteurs dans les régions de Ségou et Mopti sont connues et un cadre de recherche des solutions répondant à la demande sociale de justice est mis en place à travers un dialogue multi-acteurs.</w:t>
      </w:r>
    </w:p>
    <w:p w14:paraId="333E14B7" w14:textId="77777777" w:rsidR="005D15A3" w:rsidRPr="00ED6B34" w:rsidRDefault="005D15A3" w:rsidP="005D15A3">
      <w:pPr>
        <w:ind w:left="-720"/>
        <w:rPr>
          <w:b/>
          <w:lang w:val="fr-FR"/>
        </w:rPr>
      </w:pPr>
    </w:p>
    <w:p w14:paraId="6FAD866C" w14:textId="7DDCDC80" w:rsidR="005D15A3" w:rsidRPr="00ED6B34"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D6B34">
        <w:rPr>
          <w:rFonts w:ascii="inherit" w:hAnsi="inherit"/>
          <w:lang w:val="fr-FR"/>
        </w:rPr>
        <w:t>Veuillez évaluer l'état actuel des</w:t>
      </w:r>
      <w:r w:rsidR="00660326">
        <w:rPr>
          <w:rFonts w:ascii="inherit" w:hAnsi="inherit"/>
          <w:lang w:val="fr-FR"/>
        </w:rPr>
        <w:t xml:space="preserve"> </w:t>
      </w:r>
      <w:r w:rsidRPr="00ED6B34">
        <w:rPr>
          <w:rFonts w:ascii="inherit" w:hAnsi="inherit"/>
          <w:lang w:val="fr-FR"/>
        </w:rPr>
        <w:t>progrès</w:t>
      </w:r>
      <w:r w:rsidR="00660326">
        <w:rPr>
          <w:rFonts w:ascii="inherit" w:hAnsi="inherit"/>
          <w:lang w:val="fr-FR"/>
        </w:rPr>
        <w:t xml:space="preserve"> </w:t>
      </w:r>
      <w:r w:rsidRPr="00ED6B34">
        <w:rPr>
          <w:rFonts w:ascii="inherit" w:hAnsi="inherit"/>
          <w:lang w:val="fr-FR"/>
        </w:rPr>
        <w:t>du</w:t>
      </w:r>
      <w:r w:rsidR="00660326">
        <w:rPr>
          <w:rFonts w:ascii="inherit" w:hAnsi="inherit"/>
          <w:lang w:val="fr-FR"/>
        </w:rPr>
        <w:t xml:space="preserve"> </w:t>
      </w:r>
      <w:r w:rsidRPr="00ED6B34">
        <w:rPr>
          <w:rFonts w:ascii="inherit" w:hAnsi="inherit"/>
          <w:lang w:val="fr-FR"/>
        </w:rPr>
        <w:t>résultat</w:t>
      </w:r>
      <w:r w:rsidR="00660326">
        <w:rPr>
          <w:rFonts w:ascii="inherit" w:hAnsi="inherit"/>
          <w:lang w:val="fr-FR"/>
        </w:rPr>
        <w:t xml:space="preserve"> </w:t>
      </w:r>
      <w:r w:rsidRPr="00ED6B34">
        <w:rPr>
          <w:rFonts w:ascii="inherit" w:hAnsi="inherit"/>
          <w:lang w:val="fr-FR"/>
        </w:rPr>
        <w:t>:</w:t>
      </w:r>
      <w:r w:rsidR="00660326">
        <w:rPr>
          <w:rFonts w:ascii="inherit" w:hAnsi="inherit"/>
          <w:lang w:val="fr-FR"/>
        </w:rPr>
        <w:t xml:space="preserve"> </w:t>
      </w:r>
      <w:r w:rsidR="00102777" w:rsidRPr="00ED6B34">
        <w:rPr>
          <w:rFonts w:ascii="Arial Narrow" w:hAnsi="Arial Narrow"/>
          <w:b/>
          <w:sz w:val="22"/>
          <w:szCs w:val="22"/>
          <w:lang w:val="fr-FR"/>
        </w:rPr>
        <w:t xml:space="preserve">on </w:t>
      </w:r>
      <w:proofErr w:type="spellStart"/>
      <w:r w:rsidR="00102777" w:rsidRPr="00ED6B34">
        <w:rPr>
          <w:rFonts w:ascii="Arial Narrow" w:hAnsi="Arial Narrow"/>
          <w:b/>
          <w:sz w:val="22"/>
          <w:szCs w:val="22"/>
          <w:lang w:val="fr-FR"/>
        </w:rPr>
        <w:t>track</w:t>
      </w:r>
      <w:proofErr w:type="spellEnd"/>
    </w:p>
    <w:p w14:paraId="6F0AC42F" w14:textId="77777777" w:rsidR="002E1CED" w:rsidRPr="00ED6B34" w:rsidRDefault="002E1CED" w:rsidP="00323ABC">
      <w:pPr>
        <w:ind w:left="-720"/>
        <w:jc w:val="both"/>
        <w:rPr>
          <w:b/>
          <w:lang w:val="fr-FR"/>
        </w:rPr>
      </w:pPr>
    </w:p>
    <w:p w14:paraId="0B152F18" w14:textId="77777777" w:rsidR="005216B2" w:rsidRPr="00ED6B34" w:rsidRDefault="005D15A3" w:rsidP="005D15A3">
      <w:pPr>
        <w:ind w:left="-720"/>
        <w:jc w:val="both"/>
        <w:rPr>
          <w:i/>
          <w:lang w:val="fr-FR"/>
        </w:rPr>
      </w:pPr>
      <w:r w:rsidRPr="00ED6B34">
        <w:rPr>
          <w:b/>
          <w:lang w:val="fr-FR"/>
        </w:rPr>
        <w:t>R</w:t>
      </w:r>
      <w:r w:rsidR="00B91E95" w:rsidRPr="00ED6B34">
        <w:rPr>
          <w:b/>
          <w:lang w:val="fr-FR"/>
        </w:rPr>
        <w:t>é</w:t>
      </w:r>
      <w:r w:rsidRPr="00ED6B34">
        <w:rPr>
          <w:b/>
          <w:lang w:val="fr-FR"/>
        </w:rPr>
        <w:t xml:space="preserve">sumé de </w:t>
      </w:r>
      <w:proofErr w:type="gramStart"/>
      <w:r w:rsidRPr="00ED6B34">
        <w:rPr>
          <w:rFonts w:ascii="inherit" w:hAnsi="inherit"/>
          <w:b/>
          <w:bCs/>
          <w:lang w:val="fr-FR"/>
        </w:rPr>
        <w:t>progrès</w:t>
      </w:r>
      <w:r w:rsidR="003235DF" w:rsidRPr="00ED6B34">
        <w:rPr>
          <w:b/>
          <w:lang w:val="fr-FR"/>
        </w:rPr>
        <w:t>:</w:t>
      </w:r>
      <w:proofErr w:type="gramEnd"/>
      <w:r w:rsidR="003235DF" w:rsidRPr="00ED6B34">
        <w:rPr>
          <w:b/>
          <w:lang w:val="fr-FR"/>
        </w:rPr>
        <w:t xml:space="preserve"> </w:t>
      </w:r>
      <w:r w:rsidRPr="00ED6B34">
        <w:rPr>
          <w:rFonts w:ascii="inherit" w:hAnsi="inherit"/>
          <w:lang w:val="fr-FR"/>
        </w:rPr>
        <w:t>(Limite de 3000 caractères)</w:t>
      </w:r>
    </w:p>
    <w:p w14:paraId="448E3C71" w14:textId="77777777" w:rsidR="00AA4EF3" w:rsidRPr="00DB42BE" w:rsidRDefault="00AA4EF3" w:rsidP="00AA4EF3">
      <w:pPr>
        <w:ind w:left="-720"/>
        <w:jc w:val="both"/>
        <w:rPr>
          <w:b/>
          <w:bCs/>
          <w:iCs/>
          <w:sz w:val="22"/>
          <w:szCs w:val="22"/>
          <w:lang w:val="fr-FR"/>
        </w:rPr>
      </w:pPr>
      <w:bookmarkStart w:id="8" w:name="_Hlk85097743"/>
    </w:p>
    <w:bookmarkEnd w:id="8"/>
    <w:p w14:paraId="14BC85CE" w14:textId="7B3E3EF0" w:rsidR="00005635" w:rsidRPr="00AA2862" w:rsidRDefault="00005635" w:rsidP="00357B15">
      <w:pPr>
        <w:spacing w:after="120"/>
        <w:jc w:val="both"/>
        <w:rPr>
          <w:bCs/>
          <w:iCs/>
          <w:sz w:val="22"/>
          <w:szCs w:val="22"/>
          <w:highlight w:val="lightGray"/>
          <w:lang w:val="fr-FR"/>
        </w:rPr>
      </w:pPr>
      <w:r w:rsidRPr="00AA2862">
        <w:rPr>
          <w:iCs/>
          <w:sz w:val="22"/>
          <w:szCs w:val="22"/>
          <w:highlight w:val="lightGray"/>
          <w:lang w:val="fr-FR"/>
        </w:rPr>
        <w:t xml:space="preserve">La compréhension commune des défis du système judiciaire et des besoins spécifiques des femmes et des jeunes a été assurée à travers l’analyse des informations issues du baromètre participatif et du dialogue multi-acteurs inclusif </w:t>
      </w:r>
      <w:r w:rsidR="008E3F9E">
        <w:rPr>
          <w:iCs/>
          <w:sz w:val="22"/>
          <w:szCs w:val="22"/>
          <w:highlight w:val="lightGray"/>
          <w:lang w:val="fr-FR"/>
        </w:rPr>
        <w:t xml:space="preserve">à </w:t>
      </w:r>
      <w:proofErr w:type="spellStart"/>
      <w:r w:rsidRPr="00AA2862">
        <w:rPr>
          <w:iCs/>
          <w:sz w:val="22"/>
          <w:szCs w:val="22"/>
          <w:highlight w:val="lightGray"/>
          <w:lang w:val="fr-FR"/>
        </w:rPr>
        <w:t>Niono</w:t>
      </w:r>
      <w:proofErr w:type="spellEnd"/>
      <w:r w:rsidRPr="00AA2862">
        <w:rPr>
          <w:iCs/>
          <w:sz w:val="22"/>
          <w:szCs w:val="22"/>
          <w:highlight w:val="lightGray"/>
          <w:lang w:val="fr-FR"/>
        </w:rPr>
        <w:t xml:space="preserve">, San, Ségou, </w:t>
      </w:r>
      <w:proofErr w:type="spellStart"/>
      <w:r w:rsidRPr="00AA2862">
        <w:rPr>
          <w:iCs/>
          <w:sz w:val="22"/>
          <w:szCs w:val="22"/>
          <w:highlight w:val="lightGray"/>
          <w:lang w:val="fr-FR"/>
        </w:rPr>
        <w:t>Djénné</w:t>
      </w:r>
      <w:proofErr w:type="spellEnd"/>
      <w:r w:rsidRPr="00AA2862">
        <w:rPr>
          <w:iCs/>
          <w:sz w:val="22"/>
          <w:szCs w:val="22"/>
          <w:highlight w:val="lightGray"/>
          <w:lang w:val="fr-FR"/>
        </w:rPr>
        <w:t>, Bandiagara et Mopti. Cette action a impliqué au total 2732 personnes dont 48% femmes.</w:t>
      </w:r>
    </w:p>
    <w:p w14:paraId="24F62CE8" w14:textId="38BD0AA9" w:rsidR="00005635" w:rsidRPr="00AA2862" w:rsidRDefault="00005635" w:rsidP="00357B15">
      <w:pPr>
        <w:spacing w:after="120"/>
        <w:jc w:val="both"/>
        <w:rPr>
          <w:sz w:val="22"/>
          <w:szCs w:val="22"/>
          <w:highlight w:val="lightGray"/>
          <w:lang w:val="fr-FR"/>
        </w:rPr>
      </w:pPr>
      <w:r w:rsidRPr="00AA2862">
        <w:rPr>
          <w:sz w:val="22"/>
          <w:szCs w:val="22"/>
          <w:highlight w:val="lightGray"/>
          <w:lang w:val="fr-FR"/>
        </w:rPr>
        <w:t xml:space="preserve">Les données du baromètre collectées en décembre 2020 ont été analysées par les communautés et les acteurs de la justice au niveau de chaque cercle d’intervention. Ainsi, 6 ateliers d’analyse se sont tenus avec 193 participants, dont 21% de femmes. A l’issu de ces ateliers, un atelier d’engagement et d’analyse (des données du baromètre et des résultats des analyses et recommandations des 6 cercles) a eu lieu avec un groupe de réflexion (appelé le comité de suivi du baromètre) au niveau national à Bamako. Le comité de suivi est un organe composé des représentants de différents ministères, d’acteurs de la justice, d’universitaires et d’acteurs de la société civile qui suit la mise en œuvre du baromètre et apporte des réflexions pour son orientation. </w:t>
      </w:r>
    </w:p>
    <w:p w14:paraId="20ED5319" w14:textId="7C9D9278" w:rsidR="00005635" w:rsidRPr="00AA2862" w:rsidRDefault="00005635" w:rsidP="00357B15">
      <w:pPr>
        <w:spacing w:after="120"/>
        <w:jc w:val="both"/>
        <w:rPr>
          <w:rFonts w:eastAsia="Proxima Nova"/>
          <w:bCs/>
          <w:sz w:val="22"/>
          <w:szCs w:val="22"/>
          <w:highlight w:val="lightGray"/>
          <w:lang w:val="fr-FR"/>
        </w:rPr>
      </w:pPr>
      <w:r w:rsidRPr="00AA2862">
        <w:rPr>
          <w:sz w:val="22"/>
          <w:szCs w:val="22"/>
          <w:highlight w:val="lightGray"/>
          <w:lang w:val="fr-FR"/>
        </w:rPr>
        <w:t xml:space="preserve">L’enquête du baromètre a démontré un fossé entre la justice et les justiciables. </w:t>
      </w:r>
      <w:r w:rsidR="00AB4015">
        <w:rPr>
          <w:sz w:val="22"/>
          <w:szCs w:val="22"/>
          <w:highlight w:val="lightGray"/>
          <w:lang w:val="fr-FR"/>
        </w:rPr>
        <w:t>S</w:t>
      </w:r>
      <w:r w:rsidRPr="00AA2862">
        <w:rPr>
          <w:sz w:val="22"/>
          <w:szCs w:val="22"/>
          <w:highlight w:val="lightGray"/>
          <w:lang w:val="fr-FR"/>
        </w:rPr>
        <w:t xml:space="preserve">i plus de la moitié (soit 59%) des 2276 personnes enquêtées affirment connaitre le tribunal le plus proche de leur localité, </w:t>
      </w:r>
      <w:r w:rsidRPr="00AA2862">
        <w:rPr>
          <w:rFonts w:eastAsia="Proxima Nova"/>
          <w:bCs/>
          <w:sz w:val="22"/>
          <w:szCs w:val="22"/>
          <w:highlight w:val="lightGray"/>
          <w:lang w:val="fr-FR"/>
        </w:rPr>
        <w:t>seuls 12,6% d’entre eux pensent qu’il y’a assez de communication entre les acteurs de la justice et les justiciables. Cette situation s’explique, entre autres, par l’usage du français, comprise par peu de gens, et du langage juridique, difficile même à comprendre par certains intellectuels.</w:t>
      </w:r>
      <w:r w:rsidRPr="00AA2862">
        <w:rPr>
          <w:rFonts w:eastAsia="Proxima Nova"/>
          <w:bCs/>
          <w:sz w:val="18"/>
          <w:szCs w:val="18"/>
          <w:highlight w:val="lightGray"/>
          <w:lang w:val="fr-FR"/>
        </w:rPr>
        <w:t xml:space="preserve"> </w:t>
      </w:r>
      <w:r w:rsidRPr="00AA2862">
        <w:rPr>
          <w:rFonts w:eastAsia="Proxima Nova"/>
          <w:bCs/>
          <w:sz w:val="22"/>
          <w:szCs w:val="22"/>
          <w:highlight w:val="lightGray"/>
          <w:lang w:val="fr-FR"/>
        </w:rPr>
        <w:t xml:space="preserve">Ces facteurs poussent les populations à se tourner vers les légitimités traditionnelles pour leurs besoins de justice. 67,8% des personnes qui connaissent la localisation des juridictions, se tournent en premier vers les chefs de villages pour porter plainte ou pour avoir des informations (les femmes se tournent majoritairement vers le chef de village à 71,8%). Selon les participants aux différents ateliers, en plus de la faible communication entre la justice et les justiciables, il y a un langage et des pratiques dans les vestibules des chefs de villages qui encouragent à se tourner vers ces autorités en cas de conflits. </w:t>
      </w:r>
      <w:r w:rsidR="00AB4015">
        <w:rPr>
          <w:rFonts w:eastAsia="Proxima Nova"/>
          <w:bCs/>
          <w:sz w:val="22"/>
          <w:szCs w:val="22"/>
          <w:highlight w:val="lightGray"/>
          <w:lang w:val="fr-FR"/>
        </w:rPr>
        <w:t>L</w:t>
      </w:r>
      <w:r w:rsidRPr="00AA2862">
        <w:rPr>
          <w:rFonts w:eastAsia="Proxima Nova"/>
          <w:bCs/>
          <w:sz w:val="22"/>
          <w:szCs w:val="22"/>
          <w:highlight w:val="lightGray"/>
          <w:lang w:val="fr-FR"/>
        </w:rPr>
        <w:t xml:space="preserve">a saisine des autorités coutumières est plus facile et préserve les liens sociaux, chose qui est centrale pour les communautés. Pour les participants aux ateliers d’analyse, ce choix s’explique donc par la méfiance et la peur envers le système judiciaire, les pesanteurs socio-culturelles, l’absence des magistrats dans certaines localités et l’insécurité. </w:t>
      </w:r>
    </w:p>
    <w:p w14:paraId="4B9999DB" w14:textId="023D1324" w:rsidR="00005635" w:rsidRDefault="00005635" w:rsidP="00357B15">
      <w:pPr>
        <w:spacing w:after="120"/>
        <w:jc w:val="both"/>
        <w:rPr>
          <w:rFonts w:eastAsia="Proxima Nova"/>
          <w:bCs/>
          <w:sz w:val="22"/>
          <w:szCs w:val="22"/>
          <w:lang w:val="fr-FR"/>
        </w:rPr>
      </w:pPr>
      <w:r w:rsidRPr="00AA2862">
        <w:rPr>
          <w:rFonts w:eastAsia="Proxima Nova"/>
          <w:bCs/>
          <w:sz w:val="22"/>
          <w:szCs w:val="22"/>
          <w:highlight w:val="lightGray"/>
          <w:lang w:val="fr-FR"/>
        </w:rPr>
        <w:t>Majoritairement, les personnes consultées (65,4%) se sentent fortement en insécurité quand elles circulent pour leurs tâches quotidiennes (70% des femmes ont ce sentiment). Cette perception est relativement à proportion égale en fonction du milieu géographique. 62,1% des personnes en milieu urbain et 6.,2% des personnes en milieu rural ont ce fort sentiment d’insécurité. Aussi, l’insécurité est perçue comme l’un des éléments majeurs favorisant l’impunité dans le centre. 60,9% des personnes consultées pensent que l’insécurité contribue fortement à l’augmentation de l’impunité dans leurs localités.</w:t>
      </w:r>
    </w:p>
    <w:p w14:paraId="5A477EE8" w14:textId="3E40400A" w:rsidR="00AB4015" w:rsidRPr="00AB4015" w:rsidRDefault="008E3F9E" w:rsidP="00AB4015">
      <w:pPr>
        <w:rPr>
          <w:lang w:val="fr-FR"/>
        </w:rPr>
      </w:pPr>
      <w:r w:rsidRPr="008E3F9E">
        <w:rPr>
          <w:rFonts w:eastAsia="Proxima Nova"/>
          <w:bCs/>
          <w:sz w:val="22"/>
          <w:szCs w:val="22"/>
          <w:highlight w:val="lightGray"/>
          <w:lang w:val="fr-FR"/>
        </w:rPr>
        <w:t xml:space="preserve">Pour résumer, </w:t>
      </w:r>
      <w:r>
        <w:rPr>
          <w:rFonts w:eastAsia="Proxima Nova"/>
          <w:bCs/>
          <w:sz w:val="22"/>
          <w:szCs w:val="22"/>
          <w:highlight w:val="lightGray"/>
          <w:lang w:val="fr-FR"/>
        </w:rPr>
        <w:t>le progrès fait en 2021 pour le résultat 1</w:t>
      </w:r>
      <w:r w:rsidRPr="008E3F9E">
        <w:rPr>
          <w:rFonts w:eastAsia="Proxima Nova"/>
          <w:bCs/>
          <w:sz w:val="22"/>
          <w:szCs w:val="22"/>
          <w:highlight w:val="lightGray"/>
          <w:lang w:val="fr-FR"/>
        </w:rPr>
        <w:t xml:space="preserve"> a permis de connaître et analyser les perceptions des populations vis-à-vis les acteurs de la justice formelle ensemble avec les bénéficiaires</w:t>
      </w:r>
      <w:r w:rsidR="00AB4015">
        <w:rPr>
          <w:rFonts w:eastAsia="Proxima Nova"/>
          <w:bCs/>
          <w:sz w:val="22"/>
          <w:szCs w:val="22"/>
          <w:highlight w:val="lightGray"/>
          <w:lang w:val="fr-FR"/>
        </w:rPr>
        <w:t xml:space="preserve">, </w:t>
      </w:r>
      <w:r w:rsidRPr="008E3F9E">
        <w:rPr>
          <w:rFonts w:eastAsia="Proxima Nova"/>
          <w:bCs/>
          <w:sz w:val="22"/>
          <w:szCs w:val="22"/>
          <w:highlight w:val="lightGray"/>
          <w:lang w:val="fr-FR"/>
        </w:rPr>
        <w:t>de comprendre les raisons pour lesquelles les populations se tournent vers la justice informelle</w:t>
      </w:r>
      <w:r w:rsidR="00AB4015">
        <w:rPr>
          <w:rFonts w:eastAsia="Proxima Nova"/>
          <w:bCs/>
          <w:sz w:val="22"/>
          <w:szCs w:val="22"/>
          <w:highlight w:val="lightGray"/>
          <w:lang w:val="fr-FR"/>
        </w:rPr>
        <w:t xml:space="preserve"> et de les inclure dans la recherche des solutions</w:t>
      </w:r>
      <w:r w:rsidR="00AB4015" w:rsidRPr="00AB4015">
        <w:rPr>
          <w:rFonts w:eastAsia="Proxima Nova"/>
          <w:bCs/>
          <w:sz w:val="22"/>
          <w:szCs w:val="22"/>
          <w:highlight w:val="lightGray"/>
          <w:lang w:val="fr-FR"/>
        </w:rPr>
        <w:t>.</w:t>
      </w:r>
    </w:p>
    <w:p w14:paraId="7C13F523" w14:textId="03DC75CF" w:rsidR="008E3F9E" w:rsidRPr="008E3F9E" w:rsidRDefault="008E3F9E" w:rsidP="00357B15">
      <w:pPr>
        <w:spacing w:after="120"/>
        <w:jc w:val="both"/>
        <w:rPr>
          <w:rFonts w:eastAsia="Proxima Nova"/>
          <w:bCs/>
          <w:sz w:val="22"/>
          <w:szCs w:val="22"/>
          <w:highlight w:val="lightGray"/>
          <w:lang w:val="fr-FR"/>
        </w:rPr>
      </w:pPr>
    </w:p>
    <w:p w14:paraId="73AE0FA1" w14:textId="77777777" w:rsidR="007808FF" w:rsidRDefault="007808FF" w:rsidP="00627A1C">
      <w:pPr>
        <w:ind w:left="-720"/>
        <w:rPr>
          <w:b/>
          <w:lang w:val="fr-FR" w:eastAsia="en-US"/>
        </w:rPr>
      </w:pPr>
    </w:p>
    <w:p w14:paraId="1E53CF90" w14:textId="3A186BA0" w:rsidR="007808FF" w:rsidRDefault="005D15A3" w:rsidP="00627A1C">
      <w:pPr>
        <w:ind w:left="-720"/>
        <w:rPr>
          <w:bCs/>
          <w:iCs/>
          <w:lang w:val="fr-FR"/>
        </w:rPr>
      </w:pPr>
      <w:r w:rsidRPr="00ED6B34">
        <w:rPr>
          <w:b/>
          <w:lang w:val="fr-FR" w:eastAsia="en-US"/>
        </w:rPr>
        <w:lastRenderedPageBreak/>
        <w:t xml:space="preserve">Indiquez toute analyse supplémentaire sur la manière dont l'égalité entre les sexes et l'autonomisation des femmes et / ou </w:t>
      </w:r>
      <w:r w:rsidR="622E56E1" w:rsidRPr="00ED6B34">
        <w:rPr>
          <w:b/>
          <w:bCs/>
          <w:lang w:val="fr-FR" w:eastAsia="en-US"/>
        </w:rPr>
        <w:t>l'inclusion</w:t>
      </w:r>
      <w:r w:rsidR="2A4E90AC" w:rsidRPr="00ED6B34">
        <w:rPr>
          <w:b/>
          <w:bCs/>
          <w:lang w:val="fr-FR" w:eastAsia="en-US"/>
        </w:rPr>
        <w:t xml:space="preserve"> </w:t>
      </w:r>
      <w:r w:rsidR="622E56E1" w:rsidRPr="00ED6B34">
        <w:rPr>
          <w:b/>
          <w:bCs/>
          <w:lang w:val="fr-FR" w:eastAsia="en-US"/>
        </w:rPr>
        <w:t>et</w:t>
      </w:r>
      <w:r w:rsidRPr="00ED6B34">
        <w:rPr>
          <w:b/>
          <w:lang w:val="fr-FR" w:eastAsia="en-US"/>
        </w:rPr>
        <w:t xml:space="preserve"> la réactivité </w:t>
      </w:r>
      <w:r w:rsidR="00675507" w:rsidRPr="00ED6B34">
        <w:rPr>
          <w:b/>
          <w:lang w:val="fr-FR" w:eastAsia="en-US"/>
        </w:rPr>
        <w:t>aux besoins des</w:t>
      </w:r>
      <w:r w:rsidRPr="00ED6B34">
        <w:rPr>
          <w:b/>
          <w:lang w:val="fr-FR" w:eastAsia="en-US"/>
        </w:rPr>
        <w:t xml:space="preserve"> jeunes ont été assurées dans le cadre de ce </w:t>
      </w:r>
      <w:proofErr w:type="gramStart"/>
      <w:r w:rsidRPr="00ED6B34">
        <w:rPr>
          <w:b/>
          <w:lang w:val="fr-FR" w:eastAsia="en-US"/>
        </w:rPr>
        <w:t>résultat</w:t>
      </w:r>
      <w:r w:rsidR="00161D02" w:rsidRPr="00ED6B34">
        <w:rPr>
          <w:b/>
          <w:lang w:val="fr-FR"/>
        </w:rPr>
        <w:t>:</w:t>
      </w:r>
      <w:proofErr w:type="gramEnd"/>
      <w:r w:rsidR="00161D02" w:rsidRPr="00ED6B34">
        <w:rPr>
          <w:b/>
          <w:lang w:val="fr-FR"/>
        </w:rPr>
        <w:t xml:space="preserve"> </w:t>
      </w:r>
      <w:r w:rsidR="00161D02" w:rsidRPr="00ED6B34">
        <w:rPr>
          <w:i/>
          <w:lang w:val="fr-FR"/>
        </w:rPr>
        <w:t>(</w:t>
      </w:r>
      <w:r w:rsidR="00675507" w:rsidRPr="00ED6B34">
        <w:rPr>
          <w:rFonts w:ascii="inherit" w:hAnsi="inherit"/>
          <w:lang w:val="fr-FR"/>
        </w:rPr>
        <w:t>Limite de 1000 caractères</w:t>
      </w:r>
      <w:r w:rsidR="00161D02" w:rsidRPr="00ED6B34">
        <w:rPr>
          <w:i/>
          <w:lang w:val="fr-FR"/>
        </w:rPr>
        <w:t>)</w:t>
      </w:r>
    </w:p>
    <w:p w14:paraId="3B81698C" w14:textId="77777777" w:rsidR="007808FF" w:rsidRPr="00ED6B34" w:rsidRDefault="007808FF" w:rsidP="00627A1C">
      <w:pPr>
        <w:ind w:left="-720"/>
        <w:rPr>
          <w:b/>
          <w:lang w:val="fr-FR"/>
        </w:rPr>
      </w:pPr>
    </w:p>
    <w:p w14:paraId="676F689D" w14:textId="76F2FAB2" w:rsidR="00AA2862" w:rsidRPr="003D557A" w:rsidRDefault="00AA2862" w:rsidP="00357B15">
      <w:pPr>
        <w:jc w:val="both"/>
        <w:rPr>
          <w:sz w:val="22"/>
          <w:szCs w:val="22"/>
          <w:lang w:val="fr-FR"/>
        </w:rPr>
      </w:pPr>
      <w:bookmarkStart w:id="9" w:name="_Hlk85097096"/>
      <w:bookmarkStart w:id="10" w:name="_Hlk85098066"/>
      <w:r w:rsidRPr="00AA2862">
        <w:rPr>
          <w:bCs/>
          <w:iCs/>
          <w:sz w:val="22"/>
          <w:szCs w:val="22"/>
          <w:highlight w:val="lightGray"/>
          <w:lang w:val="fr-FR"/>
        </w:rPr>
        <w:t xml:space="preserve">La dimension genre est pleinement intégrée dans les méthodologies en ce qui concerne le choix des participants pour l’élaboration du baromètre, l’administration du questionnaire et la participation aux séances de dialogue en respectant l’aspect genre. A cet effet, les besoins et les perceptions des femmes ressortent de manière transversale dans toutes les questions du baromètre. L‘échantillon des personnes enquêtées dans le cadre du baromètre est représentatif de la population des communes de mise en œuvre du baromètre. En outre, 51% des participants aux différents espaces de dialogue sont des femmes et des focus groupes exclusivement féminins ont été organisés pour permettre aux femmes de prendre la parole plus aisément dans un espace sécurisé. </w:t>
      </w:r>
      <w:r w:rsidR="00FE37D4" w:rsidRPr="00AA2862">
        <w:rPr>
          <w:bCs/>
          <w:iCs/>
          <w:sz w:val="22"/>
          <w:szCs w:val="22"/>
          <w:highlight w:val="lightGray"/>
          <w:lang w:val="fr-FR"/>
        </w:rPr>
        <w:t>Également</w:t>
      </w:r>
      <w:r w:rsidRPr="00AA2862">
        <w:rPr>
          <w:bCs/>
          <w:iCs/>
          <w:sz w:val="22"/>
          <w:szCs w:val="22"/>
          <w:highlight w:val="lightGray"/>
          <w:lang w:val="fr-FR"/>
        </w:rPr>
        <w:t>, lors des ateliers d’analyse, les besoins spécifiques des femmes ont été pris en compte en mettant notamment le focus sur les violences subies (dépossession de l’héritage, problèmes liés aux VBG…) et les solutions trouvées. A la longue, il s’agira de capitaliser sur les bonnes pratiques et les leçons apprises du comment les femmes font face à des problèmes de justice et à les partager avec d’autres femmes d’autres localités tout en tenant compte des contextes.</w:t>
      </w:r>
    </w:p>
    <w:p w14:paraId="01A705FD" w14:textId="77777777" w:rsidR="00660326" w:rsidRPr="00DB42BE" w:rsidRDefault="00660326" w:rsidP="00AA4EF3">
      <w:pPr>
        <w:jc w:val="both"/>
        <w:rPr>
          <w:bCs/>
          <w:iCs/>
          <w:sz w:val="22"/>
          <w:szCs w:val="22"/>
          <w:lang w:val="fr-FR"/>
        </w:rPr>
      </w:pPr>
    </w:p>
    <w:bookmarkEnd w:id="9"/>
    <w:bookmarkEnd w:id="10"/>
    <w:p w14:paraId="4FAA1B61" w14:textId="77777777" w:rsidR="00675507" w:rsidRPr="00ED6B34" w:rsidRDefault="00675507" w:rsidP="00675507">
      <w:pPr>
        <w:ind w:left="-720"/>
        <w:rPr>
          <w:b/>
          <w:lang w:val="fr-FR"/>
        </w:rPr>
      </w:pPr>
      <w:r w:rsidRPr="00ED6B34">
        <w:rPr>
          <w:b/>
          <w:u w:val="single"/>
          <w:lang w:val="fr-FR"/>
        </w:rPr>
        <w:t xml:space="preserve">Résultat </w:t>
      </w:r>
      <w:proofErr w:type="gramStart"/>
      <w:r w:rsidRPr="00ED6B34">
        <w:rPr>
          <w:b/>
          <w:u w:val="single"/>
          <w:lang w:val="fr-FR"/>
        </w:rPr>
        <w:t>2:</w:t>
      </w:r>
      <w:r w:rsidR="001A140F" w:rsidRPr="00ED6B34">
        <w:rPr>
          <w:rFonts w:asciiTheme="majorBidi" w:hAnsiTheme="majorBidi" w:cstheme="majorBidi"/>
          <w:b/>
          <w:bCs/>
          <w:lang w:val="fr-FR"/>
        </w:rPr>
        <w:t>Les</w:t>
      </w:r>
      <w:proofErr w:type="gramEnd"/>
      <w:r w:rsidR="001A140F" w:rsidRPr="00ED6B34">
        <w:rPr>
          <w:rFonts w:asciiTheme="majorBidi" w:hAnsiTheme="majorBidi" w:cstheme="majorBidi"/>
          <w:b/>
          <w:bCs/>
          <w:lang w:val="fr-FR"/>
        </w:rPr>
        <w:t xml:space="preserve"> acteurs de la justice formelle et informelle sont plus efficaces et disposent d’une confiance accrue de la part des populations afin de mieux combattre l’impunité dans les régions de Ségou et Mopti.</w:t>
      </w:r>
    </w:p>
    <w:p w14:paraId="4BE93227" w14:textId="77777777" w:rsidR="00675507" w:rsidRPr="00ED6B34" w:rsidRDefault="00675507" w:rsidP="00675507">
      <w:pPr>
        <w:ind w:left="-720"/>
        <w:rPr>
          <w:b/>
          <w:lang w:val="fr-FR"/>
        </w:rPr>
      </w:pPr>
    </w:p>
    <w:p w14:paraId="4C35DACF" w14:textId="39A3EDF7" w:rsidR="00675507" w:rsidRPr="00ED6B34"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D6B34">
        <w:rPr>
          <w:rFonts w:ascii="inherit" w:hAnsi="inherit"/>
          <w:lang w:val="fr-FR"/>
        </w:rPr>
        <w:t>Veuillez évaluer l'état actuel des</w:t>
      </w:r>
      <w:r w:rsidR="00316730">
        <w:rPr>
          <w:rFonts w:ascii="inherit" w:hAnsi="inherit"/>
          <w:lang w:val="fr-FR"/>
        </w:rPr>
        <w:t xml:space="preserve"> </w:t>
      </w:r>
      <w:r w:rsidRPr="00ED6B34">
        <w:rPr>
          <w:rFonts w:ascii="inherit" w:hAnsi="inherit"/>
          <w:lang w:val="fr-FR"/>
        </w:rPr>
        <w:t>progrès</w:t>
      </w:r>
      <w:r w:rsidR="00316730">
        <w:rPr>
          <w:rFonts w:ascii="inherit" w:hAnsi="inherit"/>
          <w:lang w:val="fr-FR"/>
        </w:rPr>
        <w:t xml:space="preserve"> </w:t>
      </w:r>
      <w:r w:rsidRPr="00ED6B34">
        <w:rPr>
          <w:rFonts w:ascii="inherit" w:hAnsi="inherit"/>
          <w:lang w:val="fr-FR"/>
        </w:rPr>
        <w:t>du résultat</w:t>
      </w:r>
      <w:proofErr w:type="gramStart"/>
      <w:r w:rsidR="00316730">
        <w:rPr>
          <w:rFonts w:ascii="inherit" w:hAnsi="inherit"/>
          <w:lang w:val="fr-FR"/>
        </w:rPr>
        <w:t xml:space="preserve"> </w:t>
      </w:r>
      <w:r w:rsidRPr="00ED6B34">
        <w:rPr>
          <w:rFonts w:ascii="inherit" w:hAnsi="inherit"/>
          <w:lang w:val="fr-FR"/>
        </w:rPr>
        <w:t>:</w:t>
      </w:r>
      <w:r w:rsidR="0035315E" w:rsidRPr="00ED6B34">
        <w:rPr>
          <w:rFonts w:ascii="Arial Narrow" w:hAnsi="Arial Narrow"/>
          <w:b/>
          <w:sz w:val="22"/>
          <w:lang w:val="fr-FR"/>
        </w:rPr>
        <w:t>on</w:t>
      </w:r>
      <w:proofErr w:type="gramEnd"/>
      <w:r w:rsidR="0035315E" w:rsidRPr="00ED6B34">
        <w:rPr>
          <w:rFonts w:ascii="Arial Narrow" w:hAnsi="Arial Narrow"/>
          <w:b/>
          <w:sz w:val="22"/>
          <w:lang w:val="fr-FR"/>
        </w:rPr>
        <w:t xml:space="preserve"> </w:t>
      </w:r>
      <w:proofErr w:type="spellStart"/>
      <w:r w:rsidR="0035315E" w:rsidRPr="00ED6B34">
        <w:rPr>
          <w:rFonts w:ascii="Arial Narrow" w:hAnsi="Arial Narrow"/>
          <w:b/>
          <w:sz w:val="22"/>
          <w:lang w:val="fr-FR"/>
        </w:rPr>
        <w:t>track</w:t>
      </w:r>
      <w:proofErr w:type="spellEnd"/>
    </w:p>
    <w:p w14:paraId="49180C78" w14:textId="77777777" w:rsidR="00675507" w:rsidRPr="00ED6B34" w:rsidRDefault="00675507" w:rsidP="00675507">
      <w:pPr>
        <w:ind w:left="-720"/>
        <w:jc w:val="both"/>
        <w:rPr>
          <w:b/>
          <w:lang w:val="fr-FR"/>
        </w:rPr>
      </w:pPr>
    </w:p>
    <w:p w14:paraId="3AA32632" w14:textId="77777777" w:rsidR="00675507" w:rsidRPr="00ED6B34" w:rsidRDefault="00675507" w:rsidP="00675507">
      <w:pPr>
        <w:ind w:left="-720"/>
        <w:jc w:val="both"/>
        <w:rPr>
          <w:i/>
          <w:lang w:val="fr-FR"/>
        </w:rPr>
      </w:pPr>
      <w:r w:rsidRPr="00ED6B34">
        <w:rPr>
          <w:b/>
          <w:lang w:val="fr-FR"/>
        </w:rPr>
        <w:t>R</w:t>
      </w:r>
      <w:r w:rsidR="00722C48" w:rsidRPr="00ED6B34">
        <w:rPr>
          <w:b/>
          <w:lang w:val="fr-FR"/>
        </w:rPr>
        <w:t>é</w:t>
      </w:r>
      <w:r w:rsidRPr="00ED6B34">
        <w:rPr>
          <w:b/>
          <w:lang w:val="fr-FR"/>
        </w:rPr>
        <w:t xml:space="preserve">sumé de </w:t>
      </w:r>
      <w:proofErr w:type="gramStart"/>
      <w:r w:rsidRPr="00ED6B34">
        <w:rPr>
          <w:rFonts w:ascii="inherit" w:hAnsi="inherit"/>
          <w:b/>
          <w:bCs/>
          <w:lang w:val="fr-FR"/>
        </w:rPr>
        <w:t>progrès</w:t>
      </w:r>
      <w:r w:rsidRPr="00ED6B34">
        <w:rPr>
          <w:b/>
          <w:lang w:val="fr-FR"/>
        </w:rPr>
        <w:t>:</w:t>
      </w:r>
      <w:proofErr w:type="gramEnd"/>
      <w:r w:rsidRPr="00ED6B34">
        <w:rPr>
          <w:b/>
          <w:lang w:val="fr-FR"/>
        </w:rPr>
        <w:t xml:space="preserve"> </w:t>
      </w:r>
      <w:r w:rsidRPr="00ED6B34">
        <w:rPr>
          <w:rFonts w:ascii="inherit" w:hAnsi="inherit"/>
          <w:lang w:val="fr-FR"/>
        </w:rPr>
        <w:t>(Limite de 3000 caractères)</w:t>
      </w:r>
    </w:p>
    <w:p w14:paraId="1FFD1466" w14:textId="77777777" w:rsidR="00675507" w:rsidRPr="00ED6B34" w:rsidRDefault="00700AED" w:rsidP="00675507">
      <w:pPr>
        <w:ind w:left="-720"/>
        <w:rPr>
          <w:b/>
          <w:lang w:val="fr-FR"/>
        </w:rPr>
      </w:pPr>
      <w:r w:rsidRPr="00ED6B34">
        <w:rPr>
          <w:b/>
          <w:lang w:val="fr-FR"/>
        </w:rPr>
        <w:tab/>
      </w:r>
      <w:r w:rsidRPr="00ED6B34">
        <w:rPr>
          <w:b/>
          <w:lang w:val="fr-FR"/>
        </w:rPr>
        <w:tab/>
      </w:r>
    </w:p>
    <w:p w14:paraId="5C926F48" w14:textId="4A72728B" w:rsidR="00BF5513" w:rsidRDefault="00457FB3" w:rsidP="00457FB3">
      <w:pPr>
        <w:jc w:val="both"/>
        <w:rPr>
          <w:sz w:val="22"/>
          <w:szCs w:val="22"/>
          <w:highlight w:val="lightGray"/>
          <w:lang w:val="fr-FR"/>
        </w:rPr>
      </w:pPr>
      <w:bookmarkStart w:id="11" w:name="_Hlk85098133"/>
      <w:bookmarkStart w:id="12" w:name="_Hlk73721624"/>
      <w:r>
        <w:rPr>
          <w:sz w:val="22"/>
          <w:szCs w:val="22"/>
          <w:highlight w:val="lightGray"/>
          <w:lang w:val="fr-FR"/>
        </w:rPr>
        <w:t>E</w:t>
      </w:r>
      <w:r w:rsidR="00BA3025">
        <w:rPr>
          <w:sz w:val="22"/>
          <w:szCs w:val="22"/>
          <w:highlight w:val="lightGray"/>
          <w:lang w:val="fr-FR"/>
        </w:rPr>
        <w:t>n appui aux institutions formelles</w:t>
      </w:r>
      <w:r>
        <w:rPr>
          <w:sz w:val="22"/>
          <w:szCs w:val="22"/>
          <w:highlight w:val="lightGray"/>
          <w:lang w:val="fr-FR"/>
        </w:rPr>
        <w:t xml:space="preserve">, </w:t>
      </w:r>
      <w:r w:rsidR="001F0C23">
        <w:rPr>
          <w:sz w:val="22"/>
          <w:szCs w:val="22"/>
          <w:highlight w:val="lightGray"/>
          <w:lang w:val="fr-FR"/>
        </w:rPr>
        <w:t xml:space="preserve">deux études situationnelles </w:t>
      </w:r>
      <w:r>
        <w:rPr>
          <w:sz w:val="22"/>
          <w:szCs w:val="22"/>
          <w:highlight w:val="lightGray"/>
          <w:lang w:val="fr-FR"/>
        </w:rPr>
        <w:t xml:space="preserve">ont été conduites </w:t>
      </w:r>
      <w:r w:rsidR="001F0C23">
        <w:rPr>
          <w:sz w:val="22"/>
          <w:szCs w:val="22"/>
          <w:highlight w:val="lightGray"/>
          <w:lang w:val="fr-FR"/>
        </w:rPr>
        <w:t>afin de faire une analyse détaillée des besoins des juridictions civiles, des commissariats et des brigades territoriales</w:t>
      </w:r>
      <w:r>
        <w:rPr>
          <w:sz w:val="22"/>
          <w:szCs w:val="22"/>
          <w:highlight w:val="lightGray"/>
          <w:lang w:val="fr-FR"/>
        </w:rPr>
        <w:t xml:space="preserve"> et d</w:t>
      </w:r>
      <w:r w:rsidR="001F0C23">
        <w:rPr>
          <w:sz w:val="22"/>
          <w:szCs w:val="22"/>
          <w:highlight w:val="lightGray"/>
          <w:lang w:val="fr-FR"/>
        </w:rPr>
        <w:t>es plans d’actions d’appui élaborés et validés.</w:t>
      </w:r>
      <w:r>
        <w:rPr>
          <w:sz w:val="22"/>
          <w:szCs w:val="22"/>
          <w:highlight w:val="lightGray"/>
          <w:lang w:val="fr-FR"/>
        </w:rPr>
        <w:t xml:space="preserve"> </w:t>
      </w:r>
      <w:r w:rsidR="00623082">
        <w:rPr>
          <w:sz w:val="22"/>
          <w:szCs w:val="22"/>
          <w:highlight w:val="lightGray"/>
          <w:lang w:val="fr-FR"/>
        </w:rPr>
        <w:t>L</w:t>
      </w:r>
      <w:r w:rsidR="00214963">
        <w:rPr>
          <w:sz w:val="22"/>
          <w:szCs w:val="22"/>
          <w:highlight w:val="lightGray"/>
          <w:lang w:val="fr-FR"/>
        </w:rPr>
        <w:t>a</w:t>
      </w:r>
      <w:r w:rsidR="00214963" w:rsidRPr="00A14BAE">
        <w:rPr>
          <w:sz w:val="22"/>
          <w:szCs w:val="22"/>
          <w:highlight w:val="lightGray"/>
          <w:lang w:val="fr-FR"/>
        </w:rPr>
        <w:t xml:space="preserve"> </w:t>
      </w:r>
      <w:r w:rsidR="001F0C23" w:rsidRPr="00A14BAE">
        <w:rPr>
          <w:sz w:val="22"/>
          <w:szCs w:val="22"/>
          <w:highlight w:val="lightGray"/>
          <w:lang w:val="fr-FR"/>
        </w:rPr>
        <w:t>révision</w:t>
      </w:r>
      <w:r w:rsidR="00214963" w:rsidRPr="00A14BAE">
        <w:rPr>
          <w:sz w:val="22"/>
          <w:szCs w:val="22"/>
          <w:highlight w:val="lightGray"/>
          <w:lang w:val="fr-FR"/>
        </w:rPr>
        <w:t xml:space="preserve"> du code </w:t>
      </w:r>
      <w:r w:rsidR="00214963">
        <w:rPr>
          <w:sz w:val="22"/>
          <w:szCs w:val="22"/>
          <w:highlight w:val="lightGray"/>
          <w:lang w:val="fr-FR"/>
        </w:rPr>
        <w:t>de justice militaire</w:t>
      </w:r>
      <w:r w:rsidR="001F0C23">
        <w:rPr>
          <w:sz w:val="22"/>
          <w:szCs w:val="22"/>
          <w:highlight w:val="lightGray"/>
          <w:lang w:val="fr-FR"/>
        </w:rPr>
        <w:t xml:space="preserve"> </w:t>
      </w:r>
      <w:r w:rsidR="00623082">
        <w:rPr>
          <w:sz w:val="22"/>
          <w:szCs w:val="22"/>
          <w:highlight w:val="lightGray"/>
          <w:lang w:val="fr-FR"/>
        </w:rPr>
        <w:t xml:space="preserve">a été appuyé </w:t>
      </w:r>
      <w:r w:rsidR="00214963" w:rsidRPr="00A14BAE">
        <w:rPr>
          <w:sz w:val="22"/>
          <w:szCs w:val="22"/>
          <w:highlight w:val="lightGray"/>
          <w:lang w:val="fr-FR"/>
        </w:rPr>
        <w:t>afin de rend</w:t>
      </w:r>
      <w:r w:rsidR="00214963">
        <w:rPr>
          <w:sz w:val="22"/>
          <w:szCs w:val="22"/>
          <w:highlight w:val="lightGray"/>
          <w:lang w:val="fr-FR"/>
        </w:rPr>
        <w:t>re</w:t>
      </w:r>
      <w:r w:rsidR="00214963" w:rsidRPr="00A14BAE">
        <w:rPr>
          <w:sz w:val="22"/>
          <w:szCs w:val="22"/>
          <w:highlight w:val="lightGray"/>
          <w:lang w:val="fr-FR"/>
        </w:rPr>
        <w:t xml:space="preserve"> </w:t>
      </w:r>
      <w:r w:rsidR="000B33F6">
        <w:rPr>
          <w:sz w:val="22"/>
          <w:szCs w:val="22"/>
          <w:highlight w:val="lightGray"/>
          <w:lang w:val="fr-FR"/>
        </w:rPr>
        <w:t xml:space="preserve">la justice militaire malienne </w:t>
      </w:r>
      <w:r w:rsidR="00214963" w:rsidRPr="00A14BAE">
        <w:rPr>
          <w:sz w:val="22"/>
          <w:szCs w:val="22"/>
          <w:highlight w:val="lightGray"/>
          <w:lang w:val="fr-FR"/>
        </w:rPr>
        <w:t>plus efficace</w:t>
      </w:r>
      <w:r w:rsidR="00214963">
        <w:rPr>
          <w:sz w:val="22"/>
          <w:szCs w:val="22"/>
          <w:highlight w:val="lightGray"/>
          <w:lang w:val="fr-FR"/>
        </w:rPr>
        <w:t xml:space="preserve">. </w:t>
      </w:r>
    </w:p>
    <w:p w14:paraId="50DF0ED1" w14:textId="77777777" w:rsidR="001F0C23" w:rsidRDefault="001F0C23" w:rsidP="00A14BAE">
      <w:pPr>
        <w:pStyle w:val="Kommentartext"/>
        <w:rPr>
          <w:sz w:val="22"/>
          <w:szCs w:val="22"/>
          <w:highlight w:val="lightGray"/>
          <w:lang w:val="fr-FR"/>
        </w:rPr>
      </w:pPr>
    </w:p>
    <w:p w14:paraId="7FF0D311" w14:textId="4E1FE6AB" w:rsidR="00AA4EF3" w:rsidRPr="00457FB3" w:rsidRDefault="00457FB3" w:rsidP="00AA2862">
      <w:pPr>
        <w:jc w:val="both"/>
        <w:rPr>
          <w:sz w:val="22"/>
          <w:szCs w:val="22"/>
          <w:highlight w:val="lightGray"/>
          <w:lang w:val="fr-FR"/>
        </w:rPr>
      </w:pPr>
      <w:r>
        <w:rPr>
          <w:sz w:val="22"/>
          <w:szCs w:val="22"/>
          <w:highlight w:val="lightGray"/>
          <w:lang w:val="fr-FR"/>
        </w:rPr>
        <w:t xml:space="preserve">Par rapport à l’appui aux mécanismes informels de gestions et prévention des conflits, </w:t>
      </w:r>
      <w:r w:rsidR="009A3BC9">
        <w:rPr>
          <w:sz w:val="22"/>
          <w:szCs w:val="22"/>
          <w:highlight w:val="lightGray"/>
          <w:lang w:val="fr-FR"/>
        </w:rPr>
        <w:t xml:space="preserve">100 </w:t>
      </w:r>
      <w:proofErr w:type="spellStart"/>
      <w:r w:rsidR="009A3BC9">
        <w:rPr>
          <w:sz w:val="22"/>
          <w:szCs w:val="22"/>
          <w:highlight w:val="lightGray"/>
          <w:lang w:val="fr-FR"/>
        </w:rPr>
        <w:t>CoFo</w:t>
      </w:r>
      <w:r>
        <w:rPr>
          <w:sz w:val="22"/>
          <w:szCs w:val="22"/>
          <w:highlight w:val="lightGray"/>
          <w:lang w:val="fr-FR"/>
        </w:rPr>
        <w:t>s</w:t>
      </w:r>
      <w:proofErr w:type="spellEnd"/>
      <w:r w:rsidR="009A3BC9">
        <w:rPr>
          <w:sz w:val="22"/>
          <w:szCs w:val="22"/>
          <w:highlight w:val="lightGray"/>
          <w:lang w:val="fr-FR"/>
        </w:rPr>
        <w:t xml:space="preserve"> ont été redynamisées</w:t>
      </w:r>
      <w:r w:rsidR="00316730">
        <w:rPr>
          <w:sz w:val="22"/>
          <w:szCs w:val="22"/>
          <w:highlight w:val="lightGray"/>
          <w:lang w:val="fr-FR"/>
        </w:rPr>
        <w:t>.</w:t>
      </w:r>
      <w:r w:rsidR="00F6611E">
        <w:rPr>
          <w:sz w:val="22"/>
          <w:szCs w:val="22"/>
          <w:highlight w:val="lightGray"/>
          <w:lang w:val="fr-FR"/>
        </w:rPr>
        <w:t xml:space="preserve"> </w:t>
      </w:r>
      <w:r w:rsidR="00B35072">
        <w:rPr>
          <w:sz w:val="22"/>
          <w:szCs w:val="22"/>
          <w:highlight w:val="lightGray"/>
          <w:lang w:val="fr-FR"/>
        </w:rPr>
        <w:t xml:space="preserve">En </w:t>
      </w:r>
      <w:r w:rsidR="00316730">
        <w:rPr>
          <w:sz w:val="22"/>
          <w:szCs w:val="22"/>
          <w:highlight w:val="lightGray"/>
          <w:lang w:val="fr-FR"/>
        </w:rPr>
        <w:t>parallèle</w:t>
      </w:r>
      <w:r w:rsidR="00B35072">
        <w:rPr>
          <w:sz w:val="22"/>
          <w:szCs w:val="22"/>
          <w:highlight w:val="lightGray"/>
          <w:lang w:val="fr-FR"/>
        </w:rPr>
        <w:t xml:space="preserve">, des actions visant à renforcer la confiance entre les </w:t>
      </w:r>
      <w:r>
        <w:rPr>
          <w:sz w:val="22"/>
          <w:szCs w:val="22"/>
          <w:highlight w:val="lightGray"/>
          <w:lang w:val="fr-FR"/>
        </w:rPr>
        <w:t>FSD</w:t>
      </w:r>
      <w:r w:rsidR="00B35072">
        <w:rPr>
          <w:sz w:val="22"/>
          <w:szCs w:val="22"/>
          <w:highlight w:val="lightGray"/>
          <w:lang w:val="fr-FR"/>
        </w:rPr>
        <w:t xml:space="preserve"> et les populations ont été appuyé à travers la mise en place des </w:t>
      </w:r>
      <w:r w:rsidR="00AA4EF3" w:rsidRPr="00952FEB">
        <w:rPr>
          <w:sz w:val="22"/>
          <w:szCs w:val="22"/>
          <w:highlight w:val="lightGray"/>
          <w:lang w:val="fr-FR"/>
        </w:rPr>
        <w:t>Comités communaux Consultatifs de Sécurité (CCS)</w:t>
      </w:r>
      <w:r>
        <w:rPr>
          <w:sz w:val="22"/>
          <w:szCs w:val="22"/>
          <w:highlight w:val="lightGray"/>
          <w:lang w:val="fr-FR"/>
        </w:rPr>
        <w:t>, 7 CCS -</w:t>
      </w:r>
      <w:r w:rsidR="00357B15" w:rsidRPr="00952FEB">
        <w:rPr>
          <w:sz w:val="22"/>
          <w:szCs w:val="22"/>
          <w:highlight w:val="lightGray"/>
          <w:lang w:val="fr-FR"/>
        </w:rPr>
        <w:t xml:space="preserve"> composés de </w:t>
      </w:r>
      <w:r w:rsidR="00357B15" w:rsidRPr="00952FEB">
        <w:rPr>
          <w:bCs/>
          <w:sz w:val="22"/>
          <w:szCs w:val="22"/>
          <w:highlight w:val="lightGray"/>
          <w:lang w:val="fr-FR"/>
        </w:rPr>
        <w:t xml:space="preserve">129 personnes (dont 19 femmes et 13 jeunes hommes) - </w:t>
      </w:r>
      <w:r w:rsidR="00AA4EF3" w:rsidRPr="00952FEB">
        <w:rPr>
          <w:sz w:val="22"/>
          <w:szCs w:val="22"/>
          <w:highlight w:val="lightGray"/>
          <w:lang w:val="fr-FR"/>
        </w:rPr>
        <w:t xml:space="preserve">sont fonctionnels et mettent </w:t>
      </w:r>
      <w:r w:rsidR="006E32DB" w:rsidRPr="00952FEB">
        <w:rPr>
          <w:sz w:val="22"/>
          <w:szCs w:val="22"/>
          <w:highlight w:val="lightGray"/>
          <w:lang w:val="fr-FR"/>
        </w:rPr>
        <w:t xml:space="preserve">en </w:t>
      </w:r>
      <w:r w:rsidR="00AA4EF3" w:rsidRPr="00952FEB">
        <w:rPr>
          <w:sz w:val="22"/>
          <w:szCs w:val="22"/>
          <w:highlight w:val="lightGray"/>
          <w:lang w:val="fr-FR"/>
        </w:rPr>
        <w:t xml:space="preserve">œuvre leurs plans à Niono, Bla, San, Bandiagara, Djenné, </w:t>
      </w:r>
      <w:proofErr w:type="spellStart"/>
      <w:r w:rsidR="00AA4EF3" w:rsidRPr="00952FEB">
        <w:rPr>
          <w:sz w:val="22"/>
          <w:szCs w:val="22"/>
          <w:highlight w:val="lightGray"/>
          <w:lang w:val="fr-FR"/>
        </w:rPr>
        <w:t>Yasso</w:t>
      </w:r>
      <w:proofErr w:type="spellEnd"/>
      <w:r w:rsidR="00AA4EF3" w:rsidRPr="00952FEB">
        <w:rPr>
          <w:sz w:val="22"/>
          <w:szCs w:val="22"/>
          <w:highlight w:val="lightGray"/>
          <w:lang w:val="fr-FR"/>
        </w:rPr>
        <w:t xml:space="preserve"> et </w:t>
      </w:r>
      <w:proofErr w:type="spellStart"/>
      <w:r w:rsidR="00AA4EF3" w:rsidRPr="00952FEB">
        <w:rPr>
          <w:sz w:val="22"/>
          <w:szCs w:val="22"/>
          <w:highlight w:val="lightGray"/>
          <w:lang w:val="fr-FR"/>
        </w:rPr>
        <w:t>Femaye</w:t>
      </w:r>
      <w:proofErr w:type="spellEnd"/>
      <w:r w:rsidR="00AA4EF3" w:rsidRPr="00952FEB">
        <w:rPr>
          <w:sz w:val="22"/>
          <w:szCs w:val="22"/>
          <w:highlight w:val="lightGray"/>
          <w:lang w:val="fr-FR"/>
        </w:rPr>
        <w:t xml:space="preserve">. 190 acteurs (dont 50 femmes et 40 jeunes hommes) ont participé aux </w:t>
      </w:r>
      <w:r w:rsidR="003300CD" w:rsidRPr="00952FEB">
        <w:rPr>
          <w:sz w:val="22"/>
          <w:szCs w:val="22"/>
          <w:highlight w:val="lightGray"/>
          <w:lang w:val="fr-FR"/>
        </w:rPr>
        <w:t xml:space="preserve">4 </w:t>
      </w:r>
      <w:r w:rsidR="00AA4EF3" w:rsidRPr="00952FEB">
        <w:rPr>
          <w:sz w:val="22"/>
          <w:szCs w:val="22"/>
          <w:highlight w:val="lightGray"/>
          <w:lang w:val="fr-FR"/>
        </w:rPr>
        <w:t xml:space="preserve">ateliers organisés pour la réalisation de l’analyse participative. 7767 personnes </w:t>
      </w:r>
      <w:r w:rsidR="00357B15" w:rsidRPr="00952FEB">
        <w:rPr>
          <w:sz w:val="22"/>
          <w:szCs w:val="22"/>
          <w:highlight w:val="lightGray"/>
          <w:lang w:val="fr-FR"/>
        </w:rPr>
        <w:t>ont été</w:t>
      </w:r>
      <w:r w:rsidR="00AA4EF3" w:rsidRPr="00952FEB">
        <w:rPr>
          <w:sz w:val="22"/>
          <w:szCs w:val="22"/>
          <w:highlight w:val="lightGray"/>
          <w:lang w:val="fr-FR"/>
        </w:rPr>
        <w:t xml:space="preserve"> sensibilisées sur l’importance et le rôle des CCS (dont 17% de femmes).</w:t>
      </w:r>
      <w:r w:rsidR="006E32DB" w:rsidRPr="00952FEB">
        <w:rPr>
          <w:i/>
          <w:iCs/>
          <w:sz w:val="22"/>
          <w:szCs w:val="22"/>
          <w:highlight w:val="lightGray"/>
          <w:lang w:val="fr-FR"/>
        </w:rPr>
        <w:t xml:space="preserve"> </w:t>
      </w:r>
    </w:p>
    <w:p w14:paraId="54DE2DA5" w14:textId="77777777" w:rsidR="00AA4EF3" w:rsidRPr="00952FEB" w:rsidRDefault="00AA4EF3" w:rsidP="00AA2862">
      <w:pPr>
        <w:jc w:val="both"/>
        <w:rPr>
          <w:sz w:val="22"/>
          <w:szCs w:val="22"/>
          <w:highlight w:val="lightGray"/>
          <w:lang w:val="fr-FR"/>
        </w:rPr>
      </w:pPr>
    </w:p>
    <w:p w14:paraId="009CE69C" w14:textId="78E70D9D" w:rsidR="00AA4EF3" w:rsidRPr="00952FEB" w:rsidRDefault="00AA4EF3" w:rsidP="00AA2862">
      <w:pPr>
        <w:jc w:val="both"/>
        <w:rPr>
          <w:sz w:val="22"/>
          <w:szCs w:val="22"/>
          <w:highlight w:val="lightGray"/>
          <w:lang w:val="fr-FR"/>
        </w:rPr>
      </w:pPr>
      <w:r w:rsidRPr="00952FEB">
        <w:rPr>
          <w:sz w:val="22"/>
          <w:szCs w:val="22"/>
          <w:highlight w:val="lightGray"/>
          <w:lang w:val="fr-FR"/>
        </w:rPr>
        <w:t xml:space="preserve">S’agissant de l’appui à la redynamisation des </w:t>
      </w:r>
      <w:proofErr w:type="spellStart"/>
      <w:r w:rsidR="006E32DB" w:rsidRPr="00952FEB">
        <w:rPr>
          <w:sz w:val="22"/>
          <w:szCs w:val="22"/>
          <w:highlight w:val="lightGray"/>
          <w:lang w:val="fr-FR"/>
        </w:rPr>
        <w:t>CoFos</w:t>
      </w:r>
      <w:proofErr w:type="spellEnd"/>
      <w:r w:rsidRPr="00952FEB">
        <w:rPr>
          <w:sz w:val="22"/>
          <w:szCs w:val="22"/>
          <w:highlight w:val="lightGray"/>
          <w:lang w:val="fr-FR"/>
        </w:rPr>
        <w:t xml:space="preserve"> communales, 463 membres de 100 </w:t>
      </w:r>
      <w:proofErr w:type="spellStart"/>
      <w:r w:rsidRPr="00952FEB">
        <w:rPr>
          <w:sz w:val="22"/>
          <w:szCs w:val="22"/>
          <w:highlight w:val="lightGray"/>
          <w:lang w:val="fr-FR"/>
        </w:rPr>
        <w:t>CoFos</w:t>
      </w:r>
      <w:proofErr w:type="spellEnd"/>
      <w:r w:rsidRPr="00952FEB">
        <w:rPr>
          <w:sz w:val="22"/>
          <w:szCs w:val="22"/>
          <w:highlight w:val="lightGray"/>
          <w:lang w:val="fr-FR"/>
        </w:rPr>
        <w:t xml:space="preserve"> dans les </w:t>
      </w:r>
      <w:r w:rsidR="003300CD" w:rsidRPr="00952FEB">
        <w:rPr>
          <w:sz w:val="22"/>
          <w:szCs w:val="22"/>
          <w:highlight w:val="lightGray"/>
          <w:lang w:val="fr-FR"/>
        </w:rPr>
        <w:t>c</w:t>
      </w:r>
      <w:r w:rsidRPr="00952FEB">
        <w:rPr>
          <w:sz w:val="22"/>
          <w:szCs w:val="22"/>
          <w:highlight w:val="lightGray"/>
          <w:lang w:val="fr-FR"/>
        </w:rPr>
        <w:t xml:space="preserve">ercles </w:t>
      </w:r>
      <w:r w:rsidR="003300CD" w:rsidRPr="00952FEB">
        <w:rPr>
          <w:sz w:val="22"/>
          <w:szCs w:val="22"/>
          <w:highlight w:val="lightGray"/>
          <w:lang w:val="fr-FR"/>
        </w:rPr>
        <w:t xml:space="preserve">de </w:t>
      </w:r>
      <w:r w:rsidRPr="00952FEB">
        <w:rPr>
          <w:sz w:val="22"/>
          <w:szCs w:val="22"/>
          <w:highlight w:val="lightGray"/>
          <w:lang w:val="fr-FR"/>
        </w:rPr>
        <w:t xml:space="preserve">Ségou, Bla, </w:t>
      </w:r>
      <w:proofErr w:type="spellStart"/>
      <w:r w:rsidRPr="00952FEB">
        <w:rPr>
          <w:sz w:val="22"/>
          <w:szCs w:val="22"/>
          <w:highlight w:val="lightGray"/>
          <w:lang w:val="fr-FR"/>
        </w:rPr>
        <w:t>Niono</w:t>
      </w:r>
      <w:proofErr w:type="spellEnd"/>
      <w:r w:rsidRPr="00952FEB">
        <w:rPr>
          <w:sz w:val="22"/>
          <w:szCs w:val="22"/>
          <w:highlight w:val="lightGray"/>
          <w:lang w:val="fr-FR"/>
        </w:rPr>
        <w:t xml:space="preserve">, San, </w:t>
      </w:r>
      <w:proofErr w:type="spellStart"/>
      <w:r w:rsidRPr="00952FEB">
        <w:rPr>
          <w:sz w:val="22"/>
          <w:szCs w:val="22"/>
          <w:highlight w:val="lightGray"/>
          <w:lang w:val="fr-FR"/>
        </w:rPr>
        <w:t>Djénné</w:t>
      </w:r>
      <w:proofErr w:type="spellEnd"/>
      <w:r w:rsidRPr="00952FEB">
        <w:rPr>
          <w:sz w:val="22"/>
          <w:szCs w:val="22"/>
          <w:highlight w:val="lightGray"/>
          <w:lang w:val="fr-FR"/>
        </w:rPr>
        <w:t>, Bandiagara et Mopti sont renforcés sur les thématiques en relation avec leurs rôles selon les textes et lois existants (dont 49 femmes, 42 jeunes hommes et 12 jeunes femmes). 72 conflits liés au foncier dont 46 ont été gérés en conciliation et 16 dossiers sont en cours d’examen. Les acteurs de la justice de Mopti, Bandiagara</w:t>
      </w:r>
      <w:r w:rsidR="00ED6B34" w:rsidRPr="00952FEB">
        <w:rPr>
          <w:sz w:val="22"/>
          <w:szCs w:val="22"/>
          <w:highlight w:val="lightGray"/>
          <w:lang w:val="fr-FR"/>
        </w:rPr>
        <w:t xml:space="preserve"> et Djenné</w:t>
      </w:r>
      <w:r w:rsidRPr="00952FEB">
        <w:rPr>
          <w:sz w:val="22"/>
          <w:szCs w:val="22"/>
          <w:highlight w:val="lightGray"/>
          <w:lang w:val="fr-FR"/>
        </w:rPr>
        <w:t xml:space="preserve"> (27 personnes dont 5 femmes, 4 jeunes hommes et 1 jeune femme) </w:t>
      </w:r>
      <w:r w:rsidR="00357B15" w:rsidRPr="00952FEB">
        <w:rPr>
          <w:sz w:val="22"/>
          <w:szCs w:val="22"/>
          <w:highlight w:val="lightGray"/>
          <w:lang w:val="fr-FR"/>
        </w:rPr>
        <w:t>ont été</w:t>
      </w:r>
      <w:r w:rsidRPr="00952FEB">
        <w:rPr>
          <w:sz w:val="22"/>
          <w:szCs w:val="22"/>
          <w:highlight w:val="lightGray"/>
          <w:lang w:val="fr-FR"/>
        </w:rPr>
        <w:t xml:space="preserve"> renforcés sur le rôle des </w:t>
      </w:r>
      <w:proofErr w:type="spellStart"/>
      <w:r w:rsidRPr="00952FEB">
        <w:rPr>
          <w:sz w:val="22"/>
          <w:szCs w:val="22"/>
          <w:highlight w:val="lightGray"/>
          <w:lang w:val="fr-FR"/>
        </w:rPr>
        <w:t>CoFos</w:t>
      </w:r>
      <w:proofErr w:type="spellEnd"/>
      <w:r w:rsidRPr="00952FEB">
        <w:rPr>
          <w:sz w:val="22"/>
          <w:szCs w:val="22"/>
          <w:highlight w:val="lightGray"/>
          <w:lang w:val="fr-FR"/>
        </w:rPr>
        <w:t xml:space="preserve"> et les conditions d’homologation des </w:t>
      </w:r>
      <w:proofErr w:type="spellStart"/>
      <w:r w:rsidRPr="00952FEB">
        <w:rPr>
          <w:sz w:val="22"/>
          <w:szCs w:val="22"/>
          <w:highlight w:val="lightGray"/>
          <w:lang w:val="fr-FR"/>
        </w:rPr>
        <w:t>procès verbaux</w:t>
      </w:r>
      <w:proofErr w:type="spellEnd"/>
      <w:r w:rsidRPr="00952FEB">
        <w:rPr>
          <w:sz w:val="22"/>
          <w:szCs w:val="22"/>
          <w:highlight w:val="lightGray"/>
          <w:lang w:val="fr-FR"/>
        </w:rPr>
        <w:t>.</w:t>
      </w:r>
    </w:p>
    <w:p w14:paraId="1E478F0B" w14:textId="293BE01D" w:rsidR="00AA4EF3" w:rsidRDefault="00AA4EF3" w:rsidP="00AA2862">
      <w:pPr>
        <w:jc w:val="both"/>
        <w:rPr>
          <w:sz w:val="22"/>
          <w:szCs w:val="22"/>
          <w:highlight w:val="lightGray"/>
          <w:lang w:val="fr-FR"/>
        </w:rPr>
      </w:pPr>
    </w:p>
    <w:p w14:paraId="2FD91930" w14:textId="4142978C" w:rsidR="00BA3025" w:rsidRPr="00952FEB" w:rsidRDefault="00BA3025" w:rsidP="00BA3025">
      <w:pPr>
        <w:jc w:val="both"/>
        <w:rPr>
          <w:sz w:val="22"/>
          <w:szCs w:val="22"/>
          <w:highlight w:val="lightGray"/>
          <w:lang w:val="fr-FR"/>
        </w:rPr>
      </w:pPr>
      <w:r w:rsidRPr="00952FEB">
        <w:rPr>
          <w:sz w:val="22"/>
          <w:szCs w:val="22"/>
          <w:highlight w:val="lightGray"/>
          <w:lang w:val="fr-FR"/>
        </w:rPr>
        <w:t xml:space="preserve">Les connaissances de 143 acteurs de la justice formelle et informelle (dont 56 femmes) </w:t>
      </w:r>
      <w:r w:rsidR="00457FB3">
        <w:rPr>
          <w:sz w:val="22"/>
          <w:szCs w:val="22"/>
          <w:highlight w:val="lightGray"/>
          <w:lang w:val="fr-FR"/>
        </w:rPr>
        <w:t>ont été</w:t>
      </w:r>
      <w:r w:rsidRPr="00952FEB">
        <w:rPr>
          <w:sz w:val="22"/>
          <w:szCs w:val="22"/>
          <w:highlight w:val="lightGray"/>
          <w:lang w:val="fr-FR"/>
        </w:rPr>
        <w:t xml:space="preserve"> améliorées sur le genre, les droits humains et les besoins stratégiques des femmes. 80 acteurs </w:t>
      </w:r>
      <w:r w:rsidRPr="00952FEB">
        <w:rPr>
          <w:sz w:val="22"/>
          <w:szCs w:val="22"/>
          <w:highlight w:val="lightGray"/>
          <w:lang w:val="fr-FR"/>
        </w:rPr>
        <w:lastRenderedPageBreak/>
        <w:t xml:space="preserve">de la chaine pénale (dont 30 femmes) ont des connaissances accrues sur le genre, les droits humains et les besoins stratégiques des femmes. </w:t>
      </w:r>
    </w:p>
    <w:p w14:paraId="791182F0" w14:textId="77777777" w:rsidR="00BA3025" w:rsidRPr="00952FEB" w:rsidRDefault="00BA3025" w:rsidP="00AA2862">
      <w:pPr>
        <w:jc w:val="both"/>
        <w:rPr>
          <w:sz w:val="22"/>
          <w:szCs w:val="22"/>
          <w:highlight w:val="lightGray"/>
          <w:lang w:val="fr-FR"/>
        </w:rPr>
      </w:pPr>
    </w:p>
    <w:p w14:paraId="41D73739" w14:textId="1A6116D8" w:rsidR="00AA4EF3" w:rsidRPr="00952FEB" w:rsidRDefault="00AA4EF3" w:rsidP="00AA2862">
      <w:pPr>
        <w:jc w:val="both"/>
        <w:rPr>
          <w:sz w:val="22"/>
          <w:szCs w:val="22"/>
          <w:highlight w:val="lightGray"/>
          <w:lang w:val="fr-FR"/>
        </w:rPr>
      </w:pPr>
      <w:r w:rsidRPr="00952FEB">
        <w:rPr>
          <w:sz w:val="22"/>
          <w:szCs w:val="22"/>
          <w:highlight w:val="lightGray"/>
          <w:lang w:val="fr-FR"/>
        </w:rPr>
        <w:t xml:space="preserve">158 campagnes de sensibilisation </w:t>
      </w:r>
      <w:r w:rsidR="00357B15" w:rsidRPr="00952FEB">
        <w:rPr>
          <w:sz w:val="22"/>
          <w:szCs w:val="22"/>
          <w:highlight w:val="lightGray"/>
          <w:lang w:val="fr-FR"/>
        </w:rPr>
        <w:t xml:space="preserve">(121 à Ségou et 37 à Mopti) </w:t>
      </w:r>
      <w:r w:rsidRPr="00952FEB">
        <w:rPr>
          <w:sz w:val="22"/>
          <w:szCs w:val="22"/>
          <w:highlight w:val="lightGray"/>
          <w:lang w:val="fr-FR"/>
        </w:rPr>
        <w:t xml:space="preserve">sur les mécanismes formels et informels de gestion des conflits ont été réalisées </w:t>
      </w:r>
      <w:r w:rsidR="00357B15" w:rsidRPr="00952FEB">
        <w:rPr>
          <w:sz w:val="22"/>
          <w:szCs w:val="22"/>
          <w:highlight w:val="lightGray"/>
          <w:lang w:val="fr-FR"/>
        </w:rPr>
        <w:t xml:space="preserve">qui </w:t>
      </w:r>
      <w:proofErr w:type="gramStart"/>
      <w:r w:rsidR="00357B15" w:rsidRPr="00952FEB">
        <w:rPr>
          <w:sz w:val="22"/>
          <w:szCs w:val="22"/>
          <w:highlight w:val="lightGray"/>
          <w:lang w:val="fr-FR"/>
        </w:rPr>
        <w:t>ont</w:t>
      </w:r>
      <w:proofErr w:type="gramEnd"/>
      <w:r w:rsidR="00357B15" w:rsidRPr="00952FEB">
        <w:rPr>
          <w:sz w:val="22"/>
          <w:szCs w:val="22"/>
          <w:highlight w:val="lightGray"/>
          <w:lang w:val="fr-FR"/>
        </w:rPr>
        <w:t xml:space="preserve"> touché 4824 personnes (dont 1326 femmes, 1136 jeunes hommes et 930 jeunes femmes) de Ségou et à 769 personnes (187 femmes, 158 jeunes hommes et 99 jeunes femmes) de Mopti.</w:t>
      </w:r>
      <w:r w:rsidRPr="00952FEB">
        <w:rPr>
          <w:sz w:val="22"/>
          <w:szCs w:val="22"/>
          <w:highlight w:val="lightGray"/>
          <w:lang w:val="fr-FR"/>
        </w:rPr>
        <w:t xml:space="preserve"> Les radios de proximité ont diffus</w:t>
      </w:r>
      <w:r w:rsidR="007976BE" w:rsidRPr="00952FEB">
        <w:rPr>
          <w:rFonts w:eastAsia="HGGothicE"/>
          <w:sz w:val="22"/>
          <w:szCs w:val="22"/>
          <w:highlight w:val="lightGray"/>
          <w:lang w:val="fr-FR"/>
        </w:rPr>
        <w:t>é</w:t>
      </w:r>
      <w:r w:rsidRPr="00952FEB">
        <w:rPr>
          <w:sz w:val="22"/>
          <w:szCs w:val="22"/>
          <w:highlight w:val="lightGray"/>
          <w:lang w:val="fr-FR"/>
        </w:rPr>
        <w:t xml:space="preserve"> des sketches sur le rôle des </w:t>
      </w:r>
      <w:proofErr w:type="spellStart"/>
      <w:r w:rsidRPr="00952FEB">
        <w:rPr>
          <w:sz w:val="22"/>
          <w:szCs w:val="22"/>
          <w:highlight w:val="lightGray"/>
          <w:lang w:val="fr-FR"/>
        </w:rPr>
        <w:t>CoFos</w:t>
      </w:r>
      <w:proofErr w:type="spellEnd"/>
      <w:r w:rsidRPr="00952FEB">
        <w:rPr>
          <w:sz w:val="22"/>
          <w:szCs w:val="22"/>
          <w:highlight w:val="lightGray"/>
          <w:lang w:val="fr-FR"/>
        </w:rPr>
        <w:t xml:space="preserve"> dans la gestion du foncier agricole dans les </w:t>
      </w:r>
      <w:r w:rsidR="007976BE" w:rsidRPr="00952FEB">
        <w:rPr>
          <w:sz w:val="22"/>
          <w:szCs w:val="22"/>
          <w:highlight w:val="lightGray"/>
          <w:lang w:val="fr-FR"/>
        </w:rPr>
        <w:t>c</w:t>
      </w:r>
      <w:r w:rsidRPr="00952FEB">
        <w:rPr>
          <w:sz w:val="22"/>
          <w:szCs w:val="22"/>
          <w:highlight w:val="lightGray"/>
          <w:lang w:val="fr-FR"/>
        </w:rPr>
        <w:t>ercles de Niono, Ségou, San, Mopti</w:t>
      </w:r>
      <w:r w:rsidR="00ED6B34" w:rsidRPr="00952FEB">
        <w:rPr>
          <w:sz w:val="22"/>
          <w:szCs w:val="22"/>
          <w:highlight w:val="lightGray"/>
          <w:lang w:val="fr-FR"/>
        </w:rPr>
        <w:t xml:space="preserve"> et</w:t>
      </w:r>
      <w:r w:rsidRPr="00952FEB">
        <w:rPr>
          <w:sz w:val="22"/>
          <w:szCs w:val="22"/>
          <w:highlight w:val="lightGray"/>
          <w:lang w:val="fr-FR"/>
        </w:rPr>
        <w:t xml:space="preserve"> Bandiagara </w:t>
      </w:r>
      <w:r w:rsidR="00952FEB">
        <w:rPr>
          <w:sz w:val="22"/>
          <w:szCs w:val="22"/>
          <w:highlight w:val="lightGray"/>
          <w:lang w:val="fr-FR"/>
        </w:rPr>
        <w:t>en</w:t>
      </w:r>
      <w:r w:rsidRPr="00952FEB">
        <w:rPr>
          <w:sz w:val="22"/>
          <w:szCs w:val="22"/>
          <w:highlight w:val="lightGray"/>
          <w:lang w:val="fr-FR"/>
        </w:rPr>
        <w:t xml:space="preserve"> langues</w:t>
      </w:r>
      <w:r w:rsidR="00357B15" w:rsidRPr="00952FEB">
        <w:rPr>
          <w:sz w:val="22"/>
          <w:szCs w:val="22"/>
          <w:highlight w:val="lightGray"/>
          <w:lang w:val="fr-FR"/>
        </w:rPr>
        <w:t xml:space="preserve"> vernaculaires</w:t>
      </w:r>
      <w:r w:rsidRPr="00952FEB">
        <w:rPr>
          <w:sz w:val="22"/>
          <w:szCs w:val="22"/>
          <w:highlight w:val="lightGray"/>
          <w:lang w:val="fr-FR"/>
        </w:rPr>
        <w:t xml:space="preserve">. </w:t>
      </w:r>
      <w:r w:rsidR="00357B15" w:rsidRPr="00952FEB">
        <w:rPr>
          <w:sz w:val="22"/>
          <w:szCs w:val="22"/>
          <w:highlight w:val="lightGray"/>
          <w:lang w:val="fr-FR"/>
        </w:rPr>
        <w:t>A</w:t>
      </w:r>
      <w:r w:rsidRPr="00952FEB">
        <w:rPr>
          <w:sz w:val="22"/>
          <w:szCs w:val="22"/>
          <w:highlight w:val="lightGray"/>
          <w:lang w:val="fr-FR"/>
        </w:rPr>
        <w:t xml:space="preserve">u moins 153 </w:t>
      </w:r>
      <w:proofErr w:type="spellStart"/>
      <w:r w:rsidRPr="00952FEB">
        <w:rPr>
          <w:sz w:val="22"/>
          <w:szCs w:val="22"/>
          <w:highlight w:val="lightGray"/>
          <w:lang w:val="fr-FR"/>
        </w:rPr>
        <w:t>CoFos</w:t>
      </w:r>
      <w:proofErr w:type="spellEnd"/>
      <w:r w:rsidRPr="00952FEB">
        <w:rPr>
          <w:sz w:val="22"/>
          <w:szCs w:val="22"/>
          <w:highlight w:val="lightGray"/>
          <w:lang w:val="fr-FR"/>
        </w:rPr>
        <w:t xml:space="preserve"> ont été dotés en équipements pour la géolocalisation et le dimensionnement des parcelles. </w:t>
      </w:r>
    </w:p>
    <w:p w14:paraId="324C6035" w14:textId="77777777" w:rsidR="00A96360" w:rsidRDefault="00A96360" w:rsidP="00AA2862">
      <w:pPr>
        <w:jc w:val="both"/>
        <w:rPr>
          <w:sz w:val="22"/>
          <w:szCs w:val="22"/>
          <w:highlight w:val="lightGray"/>
          <w:lang w:val="fr-FR"/>
        </w:rPr>
      </w:pPr>
    </w:p>
    <w:p w14:paraId="4752FE22" w14:textId="37139D75" w:rsidR="00AA4EF3" w:rsidRDefault="006E2F51" w:rsidP="00AA2862">
      <w:pPr>
        <w:jc w:val="both"/>
        <w:rPr>
          <w:sz w:val="22"/>
          <w:szCs w:val="22"/>
          <w:highlight w:val="lightGray"/>
          <w:lang w:val="fr-FR"/>
        </w:rPr>
      </w:pPr>
      <w:r w:rsidRPr="00952FEB">
        <w:rPr>
          <w:sz w:val="22"/>
          <w:szCs w:val="22"/>
          <w:highlight w:val="lightGray"/>
          <w:lang w:val="fr-FR"/>
        </w:rPr>
        <w:t xml:space="preserve">La contractualisation </w:t>
      </w:r>
      <w:r w:rsidR="00A96360">
        <w:rPr>
          <w:sz w:val="22"/>
          <w:szCs w:val="22"/>
          <w:highlight w:val="lightGray"/>
          <w:lang w:val="fr-FR"/>
        </w:rPr>
        <w:t xml:space="preserve">de </w:t>
      </w:r>
      <w:r w:rsidR="00A96360" w:rsidRPr="00952FEB">
        <w:rPr>
          <w:sz w:val="22"/>
          <w:szCs w:val="22"/>
          <w:highlight w:val="lightGray"/>
          <w:lang w:val="fr-FR"/>
        </w:rPr>
        <w:t xml:space="preserve">l’étude du degré de prise en compte des droits humains et du genre dans le fonctionnement de la chaine pénale </w:t>
      </w:r>
      <w:r w:rsidRPr="00952FEB">
        <w:rPr>
          <w:sz w:val="22"/>
          <w:szCs w:val="22"/>
          <w:highlight w:val="lightGray"/>
          <w:lang w:val="fr-FR"/>
        </w:rPr>
        <w:t>est en cours après</w:t>
      </w:r>
      <w:r w:rsidR="00AA4EF3" w:rsidRPr="00952FEB">
        <w:rPr>
          <w:sz w:val="22"/>
          <w:szCs w:val="22"/>
          <w:highlight w:val="lightGray"/>
          <w:lang w:val="fr-FR"/>
        </w:rPr>
        <w:t xml:space="preserve"> plusieurs </w:t>
      </w:r>
      <w:r w:rsidRPr="00952FEB">
        <w:rPr>
          <w:sz w:val="22"/>
          <w:szCs w:val="22"/>
          <w:highlight w:val="lightGray"/>
          <w:lang w:val="fr-FR"/>
        </w:rPr>
        <w:t>relances de l’appel</w:t>
      </w:r>
      <w:r w:rsidR="00AA4EF3" w:rsidRPr="00952FEB">
        <w:rPr>
          <w:sz w:val="22"/>
          <w:szCs w:val="22"/>
          <w:highlight w:val="lightGray"/>
          <w:lang w:val="fr-FR"/>
        </w:rPr>
        <w:t>, faute de candidatures qualifiées.</w:t>
      </w:r>
      <w:r w:rsidR="00B15E83">
        <w:rPr>
          <w:sz w:val="22"/>
          <w:szCs w:val="22"/>
          <w:highlight w:val="lightGray"/>
          <w:lang w:val="fr-FR"/>
        </w:rPr>
        <w:t xml:space="preserve"> </w:t>
      </w:r>
      <w:r w:rsidR="00AA4EF3" w:rsidRPr="00952FEB">
        <w:rPr>
          <w:sz w:val="22"/>
          <w:szCs w:val="22"/>
          <w:highlight w:val="lightGray"/>
          <w:lang w:val="fr-FR"/>
        </w:rPr>
        <w:t>Les progrès des organes de redevabilité interne et de leurs points focaux genre ne sont pas encore constatés, à cause des contraintes qui ont retardé la signature des contrats de ces deux ministères. Leurs actions sont en cours.</w:t>
      </w:r>
    </w:p>
    <w:p w14:paraId="738077C6" w14:textId="227FDC0B" w:rsidR="001F0C23" w:rsidRDefault="001F0C23" w:rsidP="00AA2862">
      <w:pPr>
        <w:jc w:val="both"/>
        <w:rPr>
          <w:sz w:val="22"/>
          <w:szCs w:val="22"/>
          <w:highlight w:val="lightGray"/>
          <w:lang w:val="fr-FR"/>
        </w:rPr>
      </w:pPr>
    </w:p>
    <w:p w14:paraId="407426A0" w14:textId="4FA9B1A0" w:rsidR="00554E32" w:rsidRPr="00554E32" w:rsidRDefault="001F0C23" w:rsidP="00554E32">
      <w:pPr>
        <w:jc w:val="both"/>
        <w:rPr>
          <w:sz w:val="22"/>
          <w:szCs w:val="22"/>
          <w:highlight w:val="lightGray"/>
          <w:lang w:val="fr-FR"/>
        </w:rPr>
      </w:pPr>
      <w:r w:rsidRPr="00554E32">
        <w:rPr>
          <w:sz w:val="22"/>
          <w:szCs w:val="22"/>
          <w:highlight w:val="lightGray"/>
          <w:lang w:val="fr-FR"/>
        </w:rPr>
        <w:t>Pour résumer</w:t>
      </w:r>
      <w:r w:rsidR="00A96360" w:rsidRPr="00554E32">
        <w:rPr>
          <w:sz w:val="22"/>
          <w:szCs w:val="22"/>
          <w:highlight w:val="lightGray"/>
          <w:lang w:val="fr-FR"/>
        </w:rPr>
        <w:t xml:space="preserve"> le progrès pour le résultat 2</w:t>
      </w:r>
      <w:r w:rsidRPr="00554E32">
        <w:rPr>
          <w:sz w:val="22"/>
          <w:szCs w:val="22"/>
          <w:highlight w:val="lightGray"/>
          <w:lang w:val="fr-FR"/>
        </w:rPr>
        <w:t xml:space="preserve">, </w:t>
      </w:r>
      <w:r w:rsidR="00554E32" w:rsidRPr="00554E32">
        <w:rPr>
          <w:sz w:val="22"/>
          <w:szCs w:val="22"/>
          <w:highlight w:val="lightGray"/>
          <w:lang w:val="fr-FR"/>
        </w:rPr>
        <w:t>des appuis ont été fournis aux acteurs de la justice</w:t>
      </w:r>
      <w:r w:rsidR="00554E32" w:rsidRPr="00554E32">
        <w:rPr>
          <w:highlight w:val="lightGray"/>
          <w:lang w:val="fr-FR"/>
        </w:rPr>
        <w:t> </w:t>
      </w:r>
      <w:r w:rsidR="00554E32" w:rsidRPr="00554E32">
        <w:rPr>
          <w:sz w:val="22"/>
          <w:szCs w:val="22"/>
          <w:highlight w:val="lightGray"/>
          <w:lang w:val="fr-FR"/>
        </w:rPr>
        <w:t xml:space="preserve">afin de renforcer leur efficacité. La confiance entre </w:t>
      </w:r>
      <w:r w:rsidR="00554E32">
        <w:rPr>
          <w:sz w:val="22"/>
          <w:szCs w:val="22"/>
          <w:highlight w:val="lightGray"/>
          <w:lang w:val="fr-FR"/>
        </w:rPr>
        <w:t>l</w:t>
      </w:r>
      <w:r w:rsidR="00554E32" w:rsidRPr="00554E32">
        <w:rPr>
          <w:sz w:val="22"/>
          <w:szCs w:val="22"/>
          <w:highlight w:val="lightGray"/>
          <w:lang w:val="fr-FR"/>
        </w:rPr>
        <w:t xml:space="preserve">es </w:t>
      </w:r>
      <w:proofErr w:type="spellStart"/>
      <w:r w:rsidR="00554E32" w:rsidRPr="00554E32">
        <w:rPr>
          <w:sz w:val="22"/>
          <w:szCs w:val="22"/>
          <w:highlight w:val="lightGray"/>
          <w:lang w:val="fr-FR"/>
        </w:rPr>
        <w:t>CoFos</w:t>
      </w:r>
      <w:proofErr w:type="spellEnd"/>
      <w:r w:rsidR="00554E32" w:rsidRPr="00554E32">
        <w:rPr>
          <w:sz w:val="22"/>
          <w:szCs w:val="22"/>
          <w:highlight w:val="lightGray"/>
          <w:lang w:val="fr-FR"/>
        </w:rPr>
        <w:t xml:space="preserve"> et les juridictions se construit progressivement à travers l’homologation des </w:t>
      </w:r>
      <w:r w:rsidR="00554E32">
        <w:rPr>
          <w:sz w:val="22"/>
          <w:szCs w:val="22"/>
          <w:highlight w:val="lightGray"/>
          <w:lang w:val="fr-FR"/>
        </w:rPr>
        <w:t>PV</w:t>
      </w:r>
      <w:r w:rsidR="00554E32">
        <w:rPr>
          <w:highlight w:val="lightGray"/>
          <w:lang w:val="fr-FR"/>
        </w:rPr>
        <w:t xml:space="preserve">, </w:t>
      </w:r>
      <w:r w:rsidR="00554E32" w:rsidRPr="00554E32">
        <w:rPr>
          <w:sz w:val="22"/>
          <w:szCs w:val="22"/>
          <w:highlight w:val="lightGray"/>
          <w:lang w:val="fr-FR"/>
        </w:rPr>
        <w:t>grâce aux actions de sensibilisation</w:t>
      </w:r>
      <w:r w:rsidR="00554E32" w:rsidRPr="00554E32">
        <w:rPr>
          <w:highlight w:val="lightGray"/>
          <w:lang w:val="fr-FR"/>
        </w:rPr>
        <w:t> </w:t>
      </w:r>
      <w:r w:rsidR="00554E32" w:rsidRPr="00554E32">
        <w:rPr>
          <w:sz w:val="22"/>
          <w:szCs w:val="22"/>
          <w:highlight w:val="lightGray"/>
          <w:lang w:val="fr-FR"/>
        </w:rPr>
        <w:t xml:space="preserve">et de renforcement des capacités sur les mécanismes de gestion et de prévention des conflits et des actions visant à renforcer la confiance entre les </w:t>
      </w:r>
      <w:r w:rsidR="00554E32">
        <w:rPr>
          <w:sz w:val="22"/>
          <w:szCs w:val="22"/>
          <w:highlight w:val="lightGray"/>
          <w:lang w:val="fr-FR"/>
        </w:rPr>
        <w:t>FSD</w:t>
      </w:r>
      <w:r w:rsidR="00554E32" w:rsidRPr="00554E32">
        <w:rPr>
          <w:sz w:val="22"/>
          <w:szCs w:val="22"/>
          <w:highlight w:val="lightGray"/>
          <w:lang w:val="fr-FR"/>
        </w:rPr>
        <w:t xml:space="preserve"> et les populations.</w:t>
      </w:r>
    </w:p>
    <w:p w14:paraId="335CD0C1" w14:textId="42FA90A8" w:rsidR="001F0C23" w:rsidRDefault="00623082" w:rsidP="001F0C23">
      <w:pPr>
        <w:jc w:val="both"/>
        <w:rPr>
          <w:sz w:val="22"/>
          <w:szCs w:val="22"/>
          <w:highlight w:val="lightGray"/>
          <w:lang w:val="fr-FR"/>
        </w:rPr>
      </w:pPr>
      <w:r w:rsidRPr="00952FEB">
        <w:rPr>
          <w:sz w:val="22"/>
          <w:szCs w:val="22"/>
          <w:highlight w:val="lightGray"/>
          <w:lang w:val="fr-FR"/>
        </w:rPr>
        <w:t>.</w:t>
      </w:r>
    </w:p>
    <w:bookmarkEnd w:id="11"/>
    <w:p w14:paraId="554EA79F" w14:textId="77777777" w:rsidR="005679CF" w:rsidRPr="00ED6B34" w:rsidRDefault="005679CF" w:rsidP="005679CF">
      <w:pPr>
        <w:jc w:val="both"/>
        <w:rPr>
          <w:bCs/>
          <w:sz w:val="22"/>
          <w:szCs w:val="22"/>
          <w:highlight w:val="lightGray"/>
          <w:lang w:val="fr-FR"/>
        </w:rPr>
      </w:pPr>
    </w:p>
    <w:bookmarkEnd w:id="12"/>
    <w:p w14:paraId="772B93EF" w14:textId="13EC3E3A" w:rsidR="00675507" w:rsidRPr="00ED6B34" w:rsidRDefault="00675507" w:rsidP="00675507">
      <w:pPr>
        <w:ind w:left="-720"/>
        <w:rPr>
          <w:b/>
          <w:lang w:val="fr-FR"/>
        </w:rPr>
      </w:pPr>
      <w:r w:rsidRPr="00ED6B34">
        <w:rPr>
          <w:b/>
          <w:bCs/>
          <w:lang w:val="fr-FR" w:eastAsia="en-US"/>
        </w:rPr>
        <w:t>Indiquez toute analyse supplémentaire sur la manière dont l'égalité entre les sexes et l'autonomisation des femmes et / ou l'inclusion</w:t>
      </w:r>
      <w:r w:rsidR="007266C3">
        <w:rPr>
          <w:b/>
          <w:bCs/>
          <w:lang w:val="fr-FR" w:eastAsia="en-US"/>
        </w:rPr>
        <w:t xml:space="preserve"> </w:t>
      </w:r>
      <w:r w:rsidRPr="00ED6B34">
        <w:rPr>
          <w:b/>
          <w:bCs/>
          <w:lang w:val="fr-FR" w:eastAsia="en-US"/>
        </w:rPr>
        <w:t xml:space="preserve">et la réactivité aux besoins des jeunes ont été assurées dans le cadre de ce </w:t>
      </w:r>
      <w:proofErr w:type="gramStart"/>
      <w:r w:rsidRPr="00ED6B34">
        <w:rPr>
          <w:b/>
          <w:bCs/>
          <w:lang w:val="fr-FR" w:eastAsia="en-US"/>
        </w:rPr>
        <w:t>résultat</w:t>
      </w:r>
      <w:r w:rsidRPr="00ED6B34">
        <w:rPr>
          <w:b/>
          <w:lang w:val="fr-FR"/>
        </w:rPr>
        <w:t>:</w:t>
      </w:r>
      <w:proofErr w:type="gramEnd"/>
      <w:r w:rsidRPr="00ED6B34">
        <w:rPr>
          <w:b/>
          <w:lang w:val="fr-FR"/>
        </w:rPr>
        <w:t xml:space="preserve"> </w:t>
      </w:r>
      <w:r w:rsidRPr="00ED6B34">
        <w:rPr>
          <w:i/>
          <w:lang w:val="fr-FR"/>
        </w:rPr>
        <w:t>(</w:t>
      </w:r>
      <w:r w:rsidRPr="00ED6B34">
        <w:rPr>
          <w:rFonts w:ascii="inherit" w:hAnsi="inherit"/>
          <w:lang w:val="fr-FR"/>
        </w:rPr>
        <w:t>Limite de 1000 caractères</w:t>
      </w:r>
      <w:r w:rsidRPr="00ED6B34">
        <w:rPr>
          <w:i/>
          <w:lang w:val="fr-FR"/>
        </w:rPr>
        <w:t>)</w:t>
      </w:r>
    </w:p>
    <w:p w14:paraId="46FE605E" w14:textId="77777777" w:rsidR="00356633" w:rsidRDefault="00356633" w:rsidP="00356633">
      <w:pPr>
        <w:jc w:val="both"/>
        <w:rPr>
          <w:iCs/>
          <w:lang w:val="fr-FR"/>
        </w:rPr>
      </w:pPr>
      <w:bookmarkStart w:id="13" w:name="_Hlk85098226"/>
      <w:bookmarkStart w:id="14" w:name="_Hlk54966726"/>
    </w:p>
    <w:p w14:paraId="27455C7C" w14:textId="7D4DAB38" w:rsidR="00135302" w:rsidRPr="00356633" w:rsidRDefault="00356633" w:rsidP="00356633">
      <w:pPr>
        <w:jc w:val="both"/>
        <w:rPr>
          <w:bCs/>
          <w:iCs/>
          <w:sz w:val="22"/>
          <w:szCs w:val="22"/>
          <w:highlight w:val="lightGray"/>
          <w:lang w:val="fr-FR"/>
        </w:rPr>
      </w:pPr>
      <w:r>
        <w:rPr>
          <w:iCs/>
          <w:highlight w:val="lightGray"/>
          <w:lang w:val="fr-FR"/>
        </w:rPr>
        <w:t>13</w:t>
      </w:r>
      <w:r w:rsidR="00135302" w:rsidRPr="00356633">
        <w:rPr>
          <w:bCs/>
          <w:iCs/>
          <w:sz w:val="22"/>
          <w:szCs w:val="22"/>
          <w:highlight w:val="lightGray"/>
          <w:lang w:val="fr-FR"/>
        </w:rPr>
        <w:t xml:space="preserve"> jeunes hommes et </w:t>
      </w:r>
      <w:r>
        <w:rPr>
          <w:bCs/>
          <w:iCs/>
          <w:sz w:val="22"/>
          <w:szCs w:val="22"/>
          <w:highlight w:val="lightGray"/>
          <w:lang w:val="fr-FR"/>
        </w:rPr>
        <w:t>19</w:t>
      </w:r>
      <w:r w:rsidR="00135302" w:rsidRPr="00356633">
        <w:rPr>
          <w:bCs/>
          <w:iCs/>
          <w:sz w:val="22"/>
          <w:szCs w:val="22"/>
          <w:highlight w:val="lightGray"/>
          <w:lang w:val="fr-FR"/>
        </w:rPr>
        <w:t xml:space="preserve"> femmes participent dans les CCS grâce aux actions de plaidoyer auprès des acteurs institutionnels (les autorités administratives, les élus communaux, les FDS et les autorités religieuses et coutumières). </w:t>
      </w:r>
    </w:p>
    <w:p w14:paraId="1C430347" w14:textId="77777777" w:rsidR="00356633" w:rsidRPr="00356633" w:rsidRDefault="00356633" w:rsidP="00356633">
      <w:pPr>
        <w:jc w:val="both"/>
        <w:rPr>
          <w:bCs/>
          <w:iCs/>
          <w:sz w:val="22"/>
          <w:szCs w:val="22"/>
          <w:highlight w:val="lightGray"/>
          <w:lang w:val="fr-FR"/>
        </w:rPr>
      </w:pPr>
    </w:p>
    <w:p w14:paraId="7AC9F1F8" w14:textId="45DCC389" w:rsidR="00350271" w:rsidRPr="00356633" w:rsidRDefault="00135302" w:rsidP="00356633">
      <w:pPr>
        <w:jc w:val="both"/>
        <w:rPr>
          <w:bCs/>
          <w:iCs/>
          <w:sz w:val="22"/>
          <w:szCs w:val="22"/>
          <w:highlight w:val="lightGray"/>
          <w:lang w:val="fr-FR"/>
        </w:rPr>
      </w:pPr>
      <w:r w:rsidRPr="00356633">
        <w:rPr>
          <w:bCs/>
          <w:iCs/>
          <w:sz w:val="22"/>
          <w:szCs w:val="22"/>
          <w:highlight w:val="lightGray"/>
          <w:lang w:val="fr-FR"/>
        </w:rPr>
        <w:t>La question des droits d’accès et de gestion des ressources foncières des femmes et des jeunes est centrale dans les messages d’information et de sensibilisation auprès des acteurs étatiques et traditionnels</w:t>
      </w:r>
      <w:r w:rsidR="00197FA4" w:rsidRPr="00356633">
        <w:rPr>
          <w:bCs/>
          <w:iCs/>
          <w:sz w:val="22"/>
          <w:szCs w:val="22"/>
          <w:highlight w:val="lightGray"/>
          <w:lang w:val="fr-FR"/>
        </w:rPr>
        <w:t xml:space="preserve"> à traver</w:t>
      </w:r>
      <w:r w:rsidR="00350271" w:rsidRPr="00356633">
        <w:rPr>
          <w:bCs/>
          <w:iCs/>
          <w:sz w:val="22"/>
          <w:szCs w:val="22"/>
          <w:highlight w:val="lightGray"/>
          <w:lang w:val="fr-FR"/>
        </w:rPr>
        <w:t xml:space="preserve">s les </w:t>
      </w:r>
      <w:r w:rsidR="00197FA4" w:rsidRPr="00356633">
        <w:rPr>
          <w:bCs/>
          <w:iCs/>
          <w:sz w:val="22"/>
          <w:szCs w:val="22"/>
          <w:highlight w:val="lightGray"/>
          <w:lang w:val="fr-FR"/>
        </w:rPr>
        <w:t xml:space="preserve">radios communautaires, dialogues communautaires, débats dans les écoles et au niveau des mairies, la production des capsules </w:t>
      </w:r>
      <w:proofErr w:type="gramStart"/>
      <w:r w:rsidR="00197FA4" w:rsidRPr="00356633">
        <w:rPr>
          <w:bCs/>
          <w:iCs/>
          <w:sz w:val="22"/>
          <w:szCs w:val="22"/>
          <w:highlight w:val="lightGray"/>
          <w:lang w:val="fr-FR"/>
        </w:rPr>
        <w:t>vid</w:t>
      </w:r>
      <w:r w:rsidR="005C5840">
        <w:rPr>
          <w:bCs/>
          <w:iCs/>
          <w:sz w:val="22"/>
          <w:szCs w:val="22"/>
          <w:highlight w:val="lightGray"/>
          <w:lang w:val="fr-FR"/>
        </w:rPr>
        <w:t>é</w:t>
      </w:r>
      <w:r w:rsidR="00197FA4" w:rsidRPr="00356633">
        <w:rPr>
          <w:bCs/>
          <w:iCs/>
          <w:sz w:val="22"/>
          <w:szCs w:val="22"/>
          <w:highlight w:val="lightGray"/>
          <w:lang w:val="fr-FR"/>
        </w:rPr>
        <w:t>os</w:t>
      </w:r>
      <w:proofErr w:type="gramEnd"/>
      <w:r w:rsidR="00197FA4" w:rsidRPr="00356633">
        <w:rPr>
          <w:bCs/>
          <w:iCs/>
          <w:sz w:val="22"/>
          <w:szCs w:val="22"/>
          <w:highlight w:val="lightGray"/>
          <w:lang w:val="fr-FR"/>
        </w:rPr>
        <w:t xml:space="preserve"> et spot</w:t>
      </w:r>
      <w:r w:rsidR="00350271" w:rsidRPr="00356633">
        <w:rPr>
          <w:bCs/>
          <w:iCs/>
          <w:sz w:val="22"/>
          <w:szCs w:val="22"/>
          <w:highlight w:val="lightGray"/>
          <w:lang w:val="fr-FR"/>
        </w:rPr>
        <w:t xml:space="preserve">s pour mieux convaincre les acteurs du rôle des jeunes et femmes dans les CCS y compris les personnes vivants avec un handicap. </w:t>
      </w:r>
    </w:p>
    <w:p w14:paraId="3054B892" w14:textId="77777777" w:rsidR="00350271" w:rsidRPr="00356633" w:rsidRDefault="00350271" w:rsidP="00356633">
      <w:pPr>
        <w:pStyle w:val="Listenabsatz"/>
        <w:ind w:left="0"/>
        <w:jc w:val="both"/>
        <w:rPr>
          <w:bCs/>
          <w:iCs/>
          <w:sz w:val="22"/>
          <w:szCs w:val="22"/>
          <w:highlight w:val="lightGray"/>
          <w:lang w:val="fr-FR"/>
        </w:rPr>
      </w:pPr>
      <w:r w:rsidRPr="00356633">
        <w:rPr>
          <w:bCs/>
          <w:iCs/>
          <w:sz w:val="22"/>
          <w:szCs w:val="22"/>
          <w:highlight w:val="lightGray"/>
          <w:lang w:val="fr-FR"/>
        </w:rPr>
        <w:t xml:space="preserve"> </w:t>
      </w:r>
    </w:p>
    <w:p w14:paraId="2AF9D75E" w14:textId="4A271AD6" w:rsidR="00135302" w:rsidRPr="00356633" w:rsidRDefault="00350271" w:rsidP="00356633">
      <w:pPr>
        <w:pStyle w:val="Listenabsatz"/>
        <w:ind w:left="0"/>
        <w:jc w:val="both"/>
        <w:rPr>
          <w:bCs/>
          <w:iCs/>
          <w:sz w:val="22"/>
          <w:szCs w:val="22"/>
          <w:highlight w:val="lightGray"/>
          <w:lang w:val="fr-FR"/>
        </w:rPr>
      </w:pPr>
      <w:proofErr w:type="spellStart"/>
      <w:r w:rsidRPr="00356633">
        <w:rPr>
          <w:bCs/>
          <w:iCs/>
          <w:sz w:val="22"/>
          <w:szCs w:val="22"/>
          <w:highlight w:val="lightGray"/>
          <w:lang w:val="en-US"/>
        </w:rPr>
        <w:t>Ainsi</w:t>
      </w:r>
      <w:proofErr w:type="spellEnd"/>
      <w:r w:rsidRPr="00356633">
        <w:rPr>
          <w:bCs/>
          <w:iCs/>
          <w:sz w:val="22"/>
          <w:szCs w:val="22"/>
          <w:highlight w:val="lightGray"/>
          <w:lang w:val="en-US"/>
        </w:rPr>
        <w:t xml:space="preserve">, </w:t>
      </w:r>
      <w:r w:rsidR="00135302" w:rsidRPr="00356633">
        <w:rPr>
          <w:bCs/>
          <w:iCs/>
          <w:sz w:val="22"/>
          <w:szCs w:val="22"/>
          <w:highlight w:val="lightGray"/>
          <w:lang w:val="fr-FR"/>
        </w:rPr>
        <w:t xml:space="preserve">224 participants membres des </w:t>
      </w:r>
      <w:proofErr w:type="spellStart"/>
      <w:r w:rsidR="00135302" w:rsidRPr="00356633">
        <w:rPr>
          <w:bCs/>
          <w:iCs/>
          <w:sz w:val="22"/>
          <w:szCs w:val="22"/>
          <w:highlight w:val="lightGray"/>
          <w:lang w:val="fr-FR"/>
        </w:rPr>
        <w:t>CoFos</w:t>
      </w:r>
      <w:proofErr w:type="spellEnd"/>
      <w:r w:rsidR="00135302" w:rsidRPr="00356633">
        <w:rPr>
          <w:bCs/>
          <w:iCs/>
          <w:sz w:val="22"/>
          <w:szCs w:val="22"/>
          <w:highlight w:val="lightGray"/>
          <w:lang w:val="fr-FR"/>
        </w:rPr>
        <w:t xml:space="preserve"> (dont 66 femmes) sont renforcés sur le plaidoyer et lobbying sensibles au genre, la mobilisation sociale et citoyenne. Pour sensibiliser la population et obtenir les soutiens des autorités administrative</w:t>
      </w:r>
      <w:r w:rsidR="00356633">
        <w:rPr>
          <w:bCs/>
          <w:iCs/>
          <w:sz w:val="22"/>
          <w:szCs w:val="22"/>
          <w:highlight w:val="lightGray"/>
          <w:lang w:val="fr-FR"/>
        </w:rPr>
        <w:t>s sur</w:t>
      </w:r>
      <w:r w:rsidR="00135302" w:rsidRPr="00356633">
        <w:rPr>
          <w:bCs/>
          <w:iCs/>
          <w:sz w:val="22"/>
          <w:szCs w:val="22"/>
          <w:highlight w:val="lightGray"/>
          <w:lang w:val="fr-FR"/>
        </w:rPr>
        <w:t xml:space="preserve"> certaines pratiques qui défavorisent les femmes et les jeunes, dix plans de plaidoyer/lobbying sont mis en </w:t>
      </w:r>
      <w:proofErr w:type="spellStart"/>
      <w:r w:rsidR="00135302" w:rsidRPr="00356633">
        <w:rPr>
          <w:bCs/>
          <w:iCs/>
          <w:sz w:val="22"/>
          <w:szCs w:val="22"/>
          <w:highlight w:val="lightGray"/>
          <w:lang w:val="fr-FR"/>
        </w:rPr>
        <w:t>oeuvre</w:t>
      </w:r>
      <w:proofErr w:type="spellEnd"/>
      <w:r w:rsidR="00135302" w:rsidRPr="00356633">
        <w:rPr>
          <w:bCs/>
          <w:iCs/>
          <w:sz w:val="22"/>
          <w:szCs w:val="22"/>
          <w:highlight w:val="lightGray"/>
          <w:lang w:val="fr-FR"/>
        </w:rPr>
        <w:t xml:space="preserve"> et suivi dans les 7</w:t>
      </w:r>
      <w:r w:rsidR="008556FD" w:rsidRPr="00356633">
        <w:rPr>
          <w:bCs/>
          <w:iCs/>
          <w:sz w:val="22"/>
          <w:szCs w:val="22"/>
          <w:highlight w:val="lightGray"/>
          <w:lang w:val="fr-FR"/>
        </w:rPr>
        <w:t xml:space="preserve"> c</w:t>
      </w:r>
      <w:r w:rsidR="00135302" w:rsidRPr="00356633">
        <w:rPr>
          <w:bCs/>
          <w:iCs/>
          <w:sz w:val="22"/>
          <w:szCs w:val="22"/>
          <w:highlight w:val="lightGray"/>
          <w:lang w:val="fr-FR"/>
        </w:rPr>
        <w:t xml:space="preserve">ercles d’intervention du projet (211 </w:t>
      </w:r>
      <w:r w:rsidR="00356633">
        <w:rPr>
          <w:bCs/>
          <w:iCs/>
          <w:sz w:val="22"/>
          <w:szCs w:val="22"/>
          <w:highlight w:val="lightGray"/>
          <w:lang w:val="fr-FR"/>
        </w:rPr>
        <w:t>participants</w:t>
      </w:r>
      <w:r w:rsidR="00135302" w:rsidRPr="00356633">
        <w:rPr>
          <w:bCs/>
          <w:iCs/>
          <w:sz w:val="22"/>
          <w:szCs w:val="22"/>
          <w:highlight w:val="lightGray"/>
          <w:lang w:val="fr-FR"/>
        </w:rPr>
        <w:t xml:space="preserve"> dont 22 femmes). </w:t>
      </w:r>
    </w:p>
    <w:bookmarkEnd w:id="13"/>
    <w:bookmarkEnd w:id="14"/>
    <w:p w14:paraId="582C6284" w14:textId="77777777" w:rsidR="00675507" w:rsidRPr="00ED6B34" w:rsidRDefault="00675507" w:rsidP="00356633">
      <w:pPr>
        <w:rPr>
          <w:b/>
          <w:lang w:val="fr-FR"/>
        </w:rPr>
      </w:pPr>
    </w:p>
    <w:p w14:paraId="39CC4648" w14:textId="77777777" w:rsidR="00627A1C" w:rsidRPr="00ED6B34" w:rsidRDefault="00627A1C" w:rsidP="00627A1C">
      <w:pPr>
        <w:ind w:left="-720"/>
        <w:rPr>
          <w:b/>
          <w:lang w:val="fr-FR"/>
        </w:rPr>
      </w:pPr>
    </w:p>
    <w:p w14:paraId="6CB11A4F" w14:textId="77777777" w:rsidR="00675507" w:rsidRPr="00ED6B34" w:rsidRDefault="00675507" w:rsidP="00135302">
      <w:pPr>
        <w:ind w:left="-720"/>
        <w:jc w:val="both"/>
        <w:rPr>
          <w:b/>
          <w:bCs/>
          <w:lang w:val="fr-FR"/>
        </w:rPr>
      </w:pPr>
      <w:r w:rsidRPr="00ED6B34">
        <w:rPr>
          <w:b/>
          <w:u w:val="single"/>
          <w:lang w:val="fr-FR"/>
        </w:rPr>
        <w:t xml:space="preserve">Résultat </w:t>
      </w:r>
      <w:proofErr w:type="gramStart"/>
      <w:r w:rsidRPr="00ED6B34">
        <w:rPr>
          <w:b/>
          <w:u w:val="single"/>
          <w:lang w:val="fr-FR"/>
        </w:rPr>
        <w:t>3:</w:t>
      </w:r>
      <w:r w:rsidR="001A140F" w:rsidRPr="00ED6B34">
        <w:rPr>
          <w:rFonts w:asciiTheme="majorBidi" w:hAnsiTheme="majorBidi" w:cstheme="majorBidi"/>
          <w:b/>
          <w:bCs/>
          <w:lang w:val="fr-FR"/>
        </w:rPr>
        <w:t>L’accès</w:t>
      </w:r>
      <w:proofErr w:type="gramEnd"/>
      <w:r w:rsidR="001A140F" w:rsidRPr="00ED6B34">
        <w:rPr>
          <w:rFonts w:asciiTheme="majorBidi" w:hAnsiTheme="majorBidi" w:cstheme="majorBidi"/>
          <w:b/>
          <w:bCs/>
          <w:lang w:val="fr-FR"/>
        </w:rPr>
        <w:t xml:space="preserve"> à la justice des populations du centre du Mali est facilité et la protection des victimes saisissant les acteurs en charge de la lutte contre l’impunité est assurée</w:t>
      </w:r>
      <w:r w:rsidR="001A140F" w:rsidRPr="00ED6B34">
        <w:rPr>
          <w:rFonts w:asciiTheme="majorBidi" w:hAnsiTheme="majorBidi" w:cstheme="majorBidi"/>
          <w:b/>
          <w:bCs/>
          <w:iCs/>
          <w:lang w:val="fr-FR"/>
        </w:rPr>
        <w:t>.</w:t>
      </w:r>
    </w:p>
    <w:p w14:paraId="614B46F4" w14:textId="77777777" w:rsidR="00675507" w:rsidRPr="00ED6B34" w:rsidRDefault="00675507" w:rsidP="00675507">
      <w:pPr>
        <w:ind w:left="-720"/>
        <w:rPr>
          <w:b/>
          <w:lang w:val="fr-FR"/>
        </w:rPr>
      </w:pPr>
    </w:p>
    <w:p w14:paraId="1FEDDB08" w14:textId="0B530DD5" w:rsidR="00675507" w:rsidRPr="00ED6B34"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D6B34">
        <w:rPr>
          <w:rFonts w:ascii="inherit" w:hAnsi="inherit"/>
          <w:lang w:val="fr-FR"/>
        </w:rPr>
        <w:t>Veuillez évaluer l'état actuel des</w:t>
      </w:r>
      <w:r w:rsidR="00730E57">
        <w:rPr>
          <w:rFonts w:ascii="inherit" w:hAnsi="inherit"/>
          <w:lang w:val="fr-FR"/>
        </w:rPr>
        <w:t xml:space="preserve"> </w:t>
      </w:r>
      <w:r w:rsidRPr="00ED6B34">
        <w:rPr>
          <w:rFonts w:ascii="inherit" w:hAnsi="inherit"/>
          <w:lang w:val="fr-FR"/>
        </w:rPr>
        <w:t>progrès</w:t>
      </w:r>
      <w:r w:rsidR="00730E57">
        <w:rPr>
          <w:rFonts w:ascii="inherit" w:hAnsi="inherit"/>
          <w:lang w:val="fr-FR"/>
        </w:rPr>
        <w:t xml:space="preserve"> </w:t>
      </w:r>
      <w:r w:rsidRPr="00ED6B34">
        <w:rPr>
          <w:rFonts w:ascii="inherit" w:hAnsi="inherit"/>
          <w:lang w:val="fr-FR"/>
        </w:rPr>
        <w:t xml:space="preserve">du </w:t>
      </w:r>
      <w:proofErr w:type="spellStart"/>
      <w:proofErr w:type="gramStart"/>
      <w:r w:rsidRPr="00ED6B34">
        <w:rPr>
          <w:rFonts w:ascii="inherit" w:hAnsi="inherit"/>
          <w:lang w:val="fr-FR"/>
        </w:rPr>
        <w:t>résultat:</w:t>
      </w:r>
      <w:r w:rsidR="00722C48" w:rsidRPr="00ED6B34">
        <w:rPr>
          <w:rFonts w:ascii="Arial Narrow" w:hAnsi="Arial Narrow"/>
          <w:b/>
          <w:sz w:val="22"/>
          <w:lang w:val="fr-FR"/>
        </w:rPr>
        <w:t>on</w:t>
      </w:r>
      <w:proofErr w:type="spellEnd"/>
      <w:proofErr w:type="gramEnd"/>
      <w:r w:rsidR="00722C48" w:rsidRPr="00ED6B34">
        <w:rPr>
          <w:rFonts w:ascii="Arial Narrow" w:hAnsi="Arial Narrow"/>
          <w:b/>
          <w:sz w:val="22"/>
          <w:lang w:val="fr-FR"/>
        </w:rPr>
        <w:t xml:space="preserve"> </w:t>
      </w:r>
      <w:proofErr w:type="spellStart"/>
      <w:r w:rsidR="00722C48" w:rsidRPr="00ED6B34">
        <w:rPr>
          <w:rFonts w:ascii="Arial Narrow" w:hAnsi="Arial Narrow"/>
          <w:b/>
          <w:sz w:val="22"/>
          <w:lang w:val="fr-FR"/>
        </w:rPr>
        <w:t>track</w:t>
      </w:r>
      <w:proofErr w:type="spellEnd"/>
    </w:p>
    <w:p w14:paraId="02F873F6" w14:textId="77777777" w:rsidR="00675507" w:rsidRPr="00ED6B34" w:rsidRDefault="00675507" w:rsidP="00675507">
      <w:pPr>
        <w:ind w:left="-720"/>
        <w:jc w:val="both"/>
        <w:rPr>
          <w:b/>
          <w:lang w:val="fr-FR"/>
        </w:rPr>
      </w:pPr>
    </w:p>
    <w:p w14:paraId="108564BC" w14:textId="77777777" w:rsidR="00675507" w:rsidRPr="00ED6B34" w:rsidRDefault="00722C48" w:rsidP="00675507">
      <w:pPr>
        <w:ind w:left="-720"/>
        <w:jc w:val="both"/>
        <w:rPr>
          <w:i/>
          <w:lang w:val="fr-FR"/>
        </w:rPr>
      </w:pPr>
      <w:r w:rsidRPr="00ED6B34">
        <w:rPr>
          <w:b/>
          <w:lang w:val="fr-FR"/>
        </w:rPr>
        <w:t>Résumé</w:t>
      </w:r>
      <w:r w:rsidR="00675507" w:rsidRPr="00ED6B34">
        <w:rPr>
          <w:b/>
          <w:lang w:val="fr-FR"/>
        </w:rPr>
        <w:t xml:space="preserve"> de </w:t>
      </w:r>
      <w:proofErr w:type="gramStart"/>
      <w:r w:rsidR="00675507" w:rsidRPr="00ED6B34">
        <w:rPr>
          <w:rFonts w:ascii="inherit" w:hAnsi="inherit"/>
          <w:b/>
          <w:bCs/>
          <w:lang w:val="fr-FR"/>
        </w:rPr>
        <w:t>progrès</w:t>
      </w:r>
      <w:r w:rsidR="00675507" w:rsidRPr="00ED6B34">
        <w:rPr>
          <w:b/>
          <w:lang w:val="fr-FR"/>
        </w:rPr>
        <w:t>:</w:t>
      </w:r>
      <w:proofErr w:type="gramEnd"/>
      <w:r w:rsidR="00675507" w:rsidRPr="00ED6B34">
        <w:rPr>
          <w:b/>
          <w:lang w:val="fr-FR"/>
        </w:rPr>
        <w:t xml:space="preserve"> </w:t>
      </w:r>
      <w:r w:rsidR="00675507" w:rsidRPr="00ED6B34">
        <w:rPr>
          <w:rFonts w:ascii="inherit" w:hAnsi="inherit"/>
          <w:lang w:val="fr-FR"/>
        </w:rPr>
        <w:t>(Limite de 3000 caractères)</w:t>
      </w:r>
    </w:p>
    <w:p w14:paraId="0AFC36B6" w14:textId="643AB3D0" w:rsidR="00135302" w:rsidRPr="00ED6B34" w:rsidRDefault="00135302" w:rsidP="00135302">
      <w:pPr>
        <w:jc w:val="both"/>
        <w:rPr>
          <w:b/>
          <w:bCs/>
          <w:iCs/>
          <w:sz w:val="22"/>
          <w:szCs w:val="22"/>
          <w:highlight w:val="lightGray"/>
          <w:lang w:val="fr-FR"/>
        </w:rPr>
      </w:pPr>
      <w:bookmarkStart w:id="15" w:name="_Hlk85098336"/>
    </w:p>
    <w:p w14:paraId="6A1977C7" w14:textId="07F6D8E8" w:rsidR="00135302" w:rsidRPr="00AD52A9" w:rsidRDefault="00135302">
      <w:pPr>
        <w:jc w:val="both"/>
        <w:rPr>
          <w:bCs/>
          <w:iCs/>
          <w:sz w:val="22"/>
          <w:szCs w:val="22"/>
          <w:highlight w:val="lightGray"/>
          <w:lang w:val="fr-FR"/>
        </w:rPr>
      </w:pPr>
      <w:r w:rsidRPr="00AD52A9">
        <w:rPr>
          <w:bCs/>
          <w:iCs/>
          <w:sz w:val="22"/>
          <w:szCs w:val="22"/>
          <w:highlight w:val="lightGray"/>
          <w:lang w:val="fr-FR"/>
        </w:rPr>
        <w:t>La conception de la stratégie d</w:t>
      </w:r>
      <w:r w:rsidRPr="00AD52A9">
        <w:rPr>
          <w:iCs/>
          <w:sz w:val="22"/>
          <w:szCs w:val="22"/>
          <w:highlight w:val="lightGray"/>
          <w:lang w:val="fr-FR"/>
        </w:rPr>
        <w:t>’</w:t>
      </w:r>
      <w:r w:rsidRPr="00AD52A9">
        <w:rPr>
          <w:bCs/>
          <w:iCs/>
          <w:sz w:val="22"/>
          <w:szCs w:val="22"/>
          <w:highlight w:val="lightGray"/>
          <w:lang w:val="fr-FR"/>
        </w:rPr>
        <w:t xml:space="preserve">assistance </w:t>
      </w:r>
      <w:r w:rsidR="00742E5F" w:rsidRPr="00AD52A9">
        <w:rPr>
          <w:bCs/>
          <w:iCs/>
          <w:sz w:val="22"/>
          <w:szCs w:val="22"/>
          <w:highlight w:val="lightGray"/>
          <w:lang w:val="fr-FR"/>
        </w:rPr>
        <w:t>l</w:t>
      </w:r>
      <w:r w:rsidR="00316730">
        <w:rPr>
          <w:bCs/>
          <w:iCs/>
          <w:sz w:val="22"/>
          <w:szCs w:val="22"/>
          <w:highlight w:val="lightGray"/>
          <w:lang w:val="fr-FR"/>
        </w:rPr>
        <w:t>é</w:t>
      </w:r>
      <w:r w:rsidR="00742E5F" w:rsidRPr="00AD52A9">
        <w:rPr>
          <w:bCs/>
          <w:iCs/>
          <w:sz w:val="22"/>
          <w:szCs w:val="22"/>
          <w:highlight w:val="lightGray"/>
          <w:lang w:val="fr-FR"/>
        </w:rPr>
        <w:t>gale</w:t>
      </w:r>
      <w:r w:rsidRPr="00AD52A9">
        <w:rPr>
          <w:bCs/>
          <w:iCs/>
          <w:sz w:val="22"/>
          <w:szCs w:val="22"/>
          <w:highlight w:val="lightGray"/>
          <w:lang w:val="fr-FR"/>
        </w:rPr>
        <w:t xml:space="preserve"> et de la stratégie de protection des victimes, témoins et sources pour les régions ciblées est en cours.</w:t>
      </w:r>
      <w:r w:rsidR="007976BE" w:rsidRPr="00AD52A9">
        <w:rPr>
          <w:bCs/>
          <w:iCs/>
          <w:sz w:val="22"/>
          <w:szCs w:val="22"/>
          <w:highlight w:val="lightGray"/>
          <w:lang w:val="fr-FR"/>
        </w:rPr>
        <w:t xml:space="preserve"> </w:t>
      </w:r>
      <w:r w:rsidR="007976BE" w:rsidRPr="00AD52A9">
        <w:rPr>
          <w:sz w:val="22"/>
          <w:szCs w:val="22"/>
          <w:highlight w:val="lightGray"/>
          <w:lang w:val="fr-FR"/>
        </w:rPr>
        <w:t xml:space="preserve">Les appels </w:t>
      </w:r>
      <w:r w:rsidR="00316730" w:rsidRPr="00AD52A9">
        <w:rPr>
          <w:sz w:val="22"/>
          <w:szCs w:val="22"/>
          <w:highlight w:val="lightGray"/>
          <w:lang w:val="fr-FR"/>
        </w:rPr>
        <w:t>à</w:t>
      </w:r>
      <w:r w:rsidR="007976BE" w:rsidRPr="00AD52A9">
        <w:rPr>
          <w:sz w:val="22"/>
          <w:szCs w:val="22"/>
          <w:highlight w:val="lightGray"/>
          <w:lang w:val="fr-FR"/>
        </w:rPr>
        <w:t xml:space="preserve"> candidatures ont d</w:t>
      </w:r>
      <w:r w:rsidR="00AD52A9" w:rsidRPr="00AD52A9">
        <w:rPr>
          <w:sz w:val="22"/>
          <w:szCs w:val="22"/>
          <w:highlight w:val="lightGray"/>
          <w:lang w:val="fr-FR"/>
        </w:rPr>
        <w:t>û</w:t>
      </w:r>
      <w:r w:rsidR="007976BE" w:rsidRPr="00AD52A9">
        <w:rPr>
          <w:sz w:val="22"/>
          <w:szCs w:val="22"/>
          <w:highlight w:val="lightGray"/>
          <w:lang w:val="fr-FR"/>
        </w:rPr>
        <w:t xml:space="preserve"> </w:t>
      </w:r>
      <w:r w:rsidR="00316730" w:rsidRPr="00AD52A9">
        <w:rPr>
          <w:sz w:val="22"/>
          <w:szCs w:val="22"/>
          <w:highlight w:val="lightGray"/>
          <w:lang w:val="fr-FR"/>
        </w:rPr>
        <w:t>être</w:t>
      </w:r>
      <w:r w:rsidR="007976BE" w:rsidRPr="00AD52A9">
        <w:rPr>
          <w:sz w:val="22"/>
          <w:szCs w:val="22"/>
          <w:highlight w:val="lightGray"/>
          <w:lang w:val="fr-FR"/>
        </w:rPr>
        <w:t xml:space="preserve"> relancés plusieurs fois au niveau international et national, faute de candidatures qualifiées ou de </w:t>
      </w:r>
      <w:r w:rsidR="00316730" w:rsidRPr="00AD52A9">
        <w:rPr>
          <w:sz w:val="22"/>
          <w:szCs w:val="22"/>
          <w:highlight w:val="lightGray"/>
          <w:lang w:val="fr-FR"/>
        </w:rPr>
        <w:t>disponibilité</w:t>
      </w:r>
      <w:r w:rsidR="007976BE" w:rsidRPr="00AD52A9">
        <w:rPr>
          <w:sz w:val="22"/>
          <w:szCs w:val="22"/>
          <w:highlight w:val="lightGray"/>
          <w:lang w:val="fr-FR"/>
        </w:rPr>
        <w:t xml:space="preserve"> des candidats </w:t>
      </w:r>
      <w:r w:rsidR="00316730" w:rsidRPr="00AD52A9">
        <w:rPr>
          <w:sz w:val="22"/>
          <w:szCs w:val="22"/>
          <w:highlight w:val="lightGray"/>
          <w:lang w:val="fr-FR"/>
        </w:rPr>
        <w:t>sélectionnés</w:t>
      </w:r>
      <w:r w:rsidR="007976BE" w:rsidRPr="00AD52A9">
        <w:rPr>
          <w:sz w:val="22"/>
          <w:szCs w:val="22"/>
          <w:highlight w:val="lightGray"/>
          <w:lang w:val="fr-FR"/>
        </w:rPr>
        <w:t>. L’avant-projet de loi relative à l’assistance juridique et judiciaire et le document de stratégie de la réforme de l’assistance juridique et judiciaire au Mali sont en ce moment en relecture dans la Commission législative permanente.</w:t>
      </w:r>
    </w:p>
    <w:p w14:paraId="6E14ED46" w14:textId="77777777" w:rsidR="00135302" w:rsidRPr="00AD52A9" w:rsidRDefault="00135302">
      <w:pPr>
        <w:jc w:val="both"/>
        <w:rPr>
          <w:iCs/>
          <w:sz w:val="22"/>
          <w:szCs w:val="22"/>
          <w:highlight w:val="lightGray"/>
          <w:lang w:val="fr-FR"/>
        </w:rPr>
      </w:pPr>
      <w:r w:rsidRPr="00AD52A9">
        <w:rPr>
          <w:iCs/>
          <w:sz w:val="22"/>
          <w:szCs w:val="22"/>
          <w:highlight w:val="lightGray"/>
          <w:lang w:val="fr-FR"/>
        </w:rPr>
        <w:t xml:space="preserve"> </w:t>
      </w:r>
    </w:p>
    <w:p w14:paraId="03B5017D" w14:textId="089DED2E" w:rsidR="00AD52A9" w:rsidRPr="00AD52A9" w:rsidRDefault="00A85A28">
      <w:pPr>
        <w:jc w:val="both"/>
        <w:rPr>
          <w:iCs/>
          <w:sz w:val="22"/>
          <w:szCs w:val="22"/>
          <w:highlight w:val="lightGray"/>
          <w:lang w:val="fr-FR"/>
        </w:rPr>
      </w:pPr>
      <w:r>
        <w:rPr>
          <w:iCs/>
          <w:sz w:val="22"/>
          <w:szCs w:val="22"/>
          <w:highlight w:val="lightGray"/>
          <w:lang w:val="fr-FR"/>
        </w:rPr>
        <w:t>L</w:t>
      </w:r>
      <w:r w:rsidR="00135302" w:rsidRPr="00AD52A9">
        <w:rPr>
          <w:iCs/>
          <w:sz w:val="22"/>
          <w:szCs w:val="22"/>
          <w:highlight w:val="lightGray"/>
          <w:lang w:val="fr-FR"/>
        </w:rPr>
        <w:t>es sessions de capitalisation</w:t>
      </w:r>
      <w:r w:rsidR="00B84455">
        <w:rPr>
          <w:iCs/>
          <w:sz w:val="22"/>
          <w:szCs w:val="22"/>
          <w:highlight w:val="lightGray"/>
          <w:lang w:val="fr-FR"/>
        </w:rPr>
        <w:t xml:space="preserve"> des bonnes pratiques</w:t>
      </w:r>
      <w:r w:rsidR="00135302" w:rsidRPr="00AD52A9">
        <w:rPr>
          <w:iCs/>
          <w:sz w:val="22"/>
          <w:szCs w:val="22"/>
          <w:highlight w:val="lightGray"/>
          <w:lang w:val="fr-FR"/>
        </w:rPr>
        <w:t xml:space="preserve"> </w:t>
      </w:r>
      <w:r w:rsidR="00B84455" w:rsidRPr="00AD52A9">
        <w:rPr>
          <w:iCs/>
          <w:sz w:val="22"/>
          <w:szCs w:val="22"/>
          <w:highlight w:val="lightGray"/>
          <w:lang w:val="fr-FR"/>
        </w:rPr>
        <w:t xml:space="preserve">pour la prise en charge des survivantes de VBG et les victimes de violations des droits humains </w:t>
      </w:r>
      <w:r w:rsidR="00135302" w:rsidRPr="00AD52A9">
        <w:rPr>
          <w:iCs/>
          <w:sz w:val="22"/>
          <w:szCs w:val="22"/>
          <w:highlight w:val="lightGray"/>
          <w:lang w:val="fr-FR"/>
        </w:rPr>
        <w:t xml:space="preserve">à Ségou et à Mopti qui ont réuni 55 acteurs de la justice et de la société civile (dont 17 femmes), </w:t>
      </w:r>
      <w:r>
        <w:rPr>
          <w:iCs/>
          <w:sz w:val="22"/>
          <w:szCs w:val="22"/>
          <w:highlight w:val="lightGray"/>
          <w:lang w:val="fr-FR"/>
        </w:rPr>
        <w:t>ont permis d’identifier les</w:t>
      </w:r>
      <w:r w:rsidR="00135302" w:rsidRPr="00AD52A9">
        <w:rPr>
          <w:iCs/>
          <w:sz w:val="22"/>
          <w:szCs w:val="22"/>
          <w:highlight w:val="lightGray"/>
          <w:lang w:val="fr-FR"/>
        </w:rPr>
        <w:t xml:space="preserve"> bonnes pratiques</w:t>
      </w:r>
      <w:r w:rsidR="00AD52A9" w:rsidRPr="00AD52A9">
        <w:rPr>
          <w:iCs/>
          <w:sz w:val="22"/>
          <w:szCs w:val="22"/>
          <w:highlight w:val="lightGray"/>
          <w:lang w:val="fr-FR"/>
        </w:rPr>
        <w:t>, notamment l</w:t>
      </w:r>
      <w:r w:rsidR="00135302" w:rsidRPr="00AD52A9">
        <w:rPr>
          <w:iCs/>
          <w:sz w:val="22"/>
          <w:szCs w:val="22"/>
          <w:highlight w:val="lightGray"/>
          <w:lang w:val="fr-FR"/>
        </w:rPr>
        <w:t>’utilisation de la fiche de consentement utilisée par les organisations de défense des droits humains</w:t>
      </w:r>
      <w:r w:rsidR="004949CB" w:rsidRPr="00AD52A9">
        <w:rPr>
          <w:iCs/>
          <w:sz w:val="22"/>
          <w:szCs w:val="22"/>
          <w:highlight w:val="lightGray"/>
          <w:lang w:val="fr-FR"/>
        </w:rPr>
        <w:t>;</w:t>
      </w:r>
      <w:r w:rsidR="00AD52A9" w:rsidRPr="00AD52A9">
        <w:rPr>
          <w:iCs/>
          <w:sz w:val="22"/>
          <w:szCs w:val="22"/>
          <w:highlight w:val="lightGray"/>
          <w:lang w:val="fr-FR"/>
        </w:rPr>
        <w:t xml:space="preserve"> l</w:t>
      </w:r>
      <w:r w:rsidR="00135302" w:rsidRPr="00AD52A9">
        <w:rPr>
          <w:sz w:val="22"/>
          <w:szCs w:val="22"/>
          <w:highlight w:val="lightGray"/>
          <w:lang w:val="fr-FR"/>
        </w:rPr>
        <w:t>’usage de la fiche de  suivi pour permettre le monitoring des survivantes</w:t>
      </w:r>
      <w:r w:rsidR="004949CB" w:rsidRPr="00AD52A9">
        <w:rPr>
          <w:sz w:val="22"/>
          <w:szCs w:val="22"/>
          <w:highlight w:val="lightGray"/>
          <w:lang w:val="fr-FR"/>
        </w:rPr>
        <w:t> ;</w:t>
      </w:r>
      <w:r w:rsidR="00AD52A9" w:rsidRPr="00AD52A9">
        <w:rPr>
          <w:iCs/>
          <w:sz w:val="22"/>
          <w:szCs w:val="22"/>
          <w:highlight w:val="lightGray"/>
          <w:lang w:val="fr-FR"/>
        </w:rPr>
        <w:t xml:space="preserve"> l</w:t>
      </w:r>
      <w:r w:rsidR="00135302" w:rsidRPr="00AD52A9">
        <w:rPr>
          <w:iCs/>
          <w:sz w:val="22"/>
          <w:szCs w:val="22"/>
          <w:highlight w:val="lightGray"/>
          <w:lang w:val="fr-FR"/>
        </w:rPr>
        <w:t>a disponibilité des maisons/centres d’hébergement ou l’aide (en nature) aux logements des agents des organisations de la société civile parajuristes.</w:t>
      </w:r>
      <w:r w:rsidR="00AD52A9" w:rsidRPr="00AD52A9">
        <w:rPr>
          <w:iCs/>
          <w:sz w:val="22"/>
          <w:szCs w:val="22"/>
          <w:highlight w:val="lightGray"/>
          <w:lang w:val="fr-FR"/>
        </w:rPr>
        <w:t xml:space="preserve"> Une autre bonne pratique identifiée lors des sessions est la création d’un pool d’avocats pour accompagner les victimes car peu d’avocats sont spécialistes des questions de VBG ou des droits de l’homme. </w:t>
      </w:r>
      <w:r>
        <w:rPr>
          <w:iCs/>
          <w:sz w:val="22"/>
          <w:szCs w:val="22"/>
          <w:highlight w:val="lightGray"/>
          <w:lang w:val="fr-FR"/>
        </w:rPr>
        <w:t>En outre</w:t>
      </w:r>
      <w:r w:rsidR="00AD52A9" w:rsidRPr="00AD52A9">
        <w:rPr>
          <w:iCs/>
          <w:sz w:val="22"/>
          <w:szCs w:val="22"/>
          <w:highlight w:val="lightGray"/>
          <w:lang w:val="fr-FR"/>
        </w:rPr>
        <w:t>, u</w:t>
      </w:r>
      <w:r w:rsidR="007976BE" w:rsidRPr="00AD52A9">
        <w:rPr>
          <w:iCs/>
          <w:sz w:val="22"/>
          <w:szCs w:val="22"/>
          <w:highlight w:val="lightGray"/>
          <w:lang w:val="fr-FR"/>
        </w:rPr>
        <w:t xml:space="preserve">n comité d’experts a été formé au sein du Barreau </w:t>
      </w:r>
      <w:r w:rsidR="00AD52A9" w:rsidRPr="00AD52A9">
        <w:rPr>
          <w:iCs/>
          <w:sz w:val="22"/>
          <w:szCs w:val="22"/>
          <w:highlight w:val="lightGray"/>
          <w:lang w:val="fr-FR"/>
        </w:rPr>
        <w:t>qui</w:t>
      </w:r>
      <w:r w:rsidR="007976BE" w:rsidRPr="00AD52A9">
        <w:rPr>
          <w:iCs/>
          <w:sz w:val="22"/>
          <w:szCs w:val="22"/>
          <w:highlight w:val="lightGray"/>
          <w:lang w:val="fr-FR"/>
        </w:rPr>
        <w:t xml:space="preserve"> apporte de </w:t>
      </w:r>
      <w:r w:rsidR="004949CB" w:rsidRPr="00AD52A9">
        <w:rPr>
          <w:iCs/>
          <w:sz w:val="22"/>
          <w:szCs w:val="22"/>
          <w:highlight w:val="lightGray"/>
          <w:lang w:val="fr-FR"/>
        </w:rPr>
        <w:t xml:space="preserve">l’assistance </w:t>
      </w:r>
      <w:r w:rsidR="00554E32" w:rsidRPr="00AD52A9">
        <w:rPr>
          <w:iCs/>
          <w:sz w:val="22"/>
          <w:szCs w:val="22"/>
          <w:highlight w:val="lightGray"/>
          <w:lang w:val="fr-FR"/>
        </w:rPr>
        <w:t>légale</w:t>
      </w:r>
      <w:r w:rsidR="004949CB" w:rsidRPr="00AD52A9">
        <w:rPr>
          <w:iCs/>
          <w:sz w:val="22"/>
          <w:szCs w:val="22"/>
          <w:highlight w:val="lightGray"/>
          <w:lang w:val="fr-FR"/>
        </w:rPr>
        <w:t xml:space="preserve"> </w:t>
      </w:r>
      <w:r w:rsidR="00742E5F" w:rsidRPr="00AD52A9">
        <w:rPr>
          <w:iCs/>
          <w:sz w:val="22"/>
          <w:szCs w:val="22"/>
          <w:highlight w:val="lightGray"/>
          <w:lang w:val="fr-FR"/>
        </w:rPr>
        <w:t>pour</w:t>
      </w:r>
      <w:r w:rsidR="004949CB" w:rsidRPr="00AD52A9">
        <w:rPr>
          <w:iCs/>
          <w:sz w:val="22"/>
          <w:szCs w:val="22"/>
          <w:highlight w:val="lightGray"/>
          <w:lang w:val="fr-FR"/>
        </w:rPr>
        <w:t xml:space="preserve"> 12 dossiers emblématiques </w:t>
      </w:r>
      <w:r w:rsidR="00AD52A9" w:rsidRPr="00AD52A9">
        <w:rPr>
          <w:iCs/>
          <w:sz w:val="22"/>
          <w:szCs w:val="22"/>
          <w:highlight w:val="lightGray"/>
          <w:lang w:val="fr-FR"/>
        </w:rPr>
        <w:t>regroupant</w:t>
      </w:r>
      <w:r w:rsidR="004949CB" w:rsidRPr="00AD52A9">
        <w:rPr>
          <w:iCs/>
          <w:sz w:val="22"/>
          <w:szCs w:val="22"/>
          <w:highlight w:val="lightGray"/>
          <w:lang w:val="fr-FR"/>
        </w:rPr>
        <w:t xml:space="preserve"> </w:t>
      </w:r>
      <w:r w:rsidR="00E53DFF" w:rsidRPr="00AD52A9">
        <w:rPr>
          <w:iCs/>
          <w:sz w:val="22"/>
          <w:szCs w:val="22"/>
          <w:highlight w:val="lightGray"/>
          <w:lang w:val="fr-FR"/>
        </w:rPr>
        <w:t xml:space="preserve">environ 327 victimes directes et les familles des 54 personnes portées disparues et les familles des 97 personnes tuées. </w:t>
      </w:r>
      <w:r w:rsidR="004949CB" w:rsidRPr="00AD52A9">
        <w:rPr>
          <w:iCs/>
          <w:sz w:val="22"/>
          <w:szCs w:val="22"/>
          <w:highlight w:val="lightGray"/>
          <w:lang w:val="fr-FR"/>
        </w:rPr>
        <w:t xml:space="preserve">Les </w:t>
      </w:r>
      <w:r w:rsidR="00AD52A9" w:rsidRPr="00AD52A9">
        <w:rPr>
          <w:iCs/>
          <w:sz w:val="22"/>
          <w:szCs w:val="22"/>
          <w:highlight w:val="lightGray"/>
          <w:lang w:val="fr-FR"/>
        </w:rPr>
        <w:t xml:space="preserve">expériences avec les différentes </w:t>
      </w:r>
      <w:r w:rsidR="004949CB" w:rsidRPr="00AD52A9">
        <w:rPr>
          <w:iCs/>
          <w:sz w:val="22"/>
          <w:szCs w:val="22"/>
          <w:highlight w:val="lightGray"/>
          <w:lang w:val="fr-FR"/>
        </w:rPr>
        <w:t xml:space="preserve">étapes de cette activité pilote </w:t>
      </w:r>
      <w:r w:rsidR="00AD52A9" w:rsidRPr="00AD52A9">
        <w:rPr>
          <w:iCs/>
          <w:sz w:val="22"/>
          <w:szCs w:val="22"/>
          <w:highlight w:val="lightGray"/>
          <w:lang w:val="fr-FR"/>
        </w:rPr>
        <w:t>avec le Barreau</w:t>
      </w:r>
      <w:r w:rsidR="004949CB" w:rsidRPr="00AD52A9">
        <w:rPr>
          <w:iCs/>
          <w:sz w:val="22"/>
          <w:szCs w:val="22"/>
          <w:highlight w:val="lightGray"/>
          <w:lang w:val="fr-FR"/>
        </w:rPr>
        <w:t xml:space="preserve"> informer</w:t>
      </w:r>
      <w:r w:rsidR="00A27C86" w:rsidRPr="00AD52A9">
        <w:rPr>
          <w:iCs/>
          <w:sz w:val="22"/>
          <w:szCs w:val="22"/>
          <w:highlight w:val="lightGray"/>
          <w:lang w:val="fr-FR"/>
        </w:rPr>
        <w:t>ont</w:t>
      </w:r>
      <w:r w:rsidR="004949CB" w:rsidRPr="00AD52A9">
        <w:rPr>
          <w:iCs/>
          <w:sz w:val="22"/>
          <w:szCs w:val="22"/>
          <w:highlight w:val="lightGray"/>
          <w:lang w:val="fr-FR"/>
        </w:rPr>
        <w:t xml:space="preserve"> la proposition des termes d’un fonds d’assistance légale permanente pour les victimes de violations et abus graves des droits de l’homme au Mali.</w:t>
      </w:r>
    </w:p>
    <w:p w14:paraId="67F9C9F5" w14:textId="77777777" w:rsidR="00AD52A9" w:rsidRPr="00AD52A9" w:rsidRDefault="00AD52A9">
      <w:pPr>
        <w:jc w:val="both"/>
        <w:rPr>
          <w:iCs/>
          <w:sz w:val="22"/>
          <w:szCs w:val="22"/>
          <w:highlight w:val="lightGray"/>
          <w:lang w:val="fr-FR"/>
        </w:rPr>
      </w:pPr>
    </w:p>
    <w:p w14:paraId="74827B1A" w14:textId="133709A8" w:rsidR="00742E5F" w:rsidRPr="00AD52A9" w:rsidRDefault="00E53DFF">
      <w:pPr>
        <w:jc w:val="both"/>
        <w:rPr>
          <w:iCs/>
          <w:sz w:val="22"/>
          <w:szCs w:val="22"/>
          <w:highlight w:val="lightGray"/>
          <w:lang w:val="fr-FR"/>
        </w:rPr>
      </w:pPr>
      <w:r w:rsidRPr="00AD52A9">
        <w:rPr>
          <w:iCs/>
          <w:sz w:val="22"/>
          <w:szCs w:val="22"/>
          <w:highlight w:val="lightGray"/>
          <w:lang w:val="fr-FR"/>
        </w:rPr>
        <w:t>Les dix fiches techniques</w:t>
      </w:r>
      <w:r w:rsidR="00554E32">
        <w:rPr>
          <w:iCs/>
          <w:sz w:val="22"/>
          <w:szCs w:val="22"/>
          <w:highlight w:val="lightGray"/>
          <w:lang w:val="fr-FR"/>
        </w:rPr>
        <w:t xml:space="preserve"> pour </w:t>
      </w:r>
      <w:r w:rsidRPr="00AD52A9">
        <w:rPr>
          <w:iCs/>
          <w:sz w:val="22"/>
          <w:szCs w:val="22"/>
          <w:highlight w:val="lightGray"/>
          <w:lang w:val="fr-FR"/>
        </w:rPr>
        <w:t>la campagne de sensibilisation ont été finalis</w:t>
      </w:r>
      <w:r w:rsidR="00AD52A9" w:rsidRPr="00AD52A9">
        <w:rPr>
          <w:iCs/>
          <w:sz w:val="22"/>
          <w:szCs w:val="22"/>
          <w:highlight w:val="lightGray"/>
          <w:lang w:val="fr-FR"/>
        </w:rPr>
        <w:t>é</w:t>
      </w:r>
      <w:r w:rsidRPr="00AD52A9">
        <w:rPr>
          <w:iCs/>
          <w:sz w:val="22"/>
          <w:szCs w:val="22"/>
          <w:highlight w:val="lightGray"/>
          <w:lang w:val="fr-FR"/>
        </w:rPr>
        <w:t>es sur la base des r</w:t>
      </w:r>
      <w:r w:rsidR="00AD52A9" w:rsidRPr="00AD52A9">
        <w:rPr>
          <w:iCs/>
          <w:sz w:val="22"/>
          <w:szCs w:val="22"/>
          <w:highlight w:val="lightGray"/>
          <w:lang w:val="fr-FR"/>
        </w:rPr>
        <w:t>é</w:t>
      </w:r>
      <w:r w:rsidRPr="00AD52A9">
        <w:rPr>
          <w:iCs/>
          <w:sz w:val="22"/>
          <w:szCs w:val="22"/>
          <w:highlight w:val="lightGray"/>
          <w:lang w:val="fr-FR"/>
        </w:rPr>
        <w:t>sultats provisoires du barom</w:t>
      </w:r>
      <w:r w:rsidR="00AD52A9" w:rsidRPr="00AD52A9">
        <w:rPr>
          <w:iCs/>
          <w:sz w:val="22"/>
          <w:szCs w:val="22"/>
          <w:highlight w:val="lightGray"/>
          <w:lang w:val="fr-FR"/>
        </w:rPr>
        <w:t>è</w:t>
      </w:r>
      <w:r w:rsidRPr="00AD52A9">
        <w:rPr>
          <w:iCs/>
          <w:sz w:val="22"/>
          <w:szCs w:val="22"/>
          <w:highlight w:val="lightGray"/>
          <w:lang w:val="fr-FR"/>
        </w:rPr>
        <w:t>tre et des entretiens avec des victimes</w:t>
      </w:r>
      <w:r w:rsidR="00AD52A9" w:rsidRPr="00AD52A9">
        <w:rPr>
          <w:iCs/>
          <w:sz w:val="22"/>
          <w:szCs w:val="22"/>
          <w:highlight w:val="lightGray"/>
          <w:lang w:val="fr-FR"/>
        </w:rPr>
        <w:t>.</w:t>
      </w:r>
      <w:r w:rsidRPr="00AD52A9">
        <w:rPr>
          <w:iCs/>
          <w:sz w:val="22"/>
          <w:szCs w:val="22"/>
          <w:highlight w:val="lightGray"/>
          <w:lang w:val="fr-FR"/>
        </w:rPr>
        <w:t xml:space="preserve"> </w:t>
      </w:r>
      <w:r w:rsidR="00AD52A9" w:rsidRPr="00AD52A9">
        <w:rPr>
          <w:iCs/>
          <w:sz w:val="22"/>
          <w:szCs w:val="22"/>
          <w:highlight w:val="lightGray"/>
          <w:lang w:val="fr-FR"/>
        </w:rPr>
        <w:t>L</w:t>
      </w:r>
      <w:r w:rsidRPr="00AD52A9">
        <w:rPr>
          <w:iCs/>
          <w:sz w:val="22"/>
          <w:szCs w:val="22"/>
          <w:highlight w:val="lightGray"/>
          <w:lang w:val="fr-FR"/>
        </w:rPr>
        <w:t>’entreprise de communication a été contract</w:t>
      </w:r>
      <w:r w:rsidR="00AD52A9" w:rsidRPr="00AD52A9">
        <w:rPr>
          <w:iCs/>
          <w:sz w:val="22"/>
          <w:szCs w:val="22"/>
          <w:highlight w:val="lightGray"/>
          <w:lang w:val="fr-FR"/>
        </w:rPr>
        <w:t>é</w:t>
      </w:r>
      <w:r w:rsidRPr="00AD52A9">
        <w:rPr>
          <w:iCs/>
          <w:sz w:val="22"/>
          <w:szCs w:val="22"/>
          <w:highlight w:val="lightGray"/>
          <w:lang w:val="fr-FR"/>
        </w:rPr>
        <w:t xml:space="preserve">e par le </w:t>
      </w:r>
      <w:r w:rsidR="00742E5F" w:rsidRPr="00AD52A9">
        <w:rPr>
          <w:iCs/>
          <w:sz w:val="22"/>
          <w:szCs w:val="22"/>
          <w:highlight w:val="lightGray"/>
          <w:lang w:val="fr-FR"/>
        </w:rPr>
        <w:t xml:space="preserve">HCDH et ONUFEMMES. </w:t>
      </w:r>
    </w:p>
    <w:p w14:paraId="1332205F" w14:textId="77777777" w:rsidR="004949CB" w:rsidRPr="00AD52A9" w:rsidRDefault="004949CB">
      <w:pPr>
        <w:jc w:val="both"/>
        <w:rPr>
          <w:iCs/>
          <w:sz w:val="22"/>
          <w:szCs w:val="22"/>
          <w:highlight w:val="lightGray"/>
          <w:lang w:val="fr-FR"/>
        </w:rPr>
      </w:pPr>
    </w:p>
    <w:p w14:paraId="4E13F860" w14:textId="3C1037F8" w:rsidR="00D6293E" w:rsidRDefault="00E53DFF" w:rsidP="00B84455">
      <w:pPr>
        <w:jc w:val="both"/>
        <w:rPr>
          <w:iCs/>
          <w:color w:val="000000" w:themeColor="text1"/>
          <w:sz w:val="22"/>
          <w:szCs w:val="22"/>
          <w:lang w:val="fr-FR"/>
        </w:rPr>
      </w:pPr>
      <w:r w:rsidRPr="00B84455">
        <w:rPr>
          <w:iCs/>
          <w:color w:val="000000" w:themeColor="text1"/>
          <w:sz w:val="22"/>
          <w:szCs w:val="22"/>
          <w:highlight w:val="lightGray"/>
          <w:lang w:val="fr-FR"/>
        </w:rPr>
        <w:t xml:space="preserve">La CNDH a été dotée d’une base de données constituant un système d'information, permettant un traitement plus efficace de l’ensemble des requêtes liées aux plaintes et à la surveillance des centres de détention et des détenus </w:t>
      </w:r>
      <w:r w:rsidR="00135302" w:rsidRPr="00B84455">
        <w:rPr>
          <w:iCs/>
          <w:color w:val="000000" w:themeColor="text1"/>
          <w:sz w:val="22"/>
          <w:szCs w:val="22"/>
          <w:highlight w:val="lightGray"/>
          <w:lang w:val="fr-FR"/>
        </w:rPr>
        <w:t xml:space="preserve">avec l’appui </w:t>
      </w:r>
      <w:r w:rsidR="004949CB" w:rsidRPr="00B84455">
        <w:rPr>
          <w:iCs/>
          <w:color w:val="000000" w:themeColor="text1"/>
          <w:sz w:val="22"/>
          <w:szCs w:val="22"/>
          <w:highlight w:val="lightGray"/>
          <w:lang w:val="fr-FR"/>
        </w:rPr>
        <w:t xml:space="preserve">du </w:t>
      </w:r>
      <w:r w:rsidR="00135302" w:rsidRPr="00B84455">
        <w:rPr>
          <w:iCs/>
          <w:color w:val="000000" w:themeColor="text1"/>
          <w:sz w:val="22"/>
          <w:szCs w:val="22"/>
          <w:highlight w:val="lightGray"/>
          <w:lang w:val="fr-FR"/>
        </w:rPr>
        <w:t>HCDH et ONU Femmes.</w:t>
      </w:r>
      <w:r w:rsidR="004949CB" w:rsidRPr="00B84455">
        <w:rPr>
          <w:iCs/>
          <w:color w:val="000000" w:themeColor="text1"/>
          <w:sz w:val="22"/>
          <w:szCs w:val="22"/>
          <w:highlight w:val="lightGray"/>
          <w:lang w:val="fr-FR"/>
        </w:rPr>
        <w:t xml:space="preserve"> Cet outil aura besoin d’une maintenance réguli</w:t>
      </w:r>
      <w:r w:rsidR="00AD52A9" w:rsidRPr="00B84455">
        <w:rPr>
          <w:iCs/>
          <w:color w:val="000000" w:themeColor="text1"/>
          <w:sz w:val="22"/>
          <w:szCs w:val="22"/>
          <w:highlight w:val="lightGray"/>
          <w:lang w:val="fr-FR"/>
        </w:rPr>
        <w:t>è</w:t>
      </w:r>
      <w:r w:rsidR="004949CB" w:rsidRPr="00B84455">
        <w:rPr>
          <w:iCs/>
          <w:color w:val="000000" w:themeColor="text1"/>
          <w:sz w:val="22"/>
          <w:szCs w:val="22"/>
          <w:highlight w:val="lightGray"/>
          <w:lang w:val="fr-FR"/>
        </w:rPr>
        <w:t>r</w:t>
      </w:r>
      <w:r w:rsidR="00C2161C" w:rsidRPr="00B84455">
        <w:rPr>
          <w:iCs/>
          <w:color w:val="000000" w:themeColor="text1"/>
          <w:sz w:val="22"/>
          <w:szCs w:val="22"/>
          <w:highlight w:val="lightGray"/>
          <w:lang w:val="fr-FR"/>
        </w:rPr>
        <w:t>e</w:t>
      </w:r>
      <w:r w:rsidR="004949CB" w:rsidRPr="00B84455">
        <w:rPr>
          <w:iCs/>
          <w:color w:val="000000" w:themeColor="text1"/>
          <w:sz w:val="22"/>
          <w:szCs w:val="22"/>
          <w:highlight w:val="lightGray"/>
          <w:lang w:val="fr-FR"/>
        </w:rPr>
        <w:t xml:space="preserve"> afin de permettre à la CNDH de traiter les plaintes d’une manière efficace.</w:t>
      </w:r>
      <w:r w:rsidR="00AD52A9" w:rsidRPr="00B84455">
        <w:rPr>
          <w:iCs/>
          <w:color w:val="000000" w:themeColor="text1"/>
          <w:sz w:val="22"/>
          <w:szCs w:val="22"/>
          <w:highlight w:val="lightGray"/>
          <w:lang w:val="fr-FR"/>
        </w:rPr>
        <w:t xml:space="preserve"> </w:t>
      </w:r>
      <w:r w:rsidR="004949CB" w:rsidRPr="00B84455">
        <w:rPr>
          <w:iCs/>
          <w:color w:val="000000" w:themeColor="text1"/>
          <w:sz w:val="22"/>
          <w:szCs w:val="22"/>
          <w:highlight w:val="lightGray"/>
          <w:lang w:val="fr-FR"/>
        </w:rPr>
        <w:t>Les cadres de concertation ont été lancé</w:t>
      </w:r>
      <w:r w:rsidR="00C2161C" w:rsidRPr="00B84455">
        <w:rPr>
          <w:iCs/>
          <w:color w:val="000000" w:themeColor="text1"/>
          <w:sz w:val="22"/>
          <w:szCs w:val="22"/>
          <w:highlight w:val="lightGray"/>
          <w:lang w:val="fr-FR"/>
        </w:rPr>
        <w:t>s</w:t>
      </w:r>
      <w:r w:rsidR="004949CB" w:rsidRPr="00B84455">
        <w:rPr>
          <w:iCs/>
          <w:color w:val="000000" w:themeColor="text1"/>
          <w:sz w:val="22"/>
          <w:szCs w:val="22"/>
          <w:highlight w:val="lightGray"/>
          <w:lang w:val="fr-FR"/>
        </w:rPr>
        <w:t xml:space="preserve"> début </w:t>
      </w:r>
      <w:r w:rsidR="00C2161C" w:rsidRPr="00B84455">
        <w:rPr>
          <w:iCs/>
          <w:color w:val="000000" w:themeColor="text1"/>
          <w:sz w:val="22"/>
          <w:szCs w:val="22"/>
          <w:highlight w:val="lightGray"/>
          <w:lang w:val="fr-FR"/>
        </w:rPr>
        <w:t>o</w:t>
      </w:r>
      <w:r w:rsidR="004949CB" w:rsidRPr="00B84455">
        <w:rPr>
          <w:iCs/>
          <w:color w:val="000000" w:themeColor="text1"/>
          <w:sz w:val="22"/>
          <w:szCs w:val="22"/>
          <w:highlight w:val="lightGray"/>
          <w:lang w:val="fr-FR"/>
        </w:rPr>
        <w:t xml:space="preserve">ctobre </w:t>
      </w:r>
      <w:r w:rsidR="00C2161C" w:rsidRPr="00B84455">
        <w:rPr>
          <w:iCs/>
          <w:color w:val="000000" w:themeColor="text1"/>
          <w:sz w:val="22"/>
          <w:szCs w:val="22"/>
          <w:highlight w:val="lightGray"/>
          <w:lang w:val="fr-FR"/>
        </w:rPr>
        <w:t xml:space="preserve">2021 </w:t>
      </w:r>
      <w:r w:rsidR="004949CB" w:rsidRPr="00B84455">
        <w:rPr>
          <w:iCs/>
          <w:color w:val="000000" w:themeColor="text1"/>
          <w:sz w:val="22"/>
          <w:szCs w:val="22"/>
          <w:highlight w:val="lightGray"/>
          <w:lang w:val="fr-FR"/>
        </w:rPr>
        <w:t>à Mopti et Ségou</w:t>
      </w:r>
      <w:r w:rsidR="00B84455" w:rsidRPr="00B84455">
        <w:rPr>
          <w:iCs/>
          <w:color w:val="000000" w:themeColor="text1"/>
          <w:sz w:val="22"/>
          <w:szCs w:val="22"/>
          <w:highlight w:val="lightGray"/>
          <w:lang w:val="fr-FR"/>
        </w:rPr>
        <w:t xml:space="preserve"> </w:t>
      </w:r>
      <w:proofErr w:type="spellStart"/>
      <w:r w:rsidR="00B84455" w:rsidRPr="00B84455">
        <w:rPr>
          <w:color w:val="000000" w:themeColor="text1"/>
          <w:sz w:val="22"/>
          <w:szCs w:val="22"/>
          <w:highlight w:val="lightGray"/>
          <w:lang w:val="en-US"/>
        </w:rPr>
        <w:t>en</w:t>
      </w:r>
      <w:proofErr w:type="spellEnd"/>
      <w:r w:rsidR="00B84455" w:rsidRPr="00B84455">
        <w:rPr>
          <w:color w:val="000000" w:themeColor="text1"/>
          <w:sz w:val="22"/>
          <w:szCs w:val="22"/>
          <w:highlight w:val="lightGray"/>
          <w:lang w:val="en-US"/>
        </w:rPr>
        <w:t xml:space="preserve"> </w:t>
      </w:r>
      <w:proofErr w:type="spellStart"/>
      <w:r w:rsidR="00B84455" w:rsidRPr="00B84455">
        <w:rPr>
          <w:color w:val="000000" w:themeColor="text1"/>
          <w:sz w:val="22"/>
          <w:szCs w:val="22"/>
          <w:highlight w:val="lightGray"/>
          <w:lang w:val="en-US"/>
        </w:rPr>
        <w:t>réunissant</w:t>
      </w:r>
      <w:proofErr w:type="spellEnd"/>
      <w:r w:rsidR="00B84455" w:rsidRPr="00B84455">
        <w:rPr>
          <w:color w:val="000000" w:themeColor="text1"/>
          <w:sz w:val="22"/>
          <w:szCs w:val="22"/>
          <w:highlight w:val="lightGray"/>
          <w:lang w:val="en-US"/>
        </w:rPr>
        <w:t xml:space="preserve"> plus </w:t>
      </w:r>
      <w:proofErr w:type="spellStart"/>
      <w:r w:rsidR="00B84455" w:rsidRPr="00B84455">
        <w:rPr>
          <w:color w:val="000000" w:themeColor="text1"/>
          <w:sz w:val="22"/>
          <w:szCs w:val="22"/>
          <w:highlight w:val="lightGray"/>
          <w:lang w:val="en-US"/>
        </w:rPr>
        <w:t>d’une</w:t>
      </w:r>
      <w:proofErr w:type="spellEnd"/>
      <w:r w:rsidR="00B84455" w:rsidRPr="00B84455">
        <w:rPr>
          <w:color w:val="000000" w:themeColor="text1"/>
          <w:sz w:val="22"/>
          <w:szCs w:val="22"/>
          <w:highlight w:val="lightGray"/>
          <w:lang w:val="en-US"/>
        </w:rPr>
        <w:t xml:space="preserve"> </w:t>
      </w:r>
      <w:proofErr w:type="spellStart"/>
      <w:r w:rsidR="00B84455" w:rsidRPr="00B84455">
        <w:rPr>
          <w:color w:val="000000" w:themeColor="text1"/>
          <w:sz w:val="22"/>
          <w:szCs w:val="22"/>
          <w:highlight w:val="lightGray"/>
          <w:lang w:val="en-US"/>
        </w:rPr>
        <w:t>centaine</w:t>
      </w:r>
      <w:proofErr w:type="spellEnd"/>
      <w:r w:rsidR="00B84455" w:rsidRPr="00B84455">
        <w:rPr>
          <w:color w:val="000000" w:themeColor="text1"/>
          <w:sz w:val="22"/>
          <w:szCs w:val="22"/>
          <w:highlight w:val="lightGray"/>
          <w:lang w:val="en-US"/>
        </w:rPr>
        <w:t xml:space="preserve"> de participants </w:t>
      </w:r>
      <w:proofErr w:type="spellStart"/>
      <w:r w:rsidR="00B84455" w:rsidRPr="00B84455">
        <w:rPr>
          <w:color w:val="000000" w:themeColor="text1"/>
          <w:sz w:val="22"/>
          <w:szCs w:val="22"/>
          <w:highlight w:val="lightGray"/>
          <w:lang w:val="en-US"/>
        </w:rPr>
        <w:t>dont</w:t>
      </w:r>
      <w:proofErr w:type="spellEnd"/>
      <w:r w:rsidR="00B84455" w:rsidRPr="00B84455">
        <w:rPr>
          <w:color w:val="000000" w:themeColor="text1"/>
          <w:sz w:val="22"/>
          <w:szCs w:val="22"/>
          <w:highlight w:val="lightGray"/>
          <w:lang w:val="en-US"/>
        </w:rPr>
        <w:t xml:space="preserve"> </w:t>
      </w:r>
      <w:proofErr w:type="spellStart"/>
      <w:r w:rsidR="00B84455" w:rsidRPr="00B84455">
        <w:rPr>
          <w:color w:val="000000" w:themeColor="text1"/>
          <w:sz w:val="22"/>
          <w:szCs w:val="22"/>
          <w:highlight w:val="lightGray"/>
          <w:lang w:val="en-US"/>
        </w:rPr>
        <w:t>une</w:t>
      </w:r>
      <w:proofErr w:type="spellEnd"/>
      <w:r w:rsidR="00B84455" w:rsidRPr="00B84455">
        <w:rPr>
          <w:color w:val="000000" w:themeColor="text1"/>
          <w:sz w:val="22"/>
          <w:szCs w:val="22"/>
          <w:highlight w:val="lightGray"/>
          <w:lang w:val="en-US"/>
        </w:rPr>
        <w:t xml:space="preserve"> </w:t>
      </w:r>
      <w:proofErr w:type="spellStart"/>
      <w:r w:rsidR="00B84455" w:rsidRPr="00B84455">
        <w:rPr>
          <w:color w:val="000000" w:themeColor="text1"/>
          <w:sz w:val="22"/>
          <w:szCs w:val="22"/>
          <w:highlight w:val="lightGray"/>
          <w:lang w:val="en-US"/>
        </w:rPr>
        <w:t>trentaine</w:t>
      </w:r>
      <w:proofErr w:type="spellEnd"/>
      <w:r w:rsidR="00B84455" w:rsidRPr="00B84455">
        <w:rPr>
          <w:color w:val="000000" w:themeColor="text1"/>
          <w:sz w:val="22"/>
          <w:szCs w:val="22"/>
          <w:highlight w:val="lightGray"/>
          <w:lang w:val="en-US"/>
        </w:rPr>
        <w:t xml:space="preserve"> de femmes</w:t>
      </w:r>
      <w:r w:rsidR="004949CB" w:rsidRPr="00B84455">
        <w:rPr>
          <w:iCs/>
          <w:color w:val="000000" w:themeColor="text1"/>
          <w:sz w:val="22"/>
          <w:szCs w:val="22"/>
          <w:highlight w:val="lightGray"/>
          <w:lang w:val="fr-FR"/>
        </w:rPr>
        <w:t>. Ces cadres serviront d’espace de dialogue et d’échanges avec les autorités ainsi qu’avec les autorités traditionnelles et religieuses</w:t>
      </w:r>
      <w:r w:rsidR="006D1BE7">
        <w:rPr>
          <w:color w:val="000000" w:themeColor="text1"/>
          <w:sz w:val="22"/>
          <w:szCs w:val="22"/>
          <w:highlight w:val="lightGray"/>
          <w:lang w:val="fr-FR"/>
        </w:rPr>
        <w:t xml:space="preserve">, </w:t>
      </w:r>
      <w:r w:rsidR="00AD52A9" w:rsidRPr="00B84455">
        <w:rPr>
          <w:color w:val="000000" w:themeColor="text1"/>
          <w:sz w:val="22"/>
          <w:szCs w:val="22"/>
          <w:highlight w:val="lightGray"/>
          <w:lang w:val="fr-FR"/>
        </w:rPr>
        <w:t>faciliteront la tenue d’activités de surveillance de la situation des droits de l’Homme et permettront ainsi de mener des enquêtes sur les allégations sérieuses de violations et abus des droits de l’Homme et de conduire des actions de plaidoyer.</w:t>
      </w:r>
      <w:r w:rsidR="00B84455" w:rsidRPr="00B84455">
        <w:rPr>
          <w:iCs/>
          <w:color w:val="000000" w:themeColor="text1"/>
          <w:sz w:val="22"/>
          <w:szCs w:val="22"/>
          <w:highlight w:val="lightGray"/>
          <w:lang w:val="fr-FR"/>
        </w:rPr>
        <w:t xml:space="preserve"> </w:t>
      </w:r>
      <w:r w:rsidR="00B84455">
        <w:rPr>
          <w:iCs/>
          <w:color w:val="000000" w:themeColor="text1"/>
          <w:sz w:val="22"/>
          <w:szCs w:val="22"/>
          <w:highlight w:val="lightGray"/>
          <w:lang w:val="fr-FR"/>
        </w:rPr>
        <w:t>L</w:t>
      </w:r>
      <w:r w:rsidR="00135302" w:rsidRPr="00B84455">
        <w:rPr>
          <w:iCs/>
          <w:color w:val="000000" w:themeColor="text1"/>
          <w:sz w:val="22"/>
          <w:szCs w:val="22"/>
          <w:highlight w:val="lightGray"/>
          <w:lang w:val="fr-FR"/>
        </w:rPr>
        <w:t>e processus d’élaboration du rapport thématique</w:t>
      </w:r>
      <w:r w:rsidR="00B84455">
        <w:rPr>
          <w:iCs/>
          <w:color w:val="000000" w:themeColor="text1"/>
          <w:sz w:val="22"/>
          <w:szCs w:val="22"/>
          <w:highlight w:val="lightGray"/>
          <w:lang w:val="fr-FR"/>
        </w:rPr>
        <w:t xml:space="preserve"> de la CNDH</w:t>
      </w:r>
      <w:r w:rsidR="00135302" w:rsidRPr="00B84455">
        <w:rPr>
          <w:iCs/>
          <w:color w:val="000000" w:themeColor="text1"/>
          <w:sz w:val="22"/>
          <w:szCs w:val="22"/>
          <w:highlight w:val="lightGray"/>
          <w:lang w:val="fr-FR"/>
        </w:rPr>
        <w:t xml:space="preserve"> sur l’accès à la justice dans le Centre incluant une analyse genre est en cours</w:t>
      </w:r>
      <w:bookmarkEnd w:id="15"/>
      <w:r w:rsidR="00B84455" w:rsidRPr="00B84455">
        <w:rPr>
          <w:iCs/>
          <w:color w:val="000000" w:themeColor="text1"/>
          <w:sz w:val="22"/>
          <w:szCs w:val="22"/>
          <w:highlight w:val="lightGray"/>
          <w:lang w:val="fr-FR"/>
        </w:rPr>
        <w:t>.</w:t>
      </w:r>
    </w:p>
    <w:p w14:paraId="553FEDB3" w14:textId="32645FC9" w:rsidR="00554E32" w:rsidRDefault="00554E32" w:rsidP="00B84455">
      <w:pPr>
        <w:jc w:val="both"/>
        <w:rPr>
          <w:iCs/>
          <w:color w:val="000000" w:themeColor="text1"/>
          <w:sz w:val="22"/>
          <w:szCs w:val="22"/>
          <w:lang w:val="fr-FR"/>
        </w:rPr>
      </w:pPr>
    </w:p>
    <w:p w14:paraId="4FBB7A0F" w14:textId="026630FF" w:rsidR="00554E32" w:rsidRPr="00554E32" w:rsidRDefault="00554E32" w:rsidP="00B84455">
      <w:pPr>
        <w:jc w:val="both"/>
        <w:rPr>
          <w:bCs/>
          <w:iCs/>
          <w:sz w:val="22"/>
          <w:szCs w:val="22"/>
          <w:highlight w:val="lightGray"/>
          <w:lang w:val="fr-FR"/>
        </w:rPr>
      </w:pPr>
      <w:r w:rsidRPr="00554E32">
        <w:rPr>
          <w:bCs/>
          <w:iCs/>
          <w:sz w:val="22"/>
          <w:szCs w:val="22"/>
          <w:highlight w:val="lightGray"/>
          <w:lang w:val="fr-FR"/>
        </w:rPr>
        <w:t>Pour résumer, les différents dispositifs pour garantir et rendre efficace un accès à l’assistance (légale) aux victimes des violations graves des droits de l’homme sont en place, notamment à travers la collaboration avec le Barreau, la société civile et l’appui fourni à la CNDH pour permettre un meilleur traitement des plaintes.</w:t>
      </w:r>
    </w:p>
    <w:p w14:paraId="08437D31" w14:textId="77777777" w:rsidR="00675507" w:rsidRPr="00554E32" w:rsidRDefault="00675507" w:rsidP="00554E32">
      <w:pPr>
        <w:jc w:val="both"/>
        <w:rPr>
          <w:bCs/>
          <w:iCs/>
          <w:sz w:val="22"/>
          <w:szCs w:val="22"/>
          <w:highlight w:val="lightGray"/>
          <w:lang w:val="fr-FR"/>
        </w:rPr>
      </w:pPr>
    </w:p>
    <w:p w14:paraId="2026752E" w14:textId="61D4E991" w:rsidR="00675507" w:rsidRPr="00ED6B34" w:rsidRDefault="2573423F" w:rsidP="508781EE">
      <w:pPr>
        <w:ind w:left="-720"/>
        <w:rPr>
          <w:b/>
          <w:bCs/>
          <w:lang w:val="fr-FR"/>
        </w:rPr>
      </w:pPr>
      <w:r w:rsidRPr="00ED6B34">
        <w:rPr>
          <w:b/>
          <w:bCs/>
          <w:lang w:val="fr-FR" w:eastAsia="en-US"/>
        </w:rPr>
        <w:t>Indiquez toute analyse supplémentaire sur la manière dont l'égalité entre les sexes et l'autonomisation des femmes et / ou l'inclusion</w:t>
      </w:r>
      <w:r w:rsidR="1A7D4D80" w:rsidRPr="00ED6B34">
        <w:rPr>
          <w:b/>
          <w:bCs/>
          <w:lang w:val="fr-FR" w:eastAsia="en-US"/>
        </w:rPr>
        <w:t xml:space="preserve"> </w:t>
      </w:r>
      <w:r w:rsidRPr="00ED6B34">
        <w:rPr>
          <w:b/>
          <w:bCs/>
          <w:lang w:val="fr-FR" w:eastAsia="en-US"/>
        </w:rPr>
        <w:t>et la réactivité aux besoins des jeunes ont été assurées dans le cadre de ce résultat</w:t>
      </w:r>
      <w:r w:rsidR="3E3B52CF" w:rsidRPr="00ED6B34">
        <w:rPr>
          <w:b/>
          <w:bCs/>
          <w:lang w:val="fr-FR" w:eastAsia="en-US"/>
        </w:rPr>
        <w:t xml:space="preserve"> </w:t>
      </w:r>
      <w:r w:rsidRPr="00ED6B34">
        <w:rPr>
          <w:b/>
          <w:bCs/>
          <w:lang w:val="fr-FR"/>
        </w:rPr>
        <w:t xml:space="preserve">: </w:t>
      </w:r>
      <w:r w:rsidRPr="00ED6B34">
        <w:rPr>
          <w:i/>
          <w:iCs/>
          <w:lang w:val="fr-FR"/>
        </w:rPr>
        <w:t>(</w:t>
      </w:r>
      <w:r w:rsidRPr="00ED6B34">
        <w:rPr>
          <w:rFonts w:ascii="inherit" w:hAnsi="inherit"/>
          <w:lang w:val="fr-FR"/>
        </w:rPr>
        <w:t>Limite de 1000 caractères</w:t>
      </w:r>
      <w:r w:rsidRPr="00ED6B34">
        <w:rPr>
          <w:i/>
          <w:iCs/>
          <w:lang w:val="fr-FR"/>
        </w:rPr>
        <w:t>)</w:t>
      </w:r>
    </w:p>
    <w:p w14:paraId="57367E7F" w14:textId="69D24B99" w:rsidR="00FA5079" w:rsidRPr="006D1BE7" w:rsidRDefault="00135302" w:rsidP="000C0279">
      <w:pPr>
        <w:pStyle w:val="StandardWeb"/>
        <w:jc w:val="both"/>
        <w:rPr>
          <w:bCs/>
          <w:sz w:val="22"/>
          <w:szCs w:val="22"/>
          <w:highlight w:val="lightGray"/>
          <w:lang w:val="fr-FR"/>
        </w:rPr>
      </w:pPr>
      <w:bookmarkStart w:id="16" w:name="_Hlk85098453"/>
      <w:r w:rsidRPr="006D1BE7">
        <w:rPr>
          <w:bCs/>
          <w:sz w:val="22"/>
          <w:szCs w:val="22"/>
          <w:highlight w:val="lightGray"/>
          <w:lang w:val="fr-FR"/>
        </w:rPr>
        <w:t xml:space="preserve">La prise en compte du genre est intégrée depuis le début dans les termes de références de la stratégie </w:t>
      </w:r>
      <w:r w:rsidRPr="006D1BE7">
        <w:rPr>
          <w:bCs/>
          <w:iCs/>
          <w:sz w:val="22"/>
          <w:szCs w:val="22"/>
          <w:highlight w:val="lightGray"/>
          <w:lang w:val="fr-FR"/>
        </w:rPr>
        <w:t xml:space="preserve">d’assistance </w:t>
      </w:r>
      <w:r w:rsidR="00C2161C" w:rsidRPr="006D1BE7">
        <w:rPr>
          <w:bCs/>
          <w:iCs/>
          <w:sz w:val="22"/>
          <w:szCs w:val="22"/>
          <w:highlight w:val="lightGray"/>
          <w:lang w:val="fr-FR"/>
        </w:rPr>
        <w:t>l</w:t>
      </w:r>
      <w:r w:rsidR="00316730">
        <w:rPr>
          <w:bCs/>
          <w:iCs/>
          <w:sz w:val="22"/>
          <w:szCs w:val="22"/>
          <w:highlight w:val="lightGray"/>
          <w:lang w:val="fr-FR"/>
        </w:rPr>
        <w:t>é</w:t>
      </w:r>
      <w:r w:rsidR="00C2161C" w:rsidRPr="006D1BE7">
        <w:rPr>
          <w:bCs/>
          <w:iCs/>
          <w:sz w:val="22"/>
          <w:szCs w:val="22"/>
          <w:highlight w:val="lightGray"/>
          <w:lang w:val="fr-FR"/>
        </w:rPr>
        <w:t>gale</w:t>
      </w:r>
      <w:r w:rsidRPr="006D1BE7">
        <w:rPr>
          <w:bCs/>
          <w:iCs/>
          <w:sz w:val="22"/>
          <w:szCs w:val="22"/>
          <w:highlight w:val="lightGray"/>
          <w:lang w:val="fr-FR"/>
        </w:rPr>
        <w:t xml:space="preserve"> et de la stratégie de protection des victimes, témoins et sources</w:t>
      </w:r>
      <w:r w:rsidRPr="006D1BE7">
        <w:rPr>
          <w:bCs/>
          <w:sz w:val="22"/>
          <w:szCs w:val="22"/>
          <w:highlight w:val="lightGray"/>
          <w:lang w:val="fr-FR"/>
        </w:rPr>
        <w:t>.</w:t>
      </w:r>
      <w:r w:rsidR="0045206C" w:rsidRPr="006D1BE7">
        <w:rPr>
          <w:bCs/>
          <w:sz w:val="22"/>
          <w:szCs w:val="22"/>
          <w:highlight w:val="lightGray"/>
          <w:lang w:val="fr-FR"/>
        </w:rPr>
        <w:t xml:space="preserve"> </w:t>
      </w:r>
      <w:r w:rsidR="000C0279" w:rsidRPr="006D1BE7">
        <w:rPr>
          <w:bCs/>
          <w:sz w:val="22"/>
          <w:szCs w:val="22"/>
          <w:highlight w:val="lightGray"/>
          <w:lang w:val="fr-FR"/>
        </w:rPr>
        <w:t>P</w:t>
      </w:r>
      <w:r w:rsidR="00257DFC" w:rsidRPr="006D1BE7">
        <w:rPr>
          <w:bCs/>
          <w:sz w:val="22"/>
          <w:szCs w:val="22"/>
          <w:highlight w:val="lightGray"/>
          <w:lang w:val="fr-FR"/>
        </w:rPr>
        <w:t xml:space="preserve">endant </w:t>
      </w:r>
      <w:r w:rsidR="0045206C" w:rsidRPr="006D1BE7">
        <w:rPr>
          <w:bCs/>
          <w:sz w:val="22"/>
          <w:szCs w:val="22"/>
          <w:highlight w:val="lightGray"/>
          <w:lang w:val="fr-FR"/>
        </w:rPr>
        <w:t>l’identification des 12 dossiers emblématiques</w:t>
      </w:r>
      <w:r w:rsidR="000C0279" w:rsidRPr="006D1BE7">
        <w:rPr>
          <w:bCs/>
          <w:sz w:val="22"/>
          <w:szCs w:val="22"/>
          <w:highlight w:val="lightGray"/>
          <w:lang w:val="fr-FR"/>
        </w:rPr>
        <w:t xml:space="preserve"> (</w:t>
      </w:r>
      <w:r w:rsidR="00316730" w:rsidRPr="006D1BE7">
        <w:rPr>
          <w:bCs/>
          <w:sz w:val="22"/>
          <w:szCs w:val="22"/>
          <w:highlight w:val="lightGray"/>
          <w:lang w:val="fr-FR"/>
        </w:rPr>
        <w:t>sélectionnés</w:t>
      </w:r>
      <w:r w:rsidR="000C0279" w:rsidRPr="006D1BE7">
        <w:rPr>
          <w:bCs/>
          <w:sz w:val="22"/>
          <w:szCs w:val="22"/>
          <w:highlight w:val="lightGray"/>
          <w:lang w:val="fr-FR"/>
        </w:rPr>
        <w:t xml:space="preserve"> en se basant sur un choix </w:t>
      </w:r>
      <w:r w:rsidR="00316730" w:rsidRPr="006D1BE7">
        <w:rPr>
          <w:bCs/>
          <w:sz w:val="22"/>
          <w:szCs w:val="22"/>
          <w:highlight w:val="lightGray"/>
          <w:lang w:val="fr-FR"/>
        </w:rPr>
        <w:lastRenderedPageBreak/>
        <w:t>stratégique</w:t>
      </w:r>
      <w:r w:rsidR="000C0279" w:rsidRPr="006D1BE7">
        <w:rPr>
          <w:bCs/>
          <w:sz w:val="22"/>
          <w:szCs w:val="22"/>
          <w:highlight w:val="lightGray"/>
          <w:lang w:val="fr-FR"/>
        </w:rPr>
        <w:t xml:space="preserve"> des incidents importants ayant comme auteurs </w:t>
      </w:r>
      <w:r w:rsidR="00316730" w:rsidRPr="006D1BE7">
        <w:rPr>
          <w:bCs/>
          <w:sz w:val="22"/>
          <w:szCs w:val="22"/>
          <w:highlight w:val="lightGray"/>
          <w:lang w:val="fr-FR"/>
        </w:rPr>
        <w:t>présumés</w:t>
      </w:r>
      <w:r w:rsidR="000C0279" w:rsidRPr="006D1BE7">
        <w:rPr>
          <w:bCs/>
          <w:sz w:val="22"/>
          <w:szCs w:val="22"/>
          <w:highlight w:val="lightGray"/>
          <w:lang w:val="fr-FR"/>
        </w:rPr>
        <w:t xml:space="preserve"> des FSD)</w:t>
      </w:r>
      <w:r w:rsidR="0045206C" w:rsidRPr="006D1BE7">
        <w:rPr>
          <w:bCs/>
          <w:sz w:val="22"/>
          <w:szCs w:val="22"/>
          <w:highlight w:val="lightGray"/>
          <w:lang w:val="fr-FR"/>
        </w:rPr>
        <w:t xml:space="preserve">, il s’est avéré que la plupart des victimes </w:t>
      </w:r>
      <w:r w:rsidR="000C0279" w:rsidRPr="006D1BE7">
        <w:rPr>
          <w:bCs/>
          <w:sz w:val="22"/>
          <w:szCs w:val="22"/>
          <w:highlight w:val="lightGray"/>
          <w:lang w:val="fr-FR"/>
        </w:rPr>
        <w:t>« </w:t>
      </w:r>
      <w:r w:rsidR="0045206C" w:rsidRPr="006D1BE7">
        <w:rPr>
          <w:bCs/>
          <w:sz w:val="22"/>
          <w:szCs w:val="22"/>
          <w:highlight w:val="lightGray"/>
          <w:lang w:val="fr-FR"/>
        </w:rPr>
        <w:t>directs</w:t>
      </w:r>
      <w:r w:rsidR="000C0279" w:rsidRPr="006D1BE7">
        <w:rPr>
          <w:bCs/>
          <w:sz w:val="22"/>
          <w:szCs w:val="22"/>
          <w:highlight w:val="lightGray"/>
          <w:lang w:val="fr-FR"/>
        </w:rPr>
        <w:t> »</w:t>
      </w:r>
      <w:r w:rsidR="0045206C" w:rsidRPr="006D1BE7">
        <w:rPr>
          <w:bCs/>
          <w:sz w:val="22"/>
          <w:szCs w:val="22"/>
          <w:highlight w:val="lightGray"/>
          <w:lang w:val="fr-FR"/>
        </w:rPr>
        <w:t xml:space="preserve"> sont des hommes</w:t>
      </w:r>
      <w:r w:rsidR="00C2161C" w:rsidRPr="006D1BE7">
        <w:rPr>
          <w:bCs/>
          <w:sz w:val="22"/>
          <w:szCs w:val="22"/>
          <w:highlight w:val="lightGray"/>
          <w:lang w:val="fr-FR"/>
        </w:rPr>
        <w:t> ;</w:t>
      </w:r>
      <w:r w:rsidR="0045206C" w:rsidRPr="006D1BE7">
        <w:rPr>
          <w:bCs/>
          <w:sz w:val="22"/>
          <w:szCs w:val="22"/>
          <w:highlight w:val="lightGray"/>
          <w:lang w:val="fr-FR"/>
        </w:rPr>
        <w:t xml:space="preserve"> les femmes </w:t>
      </w:r>
      <w:r w:rsidR="000C0279" w:rsidRPr="006D1BE7">
        <w:rPr>
          <w:bCs/>
          <w:sz w:val="22"/>
          <w:szCs w:val="22"/>
          <w:highlight w:val="lightGray"/>
          <w:lang w:val="fr-FR"/>
        </w:rPr>
        <w:t xml:space="preserve">étant </w:t>
      </w:r>
      <w:r w:rsidR="0045206C" w:rsidRPr="006D1BE7">
        <w:rPr>
          <w:bCs/>
          <w:sz w:val="22"/>
          <w:szCs w:val="22"/>
          <w:highlight w:val="lightGray"/>
          <w:lang w:val="fr-FR"/>
        </w:rPr>
        <w:t xml:space="preserve">des victimes </w:t>
      </w:r>
      <w:r w:rsidR="000C0279" w:rsidRPr="006D1BE7">
        <w:rPr>
          <w:bCs/>
          <w:sz w:val="22"/>
          <w:szCs w:val="22"/>
          <w:highlight w:val="lightGray"/>
          <w:lang w:val="fr-FR"/>
        </w:rPr>
        <w:t>« </w:t>
      </w:r>
      <w:r w:rsidR="0045206C" w:rsidRPr="006D1BE7">
        <w:rPr>
          <w:bCs/>
          <w:sz w:val="22"/>
          <w:szCs w:val="22"/>
          <w:highlight w:val="lightGray"/>
          <w:lang w:val="fr-FR"/>
        </w:rPr>
        <w:t>indirectes</w:t>
      </w:r>
      <w:r w:rsidR="000C0279" w:rsidRPr="006D1BE7">
        <w:rPr>
          <w:bCs/>
          <w:sz w:val="22"/>
          <w:szCs w:val="22"/>
          <w:highlight w:val="lightGray"/>
          <w:lang w:val="fr-FR"/>
        </w:rPr>
        <w:t> »</w:t>
      </w:r>
      <w:r w:rsidR="0045206C" w:rsidRPr="006D1BE7">
        <w:rPr>
          <w:bCs/>
          <w:sz w:val="22"/>
          <w:szCs w:val="22"/>
          <w:highlight w:val="lightGray"/>
          <w:lang w:val="fr-FR"/>
        </w:rPr>
        <w:t xml:space="preserve"> ayant perdu un membre de leur famill</w:t>
      </w:r>
      <w:r w:rsidR="000C0279" w:rsidRPr="006D1BE7">
        <w:rPr>
          <w:bCs/>
          <w:sz w:val="22"/>
          <w:szCs w:val="22"/>
          <w:highlight w:val="lightGray"/>
          <w:lang w:val="fr-FR"/>
        </w:rPr>
        <w:t>e proche qui était aussi, dans plusieurs cas, le principal soutien de famille. Il s’agit des cas de violations du droit à la vie, de l’</w:t>
      </w:r>
      <w:r w:rsidR="00316730" w:rsidRPr="006D1BE7">
        <w:rPr>
          <w:bCs/>
          <w:sz w:val="22"/>
          <w:szCs w:val="22"/>
          <w:highlight w:val="lightGray"/>
          <w:lang w:val="fr-FR"/>
        </w:rPr>
        <w:t>intégrité</w:t>
      </w:r>
      <w:r w:rsidR="000C0279" w:rsidRPr="006D1BE7">
        <w:rPr>
          <w:bCs/>
          <w:sz w:val="22"/>
          <w:szCs w:val="22"/>
          <w:highlight w:val="lightGray"/>
          <w:lang w:val="fr-FR"/>
        </w:rPr>
        <w:t xml:space="preserve"> physique, de la liberté de la personne et du droit de savoir </w:t>
      </w:r>
      <w:proofErr w:type="spellStart"/>
      <w:proofErr w:type="gramStart"/>
      <w:r w:rsidR="000C0279" w:rsidRPr="006D1BE7">
        <w:rPr>
          <w:bCs/>
          <w:sz w:val="22"/>
          <w:szCs w:val="22"/>
          <w:highlight w:val="lightGray"/>
          <w:lang w:val="fr-FR"/>
        </w:rPr>
        <w:t>ou</w:t>
      </w:r>
      <w:proofErr w:type="spellEnd"/>
      <w:proofErr w:type="gramEnd"/>
      <w:r w:rsidR="000C0279" w:rsidRPr="006D1BE7">
        <w:rPr>
          <w:bCs/>
          <w:sz w:val="22"/>
          <w:szCs w:val="22"/>
          <w:highlight w:val="lightGray"/>
          <w:lang w:val="fr-FR"/>
        </w:rPr>
        <w:t xml:space="preserve"> se trouve un membre de la famille après une interpellation ou arrestation. En conformité avec la Déclaration des principes fondamentaux de justice relatifs aux victimes de la criminalité et aux victimes d’abus de pouvoirs (résolution de l’Assemblée générale 40/34), la famille proche ou les personnes à la charge de la victime directe sont également à considérer comme victime. </w:t>
      </w:r>
    </w:p>
    <w:bookmarkEnd w:id="16"/>
    <w:p w14:paraId="5336654F" w14:textId="77777777" w:rsidR="00627A1C" w:rsidRPr="00ED6B34" w:rsidRDefault="00627A1C" w:rsidP="00B84455">
      <w:pPr>
        <w:rPr>
          <w:b/>
          <w:lang w:val="fr-FR"/>
        </w:rPr>
      </w:pPr>
    </w:p>
    <w:p w14:paraId="68D9728B" w14:textId="77777777" w:rsidR="00675507" w:rsidRPr="00ED6B34" w:rsidRDefault="00675507" w:rsidP="00675507">
      <w:pPr>
        <w:rPr>
          <w:b/>
          <w:u w:val="single"/>
          <w:lang w:val="fr-FR"/>
        </w:rPr>
      </w:pPr>
      <w:r w:rsidRPr="00ED6B34">
        <w:rPr>
          <w:b/>
          <w:u w:val="single"/>
          <w:lang w:val="fr-FR"/>
        </w:rPr>
        <w:t xml:space="preserve">Partie </w:t>
      </w:r>
      <w:proofErr w:type="gramStart"/>
      <w:r w:rsidRPr="00ED6B34">
        <w:rPr>
          <w:b/>
          <w:u w:val="single"/>
          <w:lang w:val="fr-FR"/>
        </w:rPr>
        <w:t>III:</w:t>
      </w:r>
      <w:proofErr w:type="gramEnd"/>
      <w:r w:rsidRPr="00ED6B34">
        <w:rPr>
          <w:b/>
          <w:u w:val="single"/>
          <w:lang w:val="fr-FR"/>
        </w:rPr>
        <w:t xml:space="preserve"> Questions transversales</w:t>
      </w:r>
    </w:p>
    <w:p w14:paraId="790C3F72" w14:textId="77777777" w:rsidR="00675507" w:rsidRPr="00ED6B34" w:rsidRDefault="00675507" w:rsidP="00675507">
      <w:pPr>
        <w:ind w:left="360"/>
        <w:rPr>
          <w:b/>
          <w:lang w:val="fr-FR"/>
        </w:rPr>
      </w:pPr>
    </w:p>
    <w:p w14:paraId="65EAE967" w14:textId="77777777" w:rsidR="00997347" w:rsidRPr="00ED6B34"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ED6B34" w:rsidRPr="006D1BE7" w14:paraId="17215F05" w14:textId="77777777" w:rsidTr="681F2457">
        <w:tc>
          <w:tcPr>
            <w:tcW w:w="4230" w:type="dxa"/>
            <w:shd w:val="clear" w:color="auto" w:fill="auto"/>
          </w:tcPr>
          <w:p w14:paraId="00091154" w14:textId="77777777" w:rsidR="007118F5" w:rsidRPr="00ED6B34" w:rsidRDefault="00675507" w:rsidP="00234A5E">
            <w:pPr>
              <w:rPr>
                <w:lang w:val="fr-FR"/>
              </w:rPr>
            </w:pPr>
            <w:proofErr w:type="gramStart"/>
            <w:r w:rsidRPr="00ED6B34">
              <w:rPr>
                <w:b/>
                <w:bCs/>
                <w:u w:val="single"/>
                <w:lang w:val="fr-FR"/>
              </w:rPr>
              <w:t>Suivi</w:t>
            </w:r>
            <w:r w:rsidR="00513612" w:rsidRPr="00ED6B34">
              <w:rPr>
                <w:b/>
                <w:bCs/>
                <w:lang w:val="fr-FR"/>
              </w:rPr>
              <w:t>:</w:t>
            </w:r>
            <w:proofErr w:type="gramEnd"/>
            <w:r w:rsidR="00513612" w:rsidRPr="00ED6B34">
              <w:rPr>
                <w:b/>
                <w:bCs/>
                <w:lang w:val="fr-FR"/>
              </w:rPr>
              <w:t xml:space="preserve"> </w:t>
            </w:r>
            <w:r w:rsidRPr="00ED6B34">
              <w:rPr>
                <w:lang w:val="fr-FR"/>
              </w:rPr>
              <w:t>Indiquez les activités de suivi conduites dans la période du rapport</w:t>
            </w:r>
            <w:r w:rsidR="007118F5" w:rsidRPr="00ED6B34">
              <w:rPr>
                <w:lang w:val="fr-FR"/>
              </w:rPr>
              <w:t xml:space="preserve"> (</w:t>
            </w:r>
            <w:r w:rsidRPr="00ED6B34">
              <w:rPr>
                <w:lang w:val="fr-FR"/>
              </w:rPr>
              <w:t>Limite de 1000 caractères)</w:t>
            </w:r>
          </w:p>
          <w:p w14:paraId="76EA6F1F" w14:textId="77777777" w:rsidR="00997347" w:rsidRPr="00ED6B34" w:rsidRDefault="00997347" w:rsidP="00234A5E">
            <w:pPr>
              <w:rPr>
                <w:i/>
                <w:lang w:val="fr-FR"/>
              </w:rPr>
            </w:pPr>
          </w:p>
          <w:p w14:paraId="0B6C9D03" w14:textId="68ADF04A" w:rsidR="00135302" w:rsidRPr="006D1BE7" w:rsidRDefault="00135302" w:rsidP="00135302">
            <w:pPr>
              <w:jc w:val="both"/>
              <w:rPr>
                <w:iCs/>
                <w:sz w:val="22"/>
                <w:szCs w:val="22"/>
                <w:highlight w:val="lightGray"/>
                <w:lang w:val="fr-FR"/>
              </w:rPr>
            </w:pPr>
            <w:bookmarkStart w:id="17" w:name="_Hlk85099385"/>
            <w:r w:rsidRPr="006D1BE7">
              <w:rPr>
                <w:iCs/>
                <w:sz w:val="22"/>
                <w:szCs w:val="22"/>
                <w:highlight w:val="lightGray"/>
                <w:lang w:val="fr-FR"/>
              </w:rPr>
              <w:t>Le suivi de la mise en œuvre du plan de travail annuel a été fait avec l’appui de</w:t>
            </w:r>
            <w:r w:rsidR="006D1BE7" w:rsidRPr="006D1BE7">
              <w:rPr>
                <w:iCs/>
                <w:sz w:val="22"/>
                <w:szCs w:val="22"/>
                <w:highlight w:val="lightGray"/>
                <w:lang w:val="fr-FR"/>
              </w:rPr>
              <w:t xml:space="preserve">s </w:t>
            </w:r>
            <w:r w:rsidRPr="006D1BE7">
              <w:rPr>
                <w:iCs/>
                <w:sz w:val="22"/>
                <w:szCs w:val="22"/>
                <w:highlight w:val="lightGray"/>
                <w:lang w:val="fr-FR"/>
              </w:rPr>
              <w:t>unité</w:t>
            </w:r>
            <w:r w:rsidR="006D1BE7" w:rsidRPr="006D1BE7">
              <w:rPr>
                <w:iCs/>
                <w:sz w:val="22"/>
                <w:szCs w:val="22"/>
                <w:highlight w:val="lightGray"/>
                <w:lang w:val="fr-FR"/>
              </w:rPr>
              <w:t>s</w:t>
            </w:r>
            <w:r w:rsidRPr="006D1BE7">
              <w:rPr>
                <w:iCs/>
                <w:sz w:val="22"/>
                <w:szCs w:val="22"/>
                <w:highlight w:val="lightGray"/>
                <w:lang w:val="fr-FR"/>
              </w:rPr>
              <w:t xml:space="preserve"> de suivi/évaluation</w:t>
            </w:r>
            <w:r w:rsidR="006D1BE7" w:rsidRPr="006D1BE7">
              <w:rPr>
                <w:iCs/>
                <w:sz w:val="22"/>
                <w:szCs w:val="22"/>
                <w:highlight w:val="lightGray"/>
                <w:lang w:val="fr-FR"/>
              </w:rPr>
              <w:t xml:space="preserve"> des agences récipiendaires</w:t>
            </w:r>
            <w:r w:rsidR="00C50341">
              <w:rPr>
                <w:iCs/>
                <w:sz w:val="22"/>
                <w:szCs w:val="22"/>
                <w:highlight w:val="lightGray"/>
                <w:lang w:val="fr-FR"/>
              </w:rPr>
              <w:t xml:space="preserve"> et par le coordinateur national du projet</w:t>
            </w:r>
            <w:r w:rsidR="006D1BE7" w:rsidRPr="006D1BE7">
              <w:rPr>
                <w:iCs/>
                <w:sz w:val="22"/>
                <w:szCs w:val="22"/>
                <w:highlight w:val="lightGray"/>
                <w:lang w:val="fr-FR"/>
              </w:rPr>
              <w:t>.</w:t>
            </w:r>
            <w:r w:rsidR="00C50341">
              <w:rPr>
                <w:iCs/>
                <w:sz w:val="22"/>
                <w:szCs w:val="22"/>
                <w:highlight w:val="lightGray"/>
                <w:lang w:val="fr-FR"/>
              </w:rPr>
              <w:t xml:space="preserve"> Cependant, à cause des règles administratives du PNUD, le poste du coordinateur national du projet a dû être republié et le processus a duré 3.5 mois. </w:t>
            </w:r>
          </w:p>
          <w:p w14:paraId="4F1CD540" w14:textId="77777777" w:rsidR="006D1BE7" w:rsidRPr="006D1BE7" w:rsidRDefault="006D1BE7" w:rsidP="00135302">
            <w:pPr>
              <w:jc w:val="both"/>
              <w:rPr>
                <w:iCs/>
                <w:sz w:val="22"/>
                <w:szCs w:val="22"/>
                <w:highlight w:val="lightGray"/>
                <w:lang w:val="fr-FR"/>
              </w:rPr>
            </w:pPr>
          </w:p>
          <w:p w14:paraId="0A829F4D" w14:textId="022029EB" w:rsidR="00C2161C" w:rsidRPr="006D1BE7" w:rsidRDefault="006D1BE7" w:rsidP="00135302">
            <w:pPr>
              <w:jc w:val="both"/>
              <w:rPr>
                <w:iCs/>
                <w:sz w:val="22"/>
                <w:szCs w:val="22"/>
                <w:highlight w:val="lightGray"/>
                <w:lang w:val="fr-FR"/>
              </w:rPr>
            </w:pPr>
            <w:r w:rsidRPr="006D1BE7">
              <w:rPr>
                <w:iCs/>
                <w:sz w:val="22"/>
                <w:szCs w:val="22"/>
                <w:highlight w:val="lightGray"/>
                <w:lang w:val="fr-FR"/>
              </w:rPr>
              <w:t>Les</w:t>
            </w:r>
            <w:r w:rsidR="00135302" w:rsidRPr="006D1BE7">
              <w:rPr>
                <w:iCs/>
                <w:sz w:val="22"/>
                <w:szCs w:val="22"/>
                <w:highlight w:val="lightGray"/>
                <w:lang w:val="fr-FR"/>
              </w:rPr>
              <w:t xml:space="preserve"> réunions trimestrielles de coordination (opérationnelle</w:t>
            </w:r>
            <w:r w:rsidRPr="006D1BE7">
              <w:rPr>
                <w:iCs/>
                <w:sz w:val="22"/>
                <w:szCs w:val="22"/>
                <w:highlight w:val="lightGray"/>
                <w:lang w:val="fr-FR"/>
              </w:rPr>
              <w:t>s</w:t>
            </w:r>
            <w:r w:rsidR="00135302" w:rsidRPr="006D1BE7">
              <w:rPr>
                <w:iCs/>
                <w:sz w:val="22"/>
                <w:szCs w:val="22"/>
                <w:highlight w:val="lightGray"/>
                <w:lang w:val="fr-FR"/>
              </w:rPr>
              <w:t xml:space="preserve"> et stratégique</w:t>
            </w:r>
            <w:r w:rsidRPr="006D1BE7">
              <w:rPr>
                <w:iCs/>
                <w:sz w:val="22"/>
                <w:szCs w:val="22"/>
                <w:highlight w:val="lightGray"/>
                <w:lang w:val="fr-FR"/>
              </w:rPr>
              <w:t>s</w:t>
            </w:r>
            <w:r w:rsidR="00135302" w:rsidRPr="006D1BE7">
              <w:rPr>
                <w:iCs/>
                <w:sz w:val="22"/>
                <w:szCs w:val="22"/>
                <w:highlight w:val="lightGray"/>
                <w:lang w:val="fr-FR"/>
              </w:rPr>
              <w:t xml:space="preserve">) </w:t>
            </w:r>
            <w:r w:rsidRPr="006D1BE7">
              <w:rPr>
                <w:iCs/>
                <w:sz w:val="22"/>
                <w:szCs w:val="22"/>
                <w:highlight w:val="lightGray"/>
                <w:lang w:val="fr-FR"/>
              </w:rPr>
              <w:t>au niveau national</w:t>
            </w:r>
            <w:r w:rsidR="00135302" w:rsidRPr="006D1BE7">
              <w:rPr>
                <w:iCs/>
                <w:sz w:val="22"/>
                <w:szCs w:val="22"/>
                <w:highlight w:val="lightGray"/>
                <w:lang w:val="fr-FR"/>
              </w:rPr>
              <w:t xml:space="preserve"> sur le suivi des plans de travail et </w:t>
            </w:r>
            <w:r w:rsidRPr="006D1BE7">
              <w:rPr>
                <w:iCs/>
                <w:sz w:val="22"/>
                <w:szCs w:val="22"/>
                <w:highlight w:val="lightGray"/>
                <w:lang w:val="fr-FR"/>
              </w:rPr>
              <w:t xml:space="preserve">les réunions de coordination pour chaque résultat sur </w:t>
            </w:r>
            <w:proofErr w:type="gramStart"/>
            <w:r w:rsidRPr="006D1BE7">
              <w:rPr>
                <w:iCs/>
                <w:sz w:val="22"/>
                <w:szCs w:val="22"/>
                <w:highlight w:val="lightGray"/>
                <w:lang w:val="fr-FR"/>
              </w:rPr>
              <w:t>le terrain organisées</w:t>
            </w:r>
            <w:proofErr w:type="gramEnd"/>
            <w:r w:rsidRPr="006D1BE7">
              <w:rPr>
                <w:iCs/>
                <w:sz w:val="22"/>
                <w:szCs w:val="22"/>
                <w:highlight w:val="lightGray"/>
                <w:lang w:val="fr-FR"/>
              </w:rPr>
              <w:t xml:space="preserve"> par les agences récipiendaires ont eu lieu régulièrement selon un calendrier établi ou </w:t>
            </w:r>
            <w:r w:rsidRPr="006D1BE7">
              <w:rPr>
                <w:i/>
                <w:sz w:val="22"/>
                <w:szCs w:val="22"/>
                <w:highlight w:val="lightGray"/>
                <w:lang w:val="fr-FR"/>
              </w:rPr>
              <w:t>ad hoc</w:t>
            </w:r>
            <w:r w:rsidR="00135302" w:rsidRPr="006D1BE7">
              <w:rPr>
                <w:iCs/>
                <w:sz w:val="22"/>
                <w:szCs w:val="22"/>
                <w:highlight w:val="lightGray"/>
                <w:lang w:val="fr-FR"/>
              </w:rPr>
              <w:t>.</w:t>
            </w:r>
          </w:p>
          <w:p w14:paraId="60D02C44" w14:textId="683D1605" w:rsidR="00135302" w:rsidRPr="006D1BE7" w:rsidRDefault="00135302" w:rsidP="00135302">
            <w:pPr>
              <w:jc w:val="both"/>
              <w:rPr>
                <w:iCs/>
                <w:sz w:val="22"/>
                <w:szCs w:val="22"/>
                <w:highlight w:val="lightGray"/>
                <w:lang w:val="fr-FR"/>
              </w:rPr>
            </w:pPr>
            <w:r w:rsidRPr="006D1BE7">
              <w:rPr>
                <w:iCs/>
                <w:sz w:val="22"/>
                <w:szCs w:val="22"/>
                <w:highlight w:val="lightGray"/>
                <w:lang w:val="fr-FR"/>
              </w:rPr>
              <w:t xml:space="preserve"> </w:t>
            </w:r>
          </w:p>
          <w:p w14:paraId="2D3F250A" w14:textId="507B3575" w:rsidR="00135302" w:rsidRPr="006D1BE7" w:rsidRDefault="006D1BE7" w:rsidP="00135302">
            <w:pPr>
              <w:jc w:val="both"/>
              <w:rPr>
                <w:iCs/>
                <w:sz w:val="22"/>
                <w:szCs w:val="22"/>
                <w:highlight w:val="lightGray"/>
                <w:lang w:val="fr-FR"/>
              </w:rPr>
            </w:pPr>
            <w:r w:rsidRPr="006D1BE7">
              <w:rPr>
                <w:iCs/>
                <w:sz w:val="22"/>
                <w:szCs w:val="22"/>
                <w:highlight w:val="lightGray"/>
                <w:lang w:val="fr-FR"/>
              </w:rPr>
              <w:t>Des</w:t>
            </w:r>
            <w:r w:rsidR="00135302" w:rsidRPr="006D1BE7">
              <w:rPr>
                <w:iCs/>
                <w:sz w:val="22"/>
                <w:szCs w:val="22"/>
                <w:highlight w:val="lightGray"/>
                <w:lang w:val="fr-FR"/>
              </w:rPr>
              <w:t xml:space="preserve"> missions de suivi ont été conduites par </w:t>
            </w:r>
            <w:r w:rsidRPr="006D1BE7">
              <w:rPr>
                <w:iCs/>
                <w:sz w:val="22"/>
                <w:szCs w:val="22"/>
                <w:highlight w:val="lightGray"/>
                <w:lang w:val="fr-FR"/>
              </w:rPr>
              <w:t xml:space="preserve">les différents membres des agences récipiendaires </w:t>
            </w:r>
            <w:r w:rsidR="00135302" w:rsidRPr="006D1BE7">
              <w:rPr>
                <w:iCs/>
                <w:sz w:val="22"/>
                <w:szCs w:val="22"/>
                <w:highlight w:val="lightGray"/>
                <w:lang w:val="fr-FR"/>
              </w:rPr>
              <w:t>à Mopti et Ségou.</w:t>
            </w:r>
          </w:p>
          <w:p w14:paraId="21BEA5E5" w14:textId="77777777" w:rsidR="006D1BE7" w:rsidRPr="006D1BE7" w:rsidRDefault="006D1BE7" w:rsidP="00135302">
            <w:pPr>
              <w:jc w:val="both"/>
              <w:rPr>
                <w:iCs/>
                <w:sz w:val="22"/>
                <w:szCs w:val="22"/>
                <w:highlight w:val="lightGray"/>
                <w:lang w:val="fr-FR"/>
              </w:rPr>
            </w:pPr>
          </w:p>
          <w:p w14:paraId="6A7CBF88" w14:textId="77777777" w:rsidR="00135302" w:rsidRPr="00ED6B34" w:rsidRDefault="00135302" w:rsidP="00135302">
            <w:pPr>
              <w:jc w:val="both"/>
              <w:rPr>
                <w:iCs/>
                <w:sz w:val="22"/>
                <w:szCs w:val="22"/>
                <w:lang w:val="fr-FR"/>
              </w:rPr>
            </w:pPr>
            <w:r w:rsidRPr="006D1BE7">
              <w:rPr>
                <w:iCs/>
                <w:sz w:val="22"/>
                <w:szCs w:val="22"/>
                <w:highlight w:val="lightGray"/>
                <w:lang w:val="fr-FR"/>
              </w:rPr>
              <w:t>Deux sessions de capitalisation sur les bonnes pratiques ont été conduites à Ségou et Mopti.</w:t>
            </w:r>
            <w:r w:rsidRPr="00ED6B34">
              <w:rPr>
                <w:iCs/>
                <w:sz w:val="22"/>
                <w:szCs w:val="22"/>
                <w:lang w:val="fr-FR"/>
              </w:rPr>
              <w:t xml:space="preserve"> </w:t>
            </w:r>
          </w:p>
          <w:bookmarkEnd w:id="17"/>
          <w:p w14:paraId="78D3219A" w14:textId="624B7D47" w:rsidR="00C2161C" w:rsidRPr="00ED6B34" w:rsidRDefault="00C2161C" w:rsidP="00C16380">
            <w:pPr>
              <w:jc w:val="both"/>
              <w:rPr>
                <w:sz w:val="22"/>
                <w:szCs w:val="22"/>
                <w:lang w:val="fr-FR"/>
              </w:rPr>
            </w:pPr>
          </w:p>
        </w:tc>
        <w:tc>
          <w:tcPr>
            <w:tcW w:w="5940" w:type="dxa"/>
            <w:shd w:val="clear" w:color="auto" w:fill="auto"/>
          </w:tcPr>
          <w:p w14:paraId="56BD0250" w14:textId="77777777" w:rsidR="00997347" w:rsidRPr="00ED6B34" w:rsidRDefault="00675507" w:rsidP="00AD73D3">
            <w:pPr>
              <w:rPr>
                <w:b/>
                <w:bCs/>
                <w:lang w:val="fr-FR"/>
              </w:rPr>
            </w:pPr>
            <w:r w:rsidRPr="00ED6B34">
              <w:rPr>
                <w:lang w:val="fr-FR"/>
              </w:rPr>
              <w:t xml:space="preserve">Est-ce que les indicateurs des résultats ont des bases de </w:t>
            </w:r>
            <w:proofErr w:type="gramStart"/>
            <w:r w:rsidRPr="00ED6B34">
              <w:rPr>
                <w:lang w:val="fr-FR"/>
              </w:rPr>
              <w:t>référence</w:t>
            </w:r>
            <w:r w:rsidR="007118F5" w:rsidRPr="00ED6B34">
              <w:rPr>
                <w:lang w:val="fr-FR"/>
              </w:rPr>
              <w:t>?</w:t>
            </w:r>
            <w:proofErr w:type="gramEnd"/>
            <w:r w:rsidR="007118F5" w:rsidRPr="00ED6B34">
              <w:rPr>
                <w:lang w:val="fr-FR"/>
              </w:rPr>
              <w:t xml:space="preserve"> </w:t>
            </w:r>
            <w:r w:rsidR="00831FF5" w:rsidRPr="00ED6B34">
              <w:rPr>
                <w:b/>
                <w:lang w:val="fr-FR"/>
              </w:rPr>
              <w:t xml:space="preserve"> Oui</w:t>
            </w:r>
          </w:p>
          <w:p w14:paraId="2C0E8A29" w14:textId="77777777" w:rsidR="007118F5" w:rsidRPr="00ED6B34" w:rsidRDefault="007118F5" w:rsidP="00AD73D3">
            <w:pPr>
              <w:rPr>
                <w:lang w:val="fr-FR"/>
              </w:rPr>
            </w:pPr>
          </w:p>
          <w:p w14:paraId="59DDB78E" w14:textId="2C31A846" w:rsidR="00EC6F0E" w:rsidRDefault="00675507" w:rsidP="00135302">
            <w:pPr>
              <w:jc w:val="both"/>
              <w:rPr>
                <w:b/>
                <w:lang w:val="fr-FR"/>
              </w:rPr>
            </w:pPr>
            <w:r w:rsidRPr="00ED6B34">
              <w:rPr>
                <w:lang w:val="fr-FR"/>
              </w:rPr>
              <w:t>Le projet a-t-il lancé des enquêtes de perception ou d'autres collectes de données communautaires</w:t>
            </w:r>
            <w:r w:rsidR="005C5840">
              <w:rPr>
                <w:lang w:val="fr-FR"/>
              </w:rPr>
              <w:t xml:space="preserve"> </w:t>
            </w:r>
            <w:r w:rsidR="007118F5" w:rsidRPr="00ED6B34">
              <w:rPr>
                <w:lang w:val="fr-FR"/>
              </w:rPr>
              <w:t>?</w:t>
            </w:r>
            <w:r w:rsidR="00135302" w:rsidRPr="00ED6B34">
              <w:rPr>
                <w:b/>
                <w:lang w:val="fr-FR"/>
              </w:rPr>
              <w:t xml:space="preserve"> </w:t>
            </w:r>
          </w:p>
          <w:p w14:paraId="44D70B3B" w14:textId="29D7A3C5" w:rsidR="007118F5" w:rsidRPr="00EC6F0E" w:rsidRDefault="00135302" w:rsidP="00EC6F0E">
            <w:pPr>
              <w:jc w:val="both"/>
              <w:rPr>
                <w:bCs/>
                <w:sz w:val="22"/>
                <w:szCs w:val="22"/>
                <w:highlight w:val="lightGray"/>
                <w:lang w:val="fr-FR"/>
              </w:rPr>
            </w:pPr>
            <w:r w:rsidRPr="00EC6F0E">
              <w:rPr>
                <w:bCs/>
                <w:sz w:val="22"/>
                <w:szCs w:val="22"/>
                <w:highlight w:val="lightGray"/>
                <w:lang w:val="fr-FR"/>
              </w:rPr>
              <w:t>Oui. Il s’agit du baromètre participatif sous le lead de INTERPEACE. L’analyse des besoins des populations et des FDS en matière de gestion de la sécurité a été conduite par ONU Femmes.</w:t>
            </w:r>
          </w:p>
          <w:p w14:paraId="08D6A317" w14:textId="08115E60" w:rsidR="00831FF5" w:rsidRPr="00EC6F0E" w:rsidRDefault="00EC6F0E" w:rsidP="00831FF5">
            <w:pPr>
              <w:rPr>
                <w:sz w:val="22"/>
                <w:szCs w:val="22"/>
                <w:highlight w:val="lightGray"/>
                <w:lang w:val="fr-FR"/>
              </w:rPr>
            </w:pPr>
            <w:r>
              <w:rPr>
                <w:sz w:val="22"/>
                <w:szCs w:val="22"/>
                <w:highlight w:val="lightGray"/>
                <w:lang w:val="fr-FR"/>
              </w:rPr>
              <w:t>D’autres documents importants (notamment l</w:t>
            </w:r>
            <w:r w:rsidR="00831FF5" w:rsidRPr="00EC6F0E">
              <w:rPr>
                <w:sz w:val="22"/>
                <w:szCs w:val="22"/>
                <w:highlight w:val="lightGray"/>
                <w:lang w:val="fr-FR"/>
              </w:rPr>
              <w:t>es enquêtes réalisées </w:t>
            </w:r>
            <w:r w:rsidRPr="00EC6F0E">
              <w:rPr>
                <w:sz w:val="22"/>
                <w:szCs w:val="22"/>
                <w:highlight w:val="lightGray"/>
                <w:lang w:val="fr-FR"/>
              </w:rPr>
              <w:t>et les avant-projets des lois concernés par le projet</w:t>
            </w:r>
            <w:r>
              <w:rPr>
                <w:sz w:val="22"/>
                <w:szCs w:val="22"/>
                <w:highlight w:val="lightGray"/>
                <w:lang w:val="fr-FR"/>
              </w:rPr>
              <w:t>) sont disponibles en annexe</w:t>
            </w:r>
            <w:r w:rsidR="005C5840">
              <w:rPr>
                <w:sz w:val="22"/>
                <w:szCs w:val="22"/>
                <w:highlight w:val="lightGray"/>
                <w:lang w:val="fr-FR"/>
              </w:rPr>
              <w:t xml:space="preserve"> </w:t>
            </w:r>
            <w:r w:rsidRPr="00EC6F0E">
              <w:rPr>
                <w:sz w:val="22"/>
                <w:szCs w:val="22"/>
                <w:highlight w:val="lightGray"/>
                <w:lang w:val="fr-FR"/>
              </w:rPr>
              <w:t>:</w:t>
            </w:r>
          </w:p>
          <w:p w14:paraId="742FD24A" w14:textId="77777777" w:rsidR="008758A7" w:rsidRPr="00EC6F0E" w:rsidRDefault="008758A7" w:rsidP="008758A7">
            <w:pPr>
              <w:rPr>
                <w:sz w:val="22"/>
                <w:szCs w:val="22"/>
                <w:highlight w:val="lightGray"/>
                <w:lang w:val="fr-FR"/>
              </w:rPr>
            </w:pPr>
            <w:r w:rsidRPr="00EC6F0E">
              <w:rPr>
                <w:b/>
                <w:bCs/>
                <w:sz w:val="22"/>
                <w:szCs w:val="22"/>
                <w:highlight w:val="lightGray"/>
                <w:lang w:val="fr-FR"/>
              </w:rPr>
              <w:t>Annexe1 :</w:t>
            </w:r>
            <w:r w:rsidRPr="00EC6F0E">
              <w:rPr>
                <w:sz w:val="22"/>
                <w:szCs w:val="22"/>
                <w:highlight w:val="lightGray"/>
                <w:lang w:val="fr-FR"/>
              </w:rPr>
              <w:t xml:space="preserve"> </w:t>
            </w:r>
            <w:r>
              <w:rPr>
                <w:sz w:val="22"/>
                <w:szCs w:val="22"/>
                <w:highlight w:val="lightGray"/>
                <w:lang w:val="fr-FR"/>
              </w:rPr>
              <w:t>É</w:t>
            </w:r>
            <w:r w:rsidRPr="00EC6F0E">
              <w:rPr>
                <w:sz w:val="22"/>
                <w:szCs w:val="22"/>
                <w:highlight w:val="lightGray"/>
                <w:lang w:val="fr-FR"/>
              </w:rPr>
              <w:t xml:space="preserve">tat des lieux des conflits locaux, des mécanismes de règlement des conflits fonciers, et de la fonctionnalité des commissions foncières dans les Régions de Ségou et Mopti </w:t>
            </w:r>
          </w:p>
          <w:p w14:paraId="69A35193" w14:textId="77777777" w:rsidR="008758A7" w:rsidRPr="00EC6F0E" w:rsidRDefault="008758A7" w:rsidP="008758A7">
            <w:pPr>
              <w:rPr>
                <w:sz w:val="22"/>
                <w:szCs w:val="22"/>
                <w:highlight w:val="lightGray"/>
                <w:lang w:val="fr-FR"/>
              </w:rPr>
            </w:pPr>
            <w:r w:rsidRPr="00EC6F0E">
              <w:rPr>
                <w:b/>
                <w:bCs/>
                <w:sz w:val="22"/>
                <w:szCs w:val="22"/>
                <w:highlight w:val="lightGray"/>
                <w:lang w:val="fr-FR"/>
              </w:rPr>
              <w:t>Annexe 2 :</w:t>
            </w:r>
            <w:r w:rsidRPr="00EC6F0E">
              <w:rPr>
                <w:sz w:val="22"/>
                <w:szCs w:val="22"/>
                <w:highlight w:val="lightGray"/>
                <w:lang w:val="fr-FR"/>
              </w:rPr>
              <w:t xml:space="preserve"> Enquête de perceptions sur la mise en place des Comités Consultatifs de Sécurité de la Région de Ségou</w:t>
            </w:r>
          </w:p>
          <w:p w14:paraId="397D6C83" w14:textId="77777777" w:rsidR="008758A7" w:rsidRPr="00EC6F0E" w:rsidRDefault="008758A7" w:rsidP="008758A7">
            <w:pPr>
              <w:rPr>
                <w:sz w:val="22"/>
                <w:szCs w:val="22"/>
                <w:highlight w:val="lightGray"/>
                <w:lang w:val="fr-FR"/>
              </w:rPr>
            </w:pPr>
            <w:r w:rsidRPr="00EC6F0E">
              <w:rPr>
                <w:b/>
                <w:bCs/>
                <w:sz w:val="22"/>
                <w:szCs w:val="22"/>
                <w:highlight w:val="lightGray"/>
                <w:lang w:val="fr-FR"/>
              </w:rPr>
              <w:t xml:space="preserve">Annexe 3 : </w:t>
            </w:r>
            <w:r w:rsidRPr="00EC6F0E">
              <w:rPr>
                <w:sz w:val="22"/>
                <w:szCs w:val="22"/>
                <w:highlight w:val="lightGray"/>
                <w:lang w:val="fr-FR"/>
              </w:rPr>
              <w:t>Enquête de perceptions sur la mise en place des Comités Consultatifs de Sécurité de la Région de Mopti</w:t>
            </w:r>
          </w:p>
          <w:p w14:paraId="1BB8BDF3" w14:textId="77777777" w:rsidR="008758A7" w:rsidRPr="00EC6F0E" w:rsidRDefault="008758A7" w:rsidP="008758A7">
            <w:pPr>
              <w:rPr>
                <w:sz w:val="22"/>
                <w:szCs w:val="22"/>
                <w:highlight w:val="lightGray"/>
                <w:lang w:val="fr-FR"/>
              </w:rPr>
            </w:pPr>
            <w:r w:rsidRPr="00EC6F0E">
              <w:rPr>
                <w:b/>
                <w:bCs/>
                <w:sz w:val="22"/>
                <w:szCs w:val="22"/>
                <w:highlight w:val="lightGray"/>
                <w:lang w:val="fr-FR"/>
              </w:rPr>
              <w:t>Annexe 4</w:t>
            </w:r>
            <w:r w:rsidRPr="00EC6F0E">
              <w:rPr>
                <w:sz w:val="22"/>
                <w:szCs w:val="22"/>
                <w:highlight w:val="lightGray"/>
                <w:lang w:val="fr-FR"/>
              </w:rPr>
              <w:t> : Analyse du fonctionnement des chaine civile et pénale des T</w:t>
            </w:r>
            <w:r>
              <w:rPr>
                <w:sz w:val="22"/>
                <w:szCs w:val="22"/>
                <w:highlight w:val="lightGray"/>
                <w:lang w:val="fr-FR"/>
              </w:rPr>
              <w:t>r</w:t>
            </w:r>
            <w:r w:rsidRPr="00EC6F0E">
              <w:rPr>
                <w:sz w:val="22"/>
                <w:szCs w:val="22"/>
                <w:highlight w:val="lightGray"/>
                <w:lang w:val="fr-FR"/>
              </w:rPr>
              <w:t>ibunaux de Grande Instance de Mopti et Ségou, du Tribunal d’Instance</w:t>
            </w:r>
            <w:r>
              <w:rPr>
                <w:sz w:val="22"/>
                <w:szCs w:val="22"/>
                <w:highlight w:val="lightGray"/>
                <w:lang w:val="fr-FR"/>
              </w:rPr>
              <w:t xml:space="preserve"> </w:t>
            </w:r>
            <w:r w:rsidRPr="00EC6F0E">
              <w:rPr>
                <w:sz w:val="22"/>
                <w:szCs w:val="22"/>
                <w:highlight w:val="lightGray"/>
                <w:lang w:val="fr-FR"/>
              </w:rPr>
              <w:t>(TI) de Bla et de la Justice à Compétence Etendue</w:t>
            </w:r>
            <w:r>
              <w:rPr>
                <w:sz w:val="22"/>
                <w:szCs w:val="22"/>
                <w:highlight w:val="lightGray"/>
                <w:lang w:val="fr-FR"/>
              </w:rPr>
              <w:t xml:space="preserve"> </w:t>
            </w:r>
            <w:r w:rsidRPr="00EC6F0E">
              <w:rPr>
                <w:sz w:val="22"/>
                <w:szCs w:val="22"/>
                <w:highlight w:val="lightGray"/>
                <w:lang w:val="fr-FR"/>
              </w:rPr>
              <w:t xml:space="preserve">(JPCE) de Djenné </w:t>
            </w:r>
          </w:p>
          <w:p w14:paraId="195BDD62" w14:textId="77777777" w:rsidR="008758A7" w:rsidRPr="00EC6F0E" w:rsidRDefault="008758A7" w:rsidP="008758A7">
            <w:pPr>
              <w:rPr>
                <w:sz w:val="22"/>
                <w:szCs w:val="22"/>
                <w:highlight w:val="lightGray"/>
                <w:lang w:val="fr-FR"/>
              </w:rPr>
            </w:pPr>
            <w:r w:rsidRPr="00EC6F0E">
              <w:rPr>
                <w:b/>
                <w:bCs/>
                <w:sz w:val="22"/>
                <w:szCs w:val="22"/>
                <w:highlight w:val="lightGray"/>
                <w:lang w:val="fr-FR"/>
              </w:rPr>
              <w:t>Annexe 5</w:t>
            </w:r>
            <w:r w:rsidRPr="00EC6F0E">
              <w:rPr>
                <w:sz w:val="22"/>
                <w:szCs w:val="22"/>
                <w:highlight w:val="lightGray"/>
                <w:lang w:val="fr-FR"/>
              </w:rPr>
              <w:t> : Analyse du fonctionnement et évaluation des besoins des commissariats et brigades des régions de Ségou et Mopti</w:t>
            </w:r>
            <w:r>
              <w:rPr>
                <w:sz w:val="22"/>
                <w:szCs w:val="22"/>
                <w:highlight w:val="lightGray"/>
                <w:lang w:val="fr-FR"/>
              </w:rPr>
              <w:t xml:space="preserve"> – </w:t>
            </w:r>
            <w:r w:rsidRPr="00782B6D">
              <w:rPr>
                <w:i/>
                <w:iCs/>
                <w:sz w:val="22"/>
                <w:szCs w:val="22"/>
                <w:highlight w:val="lightGray"/>
                <w:lang w:val="fr-FR"/>
              </w:rPr>
              <w:t>pas encore finalisé, confidentiel</w:t>
            </w:r>
          </w:p>
          <w:p w14:paraId="7448C4BA" w14:textId="77777777" w:rsidR="008758A7" w:rsidRPr="00EC6F0E" w:rsidRDefault="008758A7" w:rsidP="008758A7">
            <w:pPr>
              <w:rPr>
                <w:sz w:val="22"/>
                <w:szCs w:val="22"/>
                <w:highlight w:val="lightGray"/>
                <w:lang w:val="fr-FR"/>
              </w:rPr>
            </w:pPr>
            <w:r w:rsidRPr="00EC6F0E">
              <w:rPr>
                <w:b/>
                <w:bCs/>
                <w:sz w:val="22"/>
                <w:szCs w:val="22"/>
                <w:highlight w:val="lightGray"/>
                <w:lang w:val="fr-FR"/>
              </w:rPr>
              <w:t>Annexe 6 :</w:t>
            </w:r>
            <w:r w:rsidRPr="00EC6F0E">
              <w:rPr>
                <w:sz w:val="22"/>
                <w:szCs w:val="22"/>
                <w:highlight w:val="lightGray"/>
                <w:lang w:val="fr-FR"/>
              </w:rPr>
              <w:t xml:space="preserve"> Avant-projet de loi du Code de Justice Militaire à la relecture et à la réforme du Code de justice Militaire</w:t>
            </w:r>
            <w:r>
              <w:rPr>
                <w:sz w:val="22"/>
                <w:szCs w:val="22"/>
                <w:highlight w:val="lightGray"/>
                <w:lang w:val="fr-FR"/>
              </w:rPr>
              <w:t xml:space="preserve"> </w:t>
            </w:r>
            <w:r w:rsidRPr="00782B6D">
              <w:rPr>
                <w:i/>
                <w:iCs/>
                <w:sz w:val="22"/>
                <w:szCs w:val="22"/>
                <w:highlight w:val="lightGray"/>
                <w:lang w:val="fr-FR"/>
              </w:rPr>
              <w:t>– pas encore disponible</w:t>
            </w:r>
            <w:r>
              <w:rPr>
                <w:i/>
                <w:iCs/>
                <w:sz w:val="22"/>
                <w:szCs w:val="22"/>
                <w:highlight w:val="lightGray"/>
                <w:lang w:val="fr-FR"/>
              </w:rPr>
              <w:t>, sera disponible d’ici le15 novembre 2021</w:t>
            </w:r>
          </w:p>
          <w:p w14:paraId="74024BC3" w14:textId="26B00264" w:rsidR="00831FF5" w:rsidRPr="00EC6F0E" w:rsidRDefault="008758A7" w:rsidP="008758A7">
            <w:pPr>
              <w:rPr>
                <w:b/>
                <w:bCs/>
                <w:sz w:val="22"/>
                <w:szCs w:val="22"/>
                <w:lang w:val="fr-FR"/>
              </w:rPr>
            </w:pPr>
            <w:r w:rsidRPr="00EC6F0E">
              <w:rPr>
                <w:b/>
                <w:bCs/>
                <w:sz w:val="22"/>
                <w:szCs w:val="22"/>
                <w:highlight w:val="lightGray"/>
                <w:lang w:val="fr-FR"/>
              </w:rPr>
              <w:t xml:space="preserve">Annexe 7 : </w:t>
            </w:r>
            <w:r w:rsidRPr="00EC6F0E">
              <w:rPr>
                <w:sz w:val="22"/>
                <w:szCs w:val="22"/>
                <w:highlight w:val="lightGray"/>
                <w:lang w:val="fr-FR"/>
              </w:rPr>
              <w:t xml:space="preserve">Avant-projet de loi relatif </w:t>
            </w:r>
            <w:r>
              <w:rPr>
                <w:sz w:val="22"/>
                <w:szCs w:val="22"/>
                <w:highlight w:val="lightGray"/>
                <w:lang w:val="fr-FR"/>
              </w:rPr>
              <w:t>à</w:t>
            </w:r>
            <w:r w:rsidRPr="00EC6F0E">
              <w:rPr>
                <w:sz w:val="22"/>
                <w:szCs w:val="22"/>
                <w:highlight w:val="lightGray"/>
                <w:lang w:val="fr-FR"/>
              </w:rPr>
              <w:t xml:space="preserve"> l'aide légale au Mali</w:t>
            </w:r>
            <w:r>
              <w:rPr>
                <w:sz w:val="22"/>
                <w:szCs w:val="22"/>
                <w:lang w:val="fr-FR"/>
              </w:rPr>
              <w:t xml:space="preserve"> – </w:t>
            </w:r>
            <w:r w:rsidRPr="00782B6D">
              <w:rPr>
                <w:i/>
                <w:iCs/>
                <w:sz w:val="22"/>
                <w:szCs w:val="22"/>
                <w:highlight w:val="lightGray"/>
                <w:lang w:val="fr-FR"/>
              </w:rPr>
              <w:t>texte sous discussion dans la CPL</w:t>
            </w:r>
          </w:p>
        </w:tc>
      </w:tr>
      <w:tr w:rsidR="00ED6B34" w:rsidRPr="009740FB" w14:paraId="68DB8F25" w14:textId="77777777" w:rsidTr="681F2457">
        <w:tc>
          <w:tcPr>
            <w:tcW w:w="4230" w:type="dxa"/>
            <w:shd w:val="clear" w:color="auto" w:fill="auto"/>
          </w:tcPr>
          <w:p w14:paraId="7646FAEF" w14:textId="77777777" w:rsidR="006C1819" w:rsidRPr="00ED6B34" w:rsidRDefault="003D4CD7" w:rsidP="005F439F">
            <w:pPr>
              <w:rPr>
                <w:lang w:val="fr-FR"/>
              </w:rPr>
            </w:pPr>
            <w:proofErr w:type="spellStart"/>
            <w:proofErr w:type="gramStart"/>
            <w:r w:rsidRPr="00ED6B34">
              <w:rPr>
                <w:b/>
                <w:bCs/>
                <w:u w:val="single"/>
                <w:lang w:val="fr-FR"/>
              </w:rPr>
              <w:t>E</w:t>
            </w:r>
            <w:r w:rsidR="006C1819" w:rsidRPr="00ED6B34">
              <w:rPr>
                <w:b/>
                <w:bCs/>
                <w:u w:val="single"/>
                <w:lang w:val="fr-FR"/>
              </w:rPr>
              <w:t>valuation:</w:t>
            </w:r>
            <w:r w:rsidR="00675507" w:rsidRPr="00ED6B34">
              <w:rPr>
                <w:lang w:val="fr-FR"/>
              </w:rPr>
              <w:t>Est</w:t>
            </w:r>
            <w:proofErr w:type="gramEnd"/>
            <w:r w:rsidR="00675507" w:rsidRPr="00ED6B34">
              <w:rPr>
                <w:lang w:val="fr-FR"/>
              </w:rPr>
              <w:t>-ce</w:t>
            </w:r>
            <w:proofErr w:type="spellEnd"/>
            <w:r w:rsidR="00675507" w:rsidRPr="00ED6B34">
              <w:rPr>
                <w:lang w:val="fr-FR"/>
              </w:rPr>
              <w:t xml:space="preserve"> qu’un exercice évaluatif a été conduit pendant la période du rapport</w:t>
            </w:r>
            <w:r w:rsidR="007118F5" w:rsidRPr="00ED6B34">
              <w:rPr>
                <w:lang w:val="fr-FR"/>
              </w:rPr>
              <w:t>?</w:t>
            </w:r>
          </w:p>
          <w:p w14:paraId="1C15A4E7" w14:textId="77777777" w:rsidR="007118F5" w:rsidRPr="00ED6B34" w:rsidRDefault="00831FF5" w:rsidP="007118F5">
            <w:pPr>
              <w:rPr>
                <w:b/>
                <w:bCs/>
              </w:rPr>
            </w:pPr>
            <w:r w:rsidRPr="00EC6F0E">
              <w:rPr>
                <w:b/>
                <w:bCs/>
                <w:highlight w:val="lightGray"/>
              </w:rPr>
              <w:t>Non</w:t>
            </w:r>
            <w:r w:rsidRPr="00ED6B34">
              <w:rPr>
                <w:b/>
                <w:bCs/>
              </w:rPr>
              <w:t xml:space="preserve"> </w:t>
            </w:r>
          </w:p>
        </w:tc>
        <w:tc>
          <w:tcPr>
            <w:tcW w:w="5940" w:type="dxa"/>
            <w:shd w:val="clear" w:color="auto" w:fill="auto"/>
          </w:tcPr>
          <w:p w14:paraId="0563F1FC" w14:textId="0A301095" w:rsidR="006C1819" w:rsidRPr="00C50341" w:rsidRDefault="00675507" w:rsidP="00E76CA1">
            <w:pPr>
              <w:rPr>
                <w:highlight w:val="lightGray"/>
                <w:lang w:val="fr-FR"/>
              </w:rPr>
            </w:pPr>
            <w:r w:rsidRPr="00C50341">
              <w:rPr>
                <w:lang w:val="fr-FR"/>
              </w:rPr>
              <w:t>Budget pour évaluation finale</w:t>
            </w:r>
            <w:r w:rsidR="007118F5" w:rsidRPr="00C50341">
              <w:rPr>
                <w:lang w:val="fr-FR"/>
              </w:rPr>
              <w:t xml:space="preserve"> (</w:t>
            </w:r>
            <w:r w:rsidRPr="00C50341">
              <w:rPr>
                <w:lang w:val="fr-FR"/>
              </w:rPr>
              <w:t>réponse obligatoire</w:t>
            </w:r>
            <w:proofErr w:type="gramStart"/>
            <w:r w:rsidR="007118F5" w:rsidRPr="00C50341">
              <w:rPr>
                <w:lang w:val="fr-FR"/>
              </w:rPr>
              <w:t>)</w:t>
            </w:r>
            <w:r w:rsidR="004D141E" w:rsidRPr="00C50341">
              <w:rPr>
                <w:lang w:val="fr-FR"/>
              </w:rPr>
              <w:t>:</w:t>
            </w:r>
            <w:proofErr w:type="gramEnd"/>
            <w:r w:rsidR="00277D02" w:rsidRPr="00C50341">
              <w:rPr>
                <w:lang w:val="fr-FR"/>
              </w:rPr>
              <w:t xml:space="preserve"> </w:t>
            </w:r>
            <w:r w:rsidR="00C50341" w:rsidRPr="00C50341">
              <w:rPr>
                <w:highlight w:val="lightGray"/>
                <w:lang w:val="fr-FR"/>
              </w:rPr>
              <w:t xml:space="preserve">55'000 USD. </w:t>
            </w:r>
            <w:r w:rsidR="00135302" w:rsidRPr="00C50341">
              <w:rPr>
                <w:highlight w:val="lightGray"/>
                <w:lang w:val="fr-FR"/>
              </w:rPr>
              <w:t>Il est pris en charge par le lead du projet HCDH.</w:t>
            </w:r>
            <w:r w:rsidR="00C50341">
              <w:rPr>
                <w:highlight w:val="lightGray"/>
                <w:lang w:val="fr-FR"/>
              </w:rPr>
              <w:t xml:space="preserve"> Vu la durée du processus de recrutement des consultants par le HCDH à travers le PNUD, l’appel de candidature sera lancé au plus tard en janvier 2022.</w:t>
            </w:r>
          </w:p>
          <w:p w14:paraId="66470FA2" w14:textId="77777777" w:rsidR="004D141E" w:rsidRPr="00ED6B34" w:rsidRDefault="004D141E" w:rsidP="00E76CA1">
            <w:pPr>
              <w:rPr>
                <w:lang w:val="fr-FR"/>
              </w:rPr>
            </w:pPr>
          </w:p>
          <w:p w14:paraId="4F2FB7CE" w14:textId="565D92ED" w:rsidR="004D141E" w:rsidRPr="00ED6B34" w:rsidRDefault="00675507" w:rsidP="00E76CA1">
            <w:pPr>
              <w:rPr>
                <w:lang w:val="fr-FR"/>
              </w:rPr>
            </w:pPr>
            <w:r w:rsidRPr="00ED6B34">
              <w:rPr>
                <w:lang w:val="fr-FR"/>
              </w:rPr>
              <w:lastRenderedPageBreak/>
              <w:t>Si le projet se termine dans les 6 prochains mois, décrire les préparatifs pour l’évaluation</w:t>
            </w:r>
            <w:r w:rsidR="00C50341">
              <w:rPr>
                <w:lang w:val="fr-FR"/>
              </w:rPr>
              <w:t xml:space="preserve"> </w:t>
            </w:r>
            <w:r w:rsidR="00156C4C" w:rsidRPr="00ED6B34">
              <w:rPr>
                <w:i/>
                <w:lang w:val="fr-FR"/>
              </w:rPr>
              <w:t>(</w:t>
            </w:r>
            <w:r w:rsidRPr="00ED6B34">
              <w:rPr>
                <w:lang w:val="fr-FR"/>
              </w:rPr>
              <w:t>Limite de 1500 caractères</w:t>
            </w:r>
            <w:proofErr w:type="gramStart"/>
            <w:r w:rsidR="00156C4C" w:rsidRPr="00ED6B34">
              <w:rPr>
                <w:i/>
                <w:lang w:val="fr-FR"/>
              </w:rPr>
              <w:t>)</w:t>
            </w:r>
            <w:r w:rsidR="004D141E" w:rsidRPr="00ED6B34">
              <w:rPr>
                <w:lang w:val="fr-FR"/>
              </w:rPr>
              <w:t>:</w:t>
            </w:r>
            <w:proofErr w:type="gramEnd"/>
            <w:r w:rsidR="00FE0F8C" w:rsidRPr="00ED6B34">
              <w:fldChar w:fldCharType="begin">
                <w:ffData>
                  <w:name w:val="Text45"/>
                  <w:enabled/>
                  <w:calcOnExit w:val="0"/>
                  <w:textInput>
                    <w:default w:val="N/A"/>
                    <w:maxLength w:val="1500"/>
                    <w:format w:val="FIRST CAPITAL"/>
                  </w:textInput>
                </w:ffData>
              </w:fldChar>
            </w:r>
            <w:bookmarkStart w:id="18" w:name="Text45"/>
            <w:r w:rsidR="00831FF5" w:rsidRPr="00ED6B34">
              <w:rPr>
                <w:lang w:val="fr-FR"/>
              </w:rPr>
              <w:instrText xml:space="preserve"> FORMTEXT </w:instrText>
            </w:r>
            <w:r w:rsidR="00FE0F8C" w:rsidRPr="00ED6B34">
              <w:fldChar w:fldCharType="separate"/>
            </w:r>
            <w:r w:rsidR="00831FF5" w:rsidRPr="00ED6B34">
              <w:rPr>
                <w:noProof/>
                <w:lang w:val="fr-FR"/>
              </w:rPr>
              <w:t>N/A</w:t>
            </w:r>
            <w:r w:rsidR="00FE0F8C" w:rsidRPr="00ED6B34">
              <w:fldChar w:fldCharType="end"/>
            </w:r>
            <w:bookmarkEnd w:id="18"/>
          </w:p>
          <w:p w14:paraId="74AB40A2" w14:textId="77777777" w:rsidR="00156C4C" w:rsidRPr="00ED6B34" w:rsidRDefault="00156C4C" w:rsidP="00E76CA1">
            <w:pPr>
              <w:rPr>
                <w:lang w:val="fr-FR"/>
              </w:rPr>
            </w:pPr>
          </w:p>
        </w:tc>
      </w:tr>
      <w:tr w:rsidR="00ED6B34" w:rsidRPr="009740FB" w14:paraId="130F563C" w14:textId="77777777" w:rsidTr="681F2457">
        <w:tc>
          <w:tcPr>
            <w:tcW w:w="4230" w:type="dxa"/>
            <w:shd w:val="clear" w:color="auto" w:fill="auto"/>
          </w:tcPr>
          <w:p w14:paraId="4A0F67DD" w14:textId="6C00BBF2" w:rsidR="00831FF5" w:rsidRPr="00ED6B34" w:rsidRDefault="00675507" w:rsidP="00411A5F">
            <w:pPr>
              <w:rPr>
                <w:lang w:val="fr-FR"/>
              </w:rPr>
            </w:pPr>
            <w:r w:rsidRPr="00ED6B34">
              <w:rPr>
                <w:b/>
                <w:bCs/>
                <w:u w:val="single"/>
                <w:lang w:val="fr-FR"/>
              </w:rPr>
              <w:lastRenderedPageBreak/>
              <w:t>Effets catalytiques (financiers</w:t>
            </w:r>
            <w:proofErr w:type="gramStart"/>
            <w:r w:rsidRPr="00ED6B34">
              <w:rPr>
                <w:b/>
                <w:bCs/>
                <w:u w:val="single"/>
                <w:lang w:val="fr-FR"/>
              </w:rPr>
              <w:t>)</w:t>
            </w:r>
            <w:r w:rsidR="27BC4953" w:rsidRPr="00ED6B34">
              <w:rPr>
                <w:b/>
                <w:bCs/>
                <w:lang w:val="fr-FR"/>
              </w:rPr>
              <w:t>:</w:t>
            </w:r>
            <w:proofErr w:type="gramEnd"/>
            <w:r w:rsidR="55583ADE" w:rsidRPr="00ED6B34">
              <w:rPr>
                <w:b/>
                <w:bCs/>
                <w:lang w:val="fr-FR"/>
              </w:rPr>
              <w:t xml:space="preserve"> </w:t>
            </w:r>
            <w:r w:rsidRPr="00ED6B34">
              <w:rPr>
                <w:lang w:val="fr-FR"/>
              </w:rPr>
              <w:t>Indiquez le nom de l'agent de financement et le montant du soutien financier non PBF supplémentaire qui a été obtenu par le projet.</w:t>
            </w:r>
          </w:p>
        </w:tc>
        <w:tc>
          <w:tcPr>
            <w:tcW w:w="5940" w:type="dxa"/>
            <w:shd w:val="clear" w:color="auto" w:fill="auto"/>
          </w:tcPr>
          <w:p w14:paraId="2EFC0EAA" w14:textId="77777777" w:rsidR="00831FF5" w:rsidRPr="00C50341" w:rsidRDefault="00831FF5" w:rsidP="004550A1">
            <w:pPr>
              <w:jc w:val="both"/>
              <w:rPr>
                <w:highlight w:val="lightGray"/>
                <w:lang w:val="fr-FR"/>
              </w:rPr>
            </w:pPr>
          </w:p>
          <w:p w14:paraId="5C178D93" w14:textId="6380629C" w:rsidR="0045206C" w:rsidRPr="00C50341" w:rsidRDefault="00135302" w:rsidP="004550A1">
            <w:pPr>
              <w:jc w:val="both"/>
              <w:rPr>
                <w:highlight w:val="lightGray"/>
                <w:lang w:val="fr-FR"/>
              </w:rPr>
            </w:pPr>
            <w:r w:rsidRPr="00C50341">
              <w:rPr>
                <w:highlight w:val="lightGray"/>
                <w:lang w:val="fr-FR"/>
              </w:rPr>
              <w:t>Il n’y a pas eu de financement supplémentaire.</w:t>
            </w:r>
          </w:p>
          <w:p w14:paraId="541CCECA" w14:textId="514BB09A" w:rsidR="00733D51" w:rsidRPr="009740FB" w:rsidRDefault="00733D51" w:rsidP="004550A1">
            <w:pPr>
              <w:jc w:val="both"/>
              <w:rPr>
                <w:highlight w:val="lightGray"/>
                <w:lang w:val="en-US"/>
              </w:rPr>
            </w:pPr>
            <w:r w:rsidRPr="00C50341">
              <w:rPr>
                <w:highlight w:val="lightGray"/>
                <w:lang w:val="fr-FR"/>
              </w:rPr>
              <w:t>Les interventions du PBF se sont élargies à d’aut</w:t>
            </w:r>
            <w:r w:rsidR="00646E74" w:rsidRPr="00C50341">
              <w:rPr>
                <w:highlight w:val="lightGray"/>
                <w:lang w:val="fr-FR"/>
              </w:rPr>
              <w:t>r</w:t>
            </w:r>
            <w:r w:rsidRPr="00C50341">
              <w:rPr>
                <w:highlight w:val="lightGray"/>
                <w:lang w:val="fr-FR"/>
              </w:rPr>
              <w:t xml:space="preserve">es cercles et seront pérennisées </w:t>
            </w:r>
            <w:proofErr w:type="spellStart"/>
            <w:r w:rsidRPr="00C50341">
              <w:rPr>
                <w:highlight w:val="lightGray"/>
                <w:lang w:val="fr-FR"/>
              </w:rPr>
              <w:t>dan</w:t>
            </w:r>
            <w:proofErr w:type="spellEnd"/>
            <w:r w:rsidRPr="00C50341">
              <w:rPr>
                <w:highlight w:val="lightGray"/>
                <w:lang w:val="fr-FR"/>
              </w:rPr>
              <w:t xml:space="preserve"> le cadre du </w:t>
            </w:r>
            <w:proofErr w:type="gramStart"/>
            <w:r w:rsidRPr="00C50341">
              <w:rPr>
                <w:highlight w:val="lightGray"/>
                <w:lang w:val="fr-FR"/>
              </w:rPr>
              <w:t>PROSMED:</w:t>
            </w:r>
            <w:proofErr w:type="gramEnd"/>
            <w:r w:rsidRPr="00C50341">
              <w:rPr>
                <w:highlight w:val="lightGray"/>
                <w:lang w:val="fr-FR"/>
              </w:rPr>
              <w:t xml:space="preserve"> Pro</w:t>
            </w:r>
            <w:r w:rsidR="0097614C" w:rsidRPr="00C50341">
              <w:rPr>
                <w:highlight w:val="lightGray"/>
                <w:lang w:val="fr-FR"/>
              </w:rPr>
              <w:t xml:space="preserve">gramme </w:t>
            </w:r>
            <w:r w:rsidRPr="00C50341">
              <w:rPr>
                <w:highlight w:val="lightGray"/>
                <w:lang w:val="fr-FR"/>
              </w:rPr>
              <w:t xml:space="preserve"> d’Appui à la Stabilisation du Mali  travers le Renforcement de l’Etat de Droit </w:t>
            </w:r>
            <w:r w:rsidR="00646E74" w:rsidRPr="00C50341">
              <w:rPr>
                <w:highlight w:val="lightGray"/>
                <w:lang w:val="fr-FR"/>
              </w:rPr>
              <w:t>au Mali de  32 millions de USD( qui a déjà mobilis</w:t>
            </w:r>
            <w:r w:rsidR="002F3130" w:rsidRPr="00C50341">
              <w:rPr>
                <w:highlight w:val="lightGray"/>
                <w:lang w:val="fr-FR"/>
              </w:rPr>
              <w:t>é</w:t>
            </w:r>
            <w:r w:rsidR="00646E74" w:rsidRPr="00C50341">
              <w:rPr>
                <w:highlight w:val="lightGray"/>
                <w:lang w:val="fr-FR"/>
              </w:rPr>
              <w:t xml:space="preserve"> </w:t>
            </w:r>
            <w:r w:rsidR="00646E74" w:rsidRPr="00C50341">
              <w:rPr>
                <w:b/>
                <w:bCs/>
                <w:highlight w:val="lightGray"/>
                <w:lang w:val="fr-FR"/>
              </w:rPr>
              <w:t>21,459,011</w:t>
            </w:r>
            <w:r w:rsidR="00646E74" w:rsidRPr="00C50341">
              <w:rPr>
                <w:highlight w:val="lightGray"/>
                <w:lang w:val="fr-FR"/>
              </w:rPr>
              <w:t xml:space="preserve"> USD)</w:t>
            </w:r>
            <w:r w:rsidR="00C50341" w:rsidRPr="00C50341">
              <w:rPr>
                <w:highlight w:val="lightGray"/>
                <w:lang w:val="fr-FR"/>
              </w:rPr>
              <w:t xml:space="preserve"> </w:t>
            </w:r>
            <w:r w:rsidR="00646E74" w:rsidRPr="00C50341">
              <w:rPr>
                <w:highlight w:val="lightGray"/>
                <w:lang w:val="fr-FR"/>
              </w:rPr>
              <w:t xml:space="preserve">et qui va s’étaler sur 4 ans et </w:t>
            </w:r>
            <w:r w:rsidRPr="00C50341">
              <w:rPr>
                <w:highlight w:val="lightGray"/>
                <w:lang w:val="fr-FR"/>
              </w:rPr>
              <w:t>qui a démarré par un PIP( Plan d’Initiation du Pro</w:t>
            </w:r>
            <w:r w:rsidR="0097614C" w:rsidRPr="00C50341">
              <w:rPr>
                <w:highlight w:val="lightGray"/>
                <w:lang w:val="fr-FR"/>
              </w:rPr>
              <w:t xml:space="preserve">gramme </w:t>
            </w:r>
            <w:r w:rsidRPr="00C50341">
              <w:rPr>
                <w:highlight w:val="lightGray"/>
                <w:lang w:val="fr-FR"/>
              </w:rPr>
              <w:t xml:space="preserve"> </w:t>
            </w:r>
            <w:r w:rsidR="00646E74" w:rsidRPr="00C50341">
              <w:rPr>
                <w:highlight w:val="lightGray"/>
                <w:lang w:val="fr-FR"/>
              </w:rPr>
              <w:t xml:space="preserve">financé à hauteur de </w:t>
            </w:r>
            <w:r w:rsidRPr="00C50341">
              <w:rPr>
                <w:highlight w:val="lightGray"/>
                <w:lang w:val="fr-FR"/>
              </w:rPr>
              <w:t xml:space="preserve">1, 5 millions </w:t>
            </w:r>
            <w:r w:rsidR="00646E74" w:rsidRPr="00C50341">
              <w:rPr>
                <w:highlight w:val="lightGray"/>
                <w:lang w:val="fr-FR"/>
              </w:rPr>
              <w:t xml:space="preserve">). </w:t>
            </w:r>
            <w:r w:rsidR="00646E74" w:rsidRPr="009740FB">
              <w:rPr>
                <w:highlight w:val="lightGray"/>
                <w:lang w:val="en-US"/>
              </w:rPr>
              <w:t xml:space="preserve">Le PROSMED </w:t>
            </w:r>
            <w:proofErr w:type="spellStart"/>
            <w:r w:rsidR="00646E74" w:rsidRPr="009740FB">
              <w:rPr>
                <w:highlight w:val="lightGray"/>
                <w:lang w:val="en-US"/>
              </w:rPr>
              <w:t>s’inscrit</w:t>
            </w:r>
            <w:proofErr w:type="spellEnd"/>
            <w:r w:rsidR="00646E74" w:rsidRPr="009740FB">
              <w:rPr>
                <w:highlight w:val="lightGray"/>
                <w:lang w:val="en-US"/>
              </w:rPr>
              <w:t xml:space="preserve"> </w:t>
            </w:r>
            <w:proofErr w:type="spellStart"/>
            <w:r w:rsidR="00646E74" w:rsidRPr="009740FB">
              <w:rPr>
                <w:highlight w:val="lightGray"/>
                <w:lang w:val="en-US"/>
              </w:rPr>
              <w:t>également</w:t>
            </w:r>
            <w:proofErr w:type="spellEnd"/>
            <w:r w:rsidR="00646E74" w:rsidRPr="009740FB">
              <w:rPr>
                <w:highlight w:val="lightGray"/>
                <w:lang w:val="en-US"/>
              </w:rPr>
              <w:t xml:space="preserve"> dans la </w:t>
            </w:r>
            <w:proofErr w:type="spellStart"/>
            <w:r w:rsidR="00646E74" w:rsidRPr="009740FB">
              <w:rPr>
                <w:highlight w:val="lightGray"/>
                <w:lang w:val="en-US"/>
              </w:rPr>
              <w:t>logique</w:t>
            </w:r>
            <w:proofErr w:type="spellEnd"/>
            <w:r w:rsidR="00646E74" w:rsidRPr="009740FB">
              <w:rPr>
                <w:highlight w:val="lightGray"/>
                <w:lang w:val="en-US"/>
              </w:rPr>
              <w:t xml:space="preserve"> du ONE UN car </w:t>
            </w:r>
            <w:proofErr w:type="spellStart"/>
            <w:r w:rsidR="00646E74" w:rsidRPr="009740FB">
              <w:rPr>
                <w:highlight w:val="lightGray"/>
                <w:lang w:val="en-US"/>
              </w:rPr>
              <w:t>exécuté</w:t>
            </w:r>
            <w:proofErr w:type="spellEnd"/>
            <w:r w:rsidR="00646E74" w:rsidRPr="009740FB">
              <w:rPr>
                <w:highlight w:val="lightGray"/>
                <w:lang w:val="en-US"/>
              </w:rPr>
              <w:t xml:space="preserve"> </w:t>
            </w:r>
            <w:proofErr w:type="spellStart"/>
            <w:r w:rsidR="00646E74" w:rsidRPr="009740FB">
              <w:rPr>
                <w:highlight w:val="lightGray"/>
                <w:lang w:val="en-US"/>
              </w:rPr>
              <w:t>conjointement</w:t>
            </w:r>
            <w:proofErr w:type="spellEnd"/>
            <w:r w:rsidR="00646E74" w:rsidRPr="009740FB">
              <w:rPr>
                <w:highlight w:val="lightGray"/>
                <w:lang w:val="en-US"/>
              </w:rPr>
              <w:t xml:space="preserve"> par </w:t>
            </w:r>
            <w:r w:rsidR="002F3130" w:rsidRPr="009740FB">
              <w:rPr>
                <w:highlight w:val="lightGray"/>
                <w:lang w:val="en-US"/>
              </w:rPr>
              <w:t xml:space="preserve">le </w:t>
            </w:r>
            <w:r w:rsidR="00B81746" w:rsidRPr="009740FB">
              <w:rPr>
                <w:highlight w:val="lightGray"/>
                <w:lang w:val="en-US"/>
              </w:rPr>
              <w:t xml:space="preserve">PNUD, MINUSMA </w:t>
            </w:r>
            <w:proofErr w:type="gramStart"/>
            <w:r w:rsidR="00B81746" w:rsidRPr="009740FB">
              <w:rPr>
                <w:highlight w:val="lightGray"/>
                <w:lang w:val="en-US"/>
              </w:rPr>
              <w:t>et</w:t>
            </w:r>
            <w:r w:rsidR="002F3130" w:rsidRPr="009740FB">
              <w:rPr>
                <w:highlight w:val="lightGray"/>
                <w:lang w:val="en-US"/>
              </w:rPr>
              <w:t xml:space="preserve"> </w:t>
            </w:r>
            <w:r w:rsidR="00B81746" w:rsidRPr="009740FB">
              <w:rPr>
                <w:highlight w:val="lightGray"/>
                <w:lang w:val="en-US"/>
              </w:rPr>
              <w:t xml:space="preserve"> </w:t>
            </w:r>
            <w:r w:rsidR="00646E74" w:rsidRPr="009740FB">
              <w:rPr>
                <w:highlight w:val="lightGray"/>
                <w:lang w:val="en-US"/>
              </w:rPr>
              <w:t>ONUFEMMES</w:t>
            </w:r>
            <w:proofErr w:type="gramEnd"/>
            <w:r w:rsidR="0097614C" w:rsidRPr="009740FB">
              <w:rPr>
                <w:highlight w:val="lightGray"/>
                <w:lang w:val="en-US"/>
              </w:rPr>
              <w:t xml:space="preserve">. Les </w:t>
            </w:r>
            <w:proofErr w:type="spellStart"/>
            <w:r w:rsidR="0097614C" w:rsidRPr="009740FB">
              <w:rPr>
                <w:highlight w:val="lightGray"/>
                <w:lang w:val="en-US"/>
              </w:rPr>
              <w:t>principaux</w:t>
            </w:r>
            <w:proofErr w:type="spellEnd"/>
            <w:r w:rsidR="0097614C" w:rsidRPr="009740FB">
              <w:rPr>
                <w:highlight w:val="lightGray"/>
                <w:lang w:val="en-US"/>
              </w:rPr>
              <w:t xml:space="preserve"> </w:t>
            </w:r>
            <w:proofErr w:type="spellStart"/>
            <w:r w:rsidR="0097614C" w:rsidRPr="009740FB">
              <w:rPr>
                <w:highlight w:val="lightGray"/>
                <w:lang w:val="en-US"/>
              </w:rPr>
              <w:t>bailleurs</w:t>
            </w:r>
            <w:proofErr w:type="spellEnd"/>
            <w:r w:rsidR="0097614C" w:rsidRPr="009740FB">
              <w:rPr>
                <w:highlight w:val="lightGray"/>
                <w:lang w:val="en-US"/>
              </w:rPr>
              <w:t xml:space="preserve"> de fonds du </w:t>
            </w:r>
            <w:proofErr w:type="spellStart"/>
            <w:r w:rsidR="0097614C" w:rsidRPr="009740FB">
              <w:rPr>
                <w:highlight w:val="lightGray"/>
                <w:lang w:val="en-US"/>
              </w:rPr>
              <w:t>programme</w:t>
            </w:r>
            <w:proofErr w:type="spellEnd"/>
            <w:r w:rsidR="0097614C" w:rsidRPr="009740FB">
              <w:rPr>
                <w:highlight w:val="lightGray"/>
                <w:lang w:val="en-US"/>
              </w:rPr>
              <w:t xml:space="preserve"> </w:t>
            </w:r>
            <w:proofErr w:type="spellStart"/>
            <w:proofErr w:type="gramStart"/>
            <w:r w:rsidR="0097614C" w:rsidRPr="009740FB">
              <w:rPr>
                <w:highlight w:val="lightGray"/>
                <w:lang w:val="en-US"/>
              </w:rPr>
              <w:t>sont</w:t>
            </w:r>
            <w:proofErr w:type="spellEnd"/>
            <w:r w:rsidR="0097614C" w:rsidRPr="009740FB">
              <w:rPr>
                <w:highlight w:val="lightGray"/>
                <w:lang w:val="en-US"/>
              </w:rPr>
              <w:t xml:space="preserve"> :</w:t>
            </w:r>
            <w:proofErr w:type="gramEnd"/>
            <w:r w:rsidR="0097614C" w:rsidRPr="009740FB">
              <w:rPr>
                <w:highlight w:val="lightGray"/>
                <w:lang w:val="en-US"/>
              </w:rPr>
              <w:t xml:space="preserve"> les Pays bas, la Suisse, le PNUD, la </w:t>
            </w:r>
            <w:proofErr w:type="spellStart"/>
            <w:r w:rsidR="0097614C" w:rsidRPr="009740FB">
              <w:rPr>
                <w:highlight w:val="lightGray"/>
                <w:lang w:val="en-US"/>
              </w:rPr>
              <w:t>Norvège</w:t>
            </w:r>
            <w:proofErr w:type="spellEnd"/>
            <w:r w:rsidR="0097614C" w:rsidRPr="009740FB">
              <w:rPr>
                <w:highlight w:val="lightGray"/>
                <w:lang w:val="en-US"/>
              </w:rPr>
              <w:t>, U</w:t>
            </w:r>
            <w:r w:rsidR="00C50341" w:rsidRPr="009740FB">
              <w:rPr>
                <w:highlight w:val="lightGray"/>
                <w:lang w:val="en-US"/>
              </w:rPr>
              <w:t>K</w:t>
            </w:r>
            <w:r w:rsidR="0097614C" w:rsidRPr="009740FB">
              <w:rPr>
                <w:highlight w:val="lightGray"/>
                <w:lang w:val="en-US"/>
              </w:rPr>
              <w:t xml:space="preserve"> et la MINUSMA( à travers les TF). </w:t>
            </w:r>
          </w:p>
          <w:p w14:paraId="632E1C28" w14:textId="434C3046" w:rsidR="00156C4C" w:rsidRPr="009740FB" w:rsidRDefault="00C50341" w:rsidP="004550A1">
            <w:pPr>
              <w:jc w:val="both"/>
              <w:rPr>
                <w:highlight w:val="lightGray"/>
                <w:lang w:val="en-US"/>
              </w:rPr>
            </w:pPr>
            <w:proofErr w:type="spellStart"/>
            <w:r w:rsidRPr="009740FB">
              <w:rPr>
                <w:highlight w:val="lightGray"/>
                <w:lang w:val="en-US"/>
              </w:rPr>
              <w:t>En</w:t>
            </w:r>
            <w:proofErr w:type="spellEnd"/>
            <w:r w:rsidRPr="009740FB">
              <w:rPr>
                <w:highlight w:val="lightGray"/>
                <w:lang w:val="en-US"/>
              </w:rPr>
              <w:t xml:space="preserve"> attendant la </w:t>
            </w:r>
            <w:proofErr w:type="spellStart"/>
            <w:r w:rsidRPr="009740FB">
              <w:rPr>
                <w:highlight w:val="lightGray"/>
                <w:lang w:val="en-US"/>
              </w:rPr>
              <w:t>finalisation</w:t>
            </w:r>
            <w:proofErr w:type="spellEnd"/>
            <w:r w:rsidRPr="009740FB">
              <w:rPr>
                <w:highlight w:val="lightGray"/>
                <w:lang w:val="en-US"/>
              </w:rPr>
              <w:t xml:space="preserve"> des </w:t>
            </w:r>
            <w:proofErr w:type="spellStart"/>
            <w:r w:rsidRPr="009740FB">
              <w:rPr>
                <w:highlight w:val="lightGray"/>
                <w:lang w:val="en-US"/>
              </w:rPr>
              <w:t>procédures</w:t>
            </w:r>
            <w:proofErr w:type="spellEnd"/>
            <w:r w:rsidRPr="009740FB">
              <w:rPr>
                <w:highlight w:val="lightGray"/>
                <w:lang w:val="en-US"/>
              </w:rPr>
              <w:t xml:space="preserve"> </w:t>
            </w:r>
            <w:proofErr w:type="spellStart"/>
            <w:r w:rsidRPr="009740FB">
              <w:rPr>
                <w:highlight w:val="lightGray"/>
                <w:lang w:val="en-US"/>
              </w:rPr>
              <w:t>administratives</w:t>
            </w:r>
            <w:proofErr w:type="spellEnd"/>
            <w:r w:rsidRPr="009740FB">
              <w:rPr>
                <w:highlight w:val="lightGray"/>
                <w:lang w:val="en-US"/>
              </w:rPr>
              <w:t xml:space="preserve"> </w:t>
            </w:r>
            <w:proofErr w:type="spellStart"/>
            <w:r w:rsidRPr="009740FB">
              <w:rPr>
                <w:highlight w:val="lightGray"/>
                <w:lang w:val="en-US"/>
              </w:rPr>
              <w:t>extrèmement</w:t>
            </w:r>
            <w:proofErr w:type="spellEnd"/>
            <w:r w:rsidRPr="009740FB">
              <w:rPr>
                <w:highlight w:val="lightGray"/>
                <w:lang w:val="en-US"/>
              </w:rPr>
              <w:t xml:space="preserve"> </w:t>
            </w:r>
            <w:proofErr w:type="spellStart"/>
            <w:r w:rsidRPr="009740FB">
              <w:rPr>
                <w:highlight w:val="lightGray"/>
                <w:lang w:val="en-US"/>
              </w:rPr>
              <w:t>longues</w:t>
            </w:r>
            <w:proofErr w:type="spellEnd"/>
            <w:r w:rsidRPr="009740FB">
              <w:rPr>
                <w:highlight w:val="lightGray"/>
                <w:lang w:val="en-US"/>
              </w:rPr>
              <w:t xml:space="preserve">, les </w:t>
            </w:r>
            <w:proofErr w:type="spellStart"/>
            <w:r w:rsidRPr="009740FB">
              <w:rPr>
                <w:highlight w:val="lightGray"/>
                <w:lang w:val="en-US"/>
              </w:rPr>
              <w:t>activités</w:t>
            </w:r>
            <w:proofErr w:type="spellEnd"/>
            <w:r w:rsidRPr="009740FB">
              <w:rPr>
                <w:highlight w:val="lightGray"/>
                <w:lang w:val="en-US"/>
              </w:rPr>
              <w:t xml:space="preserve"> du HCDH Mali </w:t>
            </w:r>
            <w:proofErr w:type="spellStart"/>
            <w:r w:rsidRPr="009740FB">
              <w:rPr>
                <w:highlight w:val="lightGray"/>
                <w:lang w:val="en-US"/>
              </w:rPr>
              <w:t>ont</w:t>
            </w:r>
            <w:proofErr w:type="spellEnd"/>
            <w:r w:rsidRPr="009740FB">
              <w:rPr>
                <w:highlight w:val="lightGray"/>
                <w:lang w:val="en-US"/>
              </w:rPr>
              <w:t xml:space="preserve"> </w:t>
            </w:r>
            <w:proofErr w:type="spellStart"/>
            <w:r w:rsidRPr="009740FB">
              <w:rPr>
                <w:highlight w:val="lightGray"/>
                <w:lang w:val="en-US"/>
              </w:rPr>
              <w:t>été</w:t>
            </w:r>
            <w:proofErr w:type="spellEnd"/>
            <w:r w:rsidRPr="009740FB">
              <w:rPr>
                <w:highlight w:val="lightGray"/>
                <w:lang w:val="en-US"/>
              </w:rPr>
              <w:t xml:space="preserve"> </w:t>
            </w:r>
            <w:proofErr w:type="spellStart"/>
            <w:r w:rsidRPr="009740FB">
              <w:rPr>
                <w:highlight w:val="lightGray"/>
                <w:lang w:val="en-US"/>
              </w:rPr>
              <w:t>également</w:t>
            </w:r>
            <w:proofErr w:type="spellEnd"/>
            <w:r w:rsidRPr="009740FB">
              <w:rPr>
                <w:highlight w:val="lightGray"/>
                <w:lang w:val="en-US"/>
              </w:rPr>
              <w:t xml:space="preserve"> </w:t>
            </w:r>
            <w:proofErr w:type="spellStart"/>
            <w:r w:rsidRPr="009740FB">
              <w:rPr>
                <w:highlight w:val="lightGray"/>
                <w:lang w:val="en-US"/>
              </w:rPr>
              <w:t>appuyé</w:t>
            </w:r>
            <w:r w:rsidR="005C5840" w:rsidRPr="009740FB">
              <w:rPr>
                <w:highlight w:val="lightGray"/>
                <w:lang w:val="en-US"/>
              </w:rPr>
              <w:t>es</w:t>
            </w:r>
            <w:proofErr w:type="spellEnd"/>
            <w:r w:rsidRPr="009740FB">
              <w:rPr>
                <w:highlight w:val="lightGray"/>
                <w:lang w:val="en-US"/>
              </w:rPr>
              <w:t xml:space="preserve"> par </w:t>
            </w:r>
            <w:proofErr w:type="spellStart"/>
            <w:r w:rsidRPr="009740FB">
              <w:rPr>
                <w:highlight w:val="lightGray"/>
                <w:lang w:val="en-US"/>
              </w:rPr>
              <w:t>ses</w:t>
            </w:r>
            <w:proofErr w:type="spellEnd"/>
            <w:r w:rsidRPr="009740FB">
              <w:rPr>
                <w:highlight w:val="lightGray"/>
                <w:lang w:val="en-US"/>
              </w:rPr>
              <w:t xml:space="preserve"> fonds du budget </w:t>
            </w:r>
            <w:proofErr w:type="spellStart"/>
            <w:r w:rsidRPr="009740FB">
              <w:rPr>
                <w:highlight w:val="lightGray"/>
                <w:lang w:val="en-US"/>
              </w:rPr>
              <w:t>régulier</w:t>
            </w:r>
            <w:proofErr w:type="spellEnd"/>
            <w:r w:rsidRPr="009740FB">
              <w:rPr>
                <w:highlight w:val="lightGray"/>
                <w:lang w:val="en-US"/>
              </w:rPr>
              <w:t>.</w:t>
            </w:r>
          </w:p>
          <w:p w14:paraId="16CB5F2F" w14:textId="4F53F6C1" w:rsidR="00C50341" w:rsidRPr="00C50341" w:rsidRDefault="00C50341" w:rsidP="004550A1">
            <w:pPr>
              <w:jc w:val="both"/>
              <w:rPr>
                <w:highlight w:val="lightGray"/>
                <w:lang w:val="fr-FR"/>
              </w:rPr>
            </w:pPr>
          </w:p>
        </w:tc>
      </w:tr>
      <w:tr w:rsidR="00ED6B34" w:rsidRPr="009740FB" w14:paraId="1FB552B8" w14:textId="77777777" w:rsidTr="681F2457">
        <w:tc>
          <w:tcPr>
            <w:tcW w:w="4230" w:type="dxa"/>
            <w:shd w:val="clear" w:color="auto" w:fill="auto"/>
          </w:tcPr>
          <w:p w14:paraId="4E6BEC33" w14:textId="77777777" w:rsidR="002C187A" w:rsidRPr="00ED6B34" w:rsidRDefault="00675507" w:rsidP="001A1E86">
            <w:pPr>
              <w:rPr>
                <w:lang w:val="fr-FR"/>
              </w:rPr>
            </w:pPr>
            <w:proofErr w:type="gramStart"/>
            <w:r w:rsidRPr="00ED6B34">
              <w:rPr>
                <w:b/>
                <w:bCs/>
                <w:u w:val="single"/>
                <w:lang w:val="fr-FR"/>
              </w:rPr>
              <w:t>Autre</w:t>
            </w:r>
            <w:r w:rsidRPr="00ED6B34">
              <w:rPr>
                <w:lang w:val="fr-FR"/>
              </w:rPr>
              <w:t>:</w:t>
            </w:r>
            <w:proofErr w:type="gramEnd"/>
            <w:r w:rsidRPr="00ED6B34">
              <w:rPr>
                <w:lang w:val="fr-FR"/>
              </w:rPr>
              <w:t xml:space="preserve"> Y a-t-il d'autres points concernant la mise en œuvre du projet que vous souhaitez partager, y compris sur les besoins en capacité des organisations bénéficiaires? (Limite de 1500 caractères)</w:t>
            </w:r>
          </w:p>
          <w:p w14:paraId="1D514768" w14:textId="77777777" w:rsidR="002C187A" w:rsidRPr="00ED6B34" w:rsidRDefault="002C187A" w:rsidP="009A1CD3">
            <w:pPr>
              <w:rPr>
                <w:lang w:val="fr-FR"/>
              </w:rPr>
            </w:pPr>
          </w:p>
        </w:tc>
        <w:tc>
          <w:tcPr>
            <w:tcW w:w="5940" w:type="dxa"/>
            <w:shd w:val="clear" w:color="auto" w:fill="auto"/>
          </w:tcPr>
          <w:p w14:paraId="20A183E3" w14:textId="7D9E17A0" w:rsidR="00135302" w:rsidRPr="005C5840" w:rsidRDefault="00215769" w:rsidP="00215769">
            <w:pPr>
              <w:jc w:val="both"/>
              <w:rPr>
                <w:color w:val="000000" w:themeColor="text1"/>
                <w:highlight w:val="lightGray"/>
                <w:lang w:val="fr-FR"/>
              </w:rPr>
            </w:pPr>
            <w:r w:rsidRPr="005C5840">
              <w:rPr>
                <w:color w:val="000000" w:themeColor="text1"/>
                <w:highlight w:val="lightGray"/>
                <w:lang w:val="fr-FR"/>
              </w:rPr>
              <w:t>Un c</w:t>
            </w:r>
            <w:r w:rsidR="00902324" w:rsidRPr="005C5840">
              <w:rPr>
                <w:color w:val="000000" w:themeColor="text1"/>
                <w:highlight w:val="lightGray"/>
                <w:lang w:val="fr-FR"/>
              </w:rPr>
              <w:t xml:space="preserve">hangement des indicateurs </w:t>
            </w:r>
            <w:r w:rsidRPr="005C5840">
              <w:rPr>
                <w:color w:val="000000" w:themeColor="text1"/>
                <w:highlight w:val="lightGray"/>
                <w:lang w:val="fr-FR"/>
              </w:rPr>
              <w:t xml:space="preserve">sera </w:t>
            </w:r>
            <w:r w:rsidR="00902324" w:rsidRPr="005C5840">
              <w:rPr>
                <w:color w:val="000000" w:themeColor="text1"/>
                <w:highlight w:val="lightGray"/>
                <w:lang w:val="fr-FR"/>
              </w:rPr>
              <w:t>demandé au Secrétariat du PBF</w:t>
            </w:r>
            <w:r w:rsidRPr="005C5840">
              <w:rPr>
                <w:color w:val="000000" w:themeColor="text1"/>
                <w:highlight w:val="lightGray"/>
                <w:lang w:val="fr-FR"/>
              </w:rPr>
              <w:t xml:space="preserve"> (voir les commentaires dans la Partie V)</w:t>
            </w:r>
            <w:r w:rsidR="00902324" w:rsidRPr="005C5840">
              <w:rPr>
                <w:color w:val="000000" w:themeColor="text1"/>
                <w:highlight w:val="lightGray"/>
                <w:lang w:val="fr-FR"/>
              </w:rPr>
              <w:t>.</w:t>
            </w:r>
          </w:p>
          <w:p w14:paraId="25A09B1F" w14:textId="77777777" w:rsidR="00215769" w:rsidRPr="005C5840" w:rsidRDefault="00215769" w:rsidP="00215769">
            <w:pPr>
              <w:rPr>
                <w:color w:val="000000" w:themeColor="text1"/>
                <w:highlight w:val="lightGray"/>
                <w:lang w:val="fr-FR"/>
              </w:rPr>
            </w:pPr>
          </w:p>
          <w:p w14:paraId="4EAA7740" w14:textId="3A0CF2CE" w:rsidR="00902324" w:rsidRPr="005C5840" w:rsidRDefault="00215769" w:rsidP="00215769">
            <w:pPr>
              <w:rPr>
                <w:highlight w:val="lightGray"/>
                <w:lang w:val="fr-FR"/>
              </w:rPr>
            </w:pPr>
            <w:r w:rsidRPr="00215769">
              <w:rPr>
                <w:iCs/>
                <w:highlight w:val="lightGray"/>
                <w:lang w:val="fr-FR"/>
              </w:rPr>
              <w:t>Les agences récipiendaires préparent également la demande du versement</w:t>
            </w:r>
            <w:r w:rsidRPr="00215769">
              <w:rPr>
                <w:b/>
                <w:bCs/>
                <w:iCs/>
                <w:highlight w:val="lightGray"/>
                <w:lang w:val="fr-FR"/>
              </w:rPr>
              <w:t xml:space="preserve"> </w:t>
            </w:r>
            <w:r w:rsidR="00902324" w:rsidRPr="005C5840">
              <w:rPr>
                <w:highlight w:val="lightGray"/>
                <w:lang w:val="fr-FR"/>
              </w:rPr>
              <w:t>de la deuxième tranche des fonds</w:t>
            </w:r>
            <w:r w:rsidRPr="005C5840">
              <w:rPr>
                <w:highlight w:val="lightGray"/>
                <w:lang w:val="fr-FR"/>
              </w:rPr>
              <w:t xml:space="preserve"> et </w:t>
            </w:r>
            <w:proofErr w:type="spellStart"/>
            <w:r w:rsidRPr="005C5840">
              <w:rPr>
                <w:highlight w:val="lightGray"/>
                <w:lang w:val="fr-FR"/>
              </w:rPr>
              <w:t>meneront</w:t>
            </w:r>
            <w:proofErr w:type="spellEnd"/>
            <w:r w:rsidRPr="005C5840">
              <w:rPr>
                <w:highlight w:val="lightGray"/>
                <w:lang w:val="fr-FR"/>
              </w:rPr>
              <w:t xml:space="preserve"> une réflexion au sujet d’une éventuelle demande d’extension no </w:t>
            </w:r>
            <w:proofErr w:type="spellStart"/>
            <w:r w:rsidRPr="005C5840">
              <w:rPr>
                <w:highlight w:val="lightGray"/>
                <w:lang w:val="fr-FR"/>
              </w:rPr>
              <w:t>cost</w:t>
            </w:r>
            <w:proofErr w:type="spellEnd"/>
            <w:r w:rsidRPr="005C5840">
              <w:rPr>
                <w:highlight w:val="lightGray"/>
                <w:lang w:val="fr-FR"/>
              </w:rPr>
              <w:t xml:space="preserve"> du projet pour trois mois.</w:t>
            </w:r>
          </w:p>
          <w:p w14:paraId="28B0BFA8" w14:textId="0C951E1D" w:rsidR="002C187A" w:rsidRPr="005C5840" w:rsidRDefault="002C187A" w:rsidP="00215769">
            <w:pPr>
              <w:rPr>
                <w:lang w:val="fr-FR"/>
              </w:rPr>
            </w:pPr>
          </w:p>
        </w:tc>
      </w:tr>
    </w:tbl>
    <w:p w14:paraId="6B1EB64C" w14:textId="77777777" w:rsidR="002B0F98" w:rsidRPr="00ED6B34" w:rsidRDefault="002B0F98" w:rsidP="00600B5F">
      <w:pPr>
        <w:rPr>
          <w:b/>
          <w:u w:val="single"/>
          <w:lang w:val="fr-FR"/>
        </w:rPr>
      </w:pPr>
    </w:p>
    <w:p w14:paraId="144481BD" w14:textId="77777777" w:rsidR="00600B5F" w:rsidRPr="00ED6B34" w:rsidRDefault="00600B5F" w:rsidP="00600B5F">
      <w:pPr>
        <w:rPr>
          <w:b/>
          <w:u w:val="single"/>
          <w:lang w:val="fr-FR"/>
        </w:rPr>
      </w:pPr>
      <w:r w:rsidRPr="00ED6B34">
        <w:rPr>
          <w:b/>
          <w:u w:val="single"/>
          <w:lang w:val="fr-FR"/>
        </w:rPr>
        <w:t xml:space="preserve">Partie </w:t>
      </w:r>
      <w:proofErr w:type="gramStart"/>
      <w:r w:rsidRPr="00ED6B34">
        <w:rPr>
          <w:b/>
          <w:u w:val="single"/>
          <w:lang w:val="fr-FR"/>
        </w:rPr>
        <w:t>IV:</w:t>
      </w:r>
      <w:proofErr w:type="gramEnd"/>
      <w:r w:rsidRPr="00ED6B34">
        <w:rPr>
          <w:b/>
          <w:u w:val="single"/>
          <w:lang w:val="fr-FR"/>
        </w:rPr>
        <w:t xml:space="preserve"> COVID-19</w:t>
      </w:r>
    </w:p>
    <w:p w14:paraId="2331FA84" w14:textId="77777777" w:rsidR="00600B5F" w:rsidRPr="00ED6B34" w:rsidRDefault="00547F47" w:rsidP="00600B5F">
      <w:pPr>
        <w:rPr>
          <w:b/>
          <w:bCs/>
          <w:lang w:val="fr-FR"/>
        </w:rPr>
      </w:pPr>
      <w:r w:rsidRPr="00ED6B34">
        <w:rPr>
          <w:i/>
          <w:iCs/>
          <w:lang w:val="fr-FR"/>
        </w:rPr>
        <w:t>Veuillez répondre à ces questions si le projet a subi des ajustements financiers ou non</w:t>
      </w:r>
      <w:r w:rsidR="006017A2" w:rsidRPr="00ED6B34">
        <w:rPr>
          <w:i/>
          <w:iCs/>
          <w:lang w:val="fr-FR"/>
        </w:rPr>
        <w:t xml:space="preserve">-financiers </w:t>
      </w:r>
      <w:r w:rsidRPr="00ED6B34">
        <w:rPr>
          <w:i/>
          <w:iCs/>
          <w:lang w:val="fr-FR"/>
        </w:rPr>
        <w:t>en raison de la pandémie COVID-19.</w:t>
      </w:r>
    </w:p>
    <w:p w14:paraId="4F645F09" w14:textId="77777777" w:rsidR="00600B5F" w:rsidRPr="00ED6B34" w:rsidRDefault="00600B5F" w:rsidP="00600B5F">
      <w:pPr>
        <w:pStyle w:val="Listenabsatz"/>
        <w:rPr>
          <w:lang w:val="fr-FR"/>
        </w:rPr>
      </w:pPr>
    </w:p>
    <w:p w14:paraId="589EC83D" w14:textId="77777777" w:rsidR="00600B5F" w:rsidRPr="00ED6B34" w:rsidRDefault="001745E8" w:rsidP="008F5A72">
      <w:pPr>
        <w:pStyle w:val="Listenabsatz"/>
        <w:numPr>
          <w:ilvl w:val="0"/>
          <w:numId w:val="3"/>
        </w:numPr>
        <w:rPr>
          <w:lang w:val="fr-FR"/>
        </w:rPr>
      </w:pPr>
      <w:r w:rsidRPr="00ED6B34">
        <w:rPr>
          <w:lang w:val="fr-FR"/>
        </w:rPr>
        <w:t xml:space="preserve">Ajustements </w:t>
      </w:r>
      <w:r w:rsidR="00D8543B" w:rsidRPr="00ED6B34">
        <w:rPr>
          <w:lang w:val="fr-FR"/>
        </w:rPr>
        <w:t>financiers</w:t>
      </w:r>
      <w:proofErr w:type="gramStart"/>
      <w:r w:rsidR="00D8543B" w:rsidRPr="00ED6B34">
        <w:rPr>
          <w:lang w:val="fr-FR"/>
        </w:rPr>
        <w:t xml:space="preserve"> :</w:t>
      </w:r>
      <w:r w:rsidR="00E271E4" w:rsidRPr="00ED6B34">
        <w:rPr>
          <w:lang w:val="fr-FR"/>
        </w:rPr>
        <w:t>V</w:t>
      </w:r>
      <w:r w:rsidRPr="00ED6B34">
        <w:rPr>
          <w:lang w:val="fr-FR"/>
        </w:rPr>
        <w:t>euillez</w:t>
      </w:r>
      <w:proofErr w:type="gramEnd"/>
      <w:r w:rsidRPr="00ED6B34">
        <w:rPr>
          <w:lang w:val="fr-FR"/>
        </w:rPr>
        <w:t xml:space="preserve"> indiquer le montant total en USD des ajustements liés au COVID-19</w:t>
      </w:r>
      <w:r w:rsidR="00E271E4" w:rsidRPr="00ED6B34">
        <w:rPr>
          <w:lang w:val="fr-FR"/>
        </w:rPr>
        <w:t>.</w:t>
      </w:r>
    </w:p>
    <w:p w14:paraId="40584E66" w14:textId="7A0DA983" w:rsidR="00600B5F" w:rsidRPr="00ED6B34" w:rsidRDefault="00FE0F8C" w:rsidP="004550A1">
      <w:pPr>
        <w:ind w:firstLine="360"/>
        <w:rPr>
          <w:lang w:val="fr-FR"/>
        </w:rPr>
      </w:pPr>
      <w:r w:rsidRPr="00ED6B34">
        <w:fldChar w:fldCharType="begin">
          <w:ffData>
            <w:name w:val=""/>
            <w:enabled/>
            <w:calcOnExit w:val="0"/>
            <w:textInput>
              <w:default w:val="N/A"/>
              <w:maxLength w:val="100"/>
              <w:format w:val="FIRST CAPITAL"/>
            </w:textInput>
          </w:ffData>
        </w:fldChar>
      </w:r>
      <w:r w:rsidR="00831FF5" w:rsidRPr="00ED6B34">
        <w:instrText xml:space="preserve"> FORMTEXT </w:instrText>
      </w:r>
      <w:r w:rsidRPr="00ED6B34">
        <w:fldChar w:fldCharType="separate"/>
      </w:r>
      <w:r w:rsidR="00831FF5" w:rsidRPr="00ED6B34">
        <w:rPr>
          <w:noProof/>
        </w:rPr>
        <w:t>N/A</w:t>
      </w:r>
      <w:r w:rsidRPr="00ED6B34">
        <w:fldChar w:fldCharType="end"/>
      </w:r>
    </w:p>
    <w:p w14:paraId="16C47B38" w14:textId="77777777" w:rsidR="00600B5F" w:rsidRPr="00ED6B34" w:rsidRDefault="00600B5F" w:rsidP="00600B5F">
      <w:pPr>
        <w:rPr>
          <w:lang w:val="fr-FR"/>
        </w:rPr>
      </w:pPr>
    </w:p>
    <w:p w14:paraId="0AB7D6DC" w14:textId="77777777" w:rsidR="00600B5F" w:rsidRPr="00ED6B34" w:rsidRDefault="003107C9" w:rsidP="008F5A72">
      <w:pPr>
        <w:pStyle w:val="Listenabsatz"/>
        <w:numPr>
          <w:ilvl w:val="0"/>
          <w:numId w:val="3"/>
        </w:numPr>
        <w:rPr>
          <w:b/>
          <w:bCs/>
          <w:lang w:val="fr-FR"/>
        </w:rPr>
      </w:pPr>
      <w:r w:rsidRPr="00ED6B34">
        <w:rPr>
          <w:b/>
          <w:bCs/>
          <w:lang w:val="fr-FR"/>
        </w:rPr>
        <w:t xml:space="preserve">Ajustements non-financiers : </w:t>
      </w:r>
      <w:r w:rsidR="00E271E4" w:rsidRPr="00ED6B34">
        <w:rPr>
          <w:b/>
          <w:bCs/>
          <w:lang w:val="fr-FR"/>
        </w:rPr>
        <w:t>V</w:t>
      </w:r>
      <w:r w:rsidRPr="00ED6B34">
        <w:rPr>
          <w:b/>
          <w:bCs/>
          <w:lang w:val="fr-FR"/>
        </w:rPr>
        <w:t>euillez indiquer tout ajustement du projet qui n'a pas eu de conséquences financières</w:t>
      </w:r>
      <w:r w:rsidR="00E271E4" w:rsidRPr="00ED6B34">
        <w:rPr>
          <w:b/>
          <w:bCs/>
          <w:lang w:val="fr-FR"/>
        </w:rPr>
        <w:t>.</w:t>
      </w:r>
    </w:p>
    <w:p w14:paraId="49BA5C49" w14:textId="6C9EADAD" w:rsidR="00D0069C" w:rsidRPr="00ED6B34" w:rsidRDefault="00A844A3" w:rsidP="00DB42BE">
      <w:pPr>
        <w:ind w:left="360"/>
        <w:jc w:val="both"/>
        <w:rPr>
          <w:noProof/>
        </w:rPr>
      </w:pPr>
      <w:r w:rsidRPr="00DB42BE">
        <w:rPr>
          <w:noProof/>
          <w:highlight w:val="lightGray"/>
        </w:rPr>
        <w:t>N/</w:t>
      </w:r>
      <w:r w:rsidRPr="00902324">
        <w:rPr>
          <w:noProof/>
          <w:highlight w:val="lightGray"/>
        </w:rPr>
        <w:t>A</w:t>
      </w:r>
    </w:p>
    <w:p w14:paraId="17F93919" w14:textId="77777777" w:rsidR="00600B5F" w:rsidRPr="00ED6B34" w:rsidRDefault="00600B5F" w:rsidP="00600B5F"/>
    <w:p w14:paraId="4F10271C" w14:textId="77777777" w:rsidR="00600B5F" w:rsidRPr="00ED6B34" w:rsidRDefault="002D6DA0" w:rsidP="008F5A72">
      <w:pPr>
        <w:pStyle w:val="Listenabsatz"/>
        <w:numPr>
          <w:ilvl w:val="0"/>
          <w:numId w:val="3"/>
        </w:numPr>
        <w:rPr>
          <w:lang w:val="fr-FR"/>
        </w:rPr>
      </w:pPr>
      <w:r w:rsidRPr="00ED6B34">
        <w:rPr>
          <w:lang w:val="fr-FR"/>
        </w:rPr>
        <w:t>Veuillez sélectionner toutes les catégories qui décrivent les ajustements du projet (et inclure des détails dans les sections générales de ce rapport)</w:t>
      </w:r>
      <w:r w:rsidR="002B0F98" w:rsidRPr="00ED6B34">
        <w:rPr>
          <w:lang w:val="fr-FR"/>
        </w:rPr>
        <w:t xml:space="preserve"> : </w:t>
      </w:r>
    </w:p>
    <w:p w14:paraId="39B92B66" w14:textId="77777777" w:rsidR="00A6484C" w:rsidRPr="00ED6B34" w:rsidRDefault="00A6484C" w:rsidP="00A6484C">
      <w:pPr>
        <w:pStyle w:val="Listenabsatz"/>
        <w:rPr>
          <w:lang w:val="fr-FR"/>
        </w:rPr>
      </w:pPr>
    </w:p>
    <w:p w14:paraId="0FC2B3CF" w14:textId="3C4C941B" w:rsidR="00600B5F" w:rsidRPr="00ED6B34" w:rsidRDefault="00FC4498" w:rsidP="00600B5F">
      <w:pPr>
        <w:rPr>
          <w:lang w:val="fr-FR"/>
        </w:rPr>
      </w:pPr>
      <w:sdt>
        <w:sdtPr>
          <w:rPr>
            <w:lang w:val="fr-FR"/>
          </w:rPr>
          <w:id w:val="402566072"/>
        </w:sdtPr>
        <w:sdtEndPr/>
        <w:sdtContent>
          <w:r w:rsidR="00D0069C" w:rsidRPr="00ED6B34">
            <w:rPr>
              <w:rFonts w:ascii="MS Gothic" w:eastAsia="MS Gothic" w:hAnsi="MS Gothic" w:hint="eastAsia"/>
              <w:lang w:val="fr-FR"/>
            </w:rPr>
            <w:t>☒</w:t>
          </w:r>
        </w:sdtContent>
      </w:sdt>
      <w:r w:rsidR="00CB5499" w:rsidRPr="00ED6B34">
        <w:rPr>
          <w:lang w:val="fr-FR"/>
        </w:rPr>
        <w:t>Renforcer les capacités de gestion de crise et de communication</w:t>
      </w:r>
    </w:p>
    <w:p w14:paraId="3B78D82D" w14:textId="792D0B36" w:rsidR="009E329B" w:rsidRPr="00ED6B34" w:rsidRDefault="00FC4498" w:rsidP="009E329B">
      <w:pPr>
        <w:rPr>
          <w:lang w:val="fr-FR"/>
        </w:rPr>
      </w:pPr>
      <w:sdt>
        <w:sdtPr>
          <w:rPr>
            <w:lang w:val="fr-FR"/>
          </w:rPr>
          <w:id w:val="1706904896"/>
        </w:sdtPr>
        <w:sdtEndPr/>
        <w:sdtContent>
          <w:r w:rsidR="006D5097" w:rsidRPr="00ED6B34">
            <w:rPr>
              <w:lang w:val="fr-FR"/>
            </w:rPr>
            <w:t xml:space="preserve"> </w:t>
          </w:r>
          <w:sdt>
            <w:sdtPr>
              <w:rPr>
                <w:lang w:val="fr-FR"/>
              </w:rPr>
              <w:id w:val="-1354113681"/>
            </w:sdtPr>
            <w:sdtEndPr/>
            <w:sdtContent>
              <w:r w:rsidR="006D5097" w:rsidRPr="00ED6B34">
                <w:rPr>
                  <w:rFonts w:ascii="MS Gothic" w:eastAsia="MS Gothic" w:hAnsi="MS Gothic" w:hint="eastAsia"/>
                  <w:lang w:val="fr-FR"/>
                </w:rPr>
                <w:t>☒</w:t>
              </w:r>
            </w:sdtContent>
          </w:sdt>
        </w:sdtContent>
      </w:sdt>
      <w:r w:rsidR="004550A1">
        <w:rPr>
          <w:lang w:val="fr-FR"/>
        </w:rPr>
        <w:t xml:space="preserve"> </w:t>
      </w:r>
      <w:r w:rsidR="009E329B" w:rsidRPr="00ED6B34">
        <w:rPr>
          <w:lang w:val="fr-FR"/>
        </w:rPr>
        <w:t>Assurer une réponse et une reprise inclusives et équitables</w:t>
      </w:r>
    </w:p>
    <w:p w14:paraId="260A173B" w14:textId="38F37CE1" w:rsidR="00600B5F" w:rsidRPr="00ED6B34" w:rsidRDefault="00FC4498" w:rsidP="009E329B">
      <w:pPr>
        <w:rPr>
          <w:lang w:val="fr-FR"/>
        </w:rPr>
      </w:pPr>
      <w:sdt>
        <w:sdtPr>
          <w:rPr>
            <w:lang w:val="fr-FR"/>
          </w:rPr>
          <w:id w:val="1028075960"/>
        </w:sdtPr>
        <w:sdtEndPr/>
        <w:sdtContent>
          <w:r w:rsidR="00600B5F" w:rsidRPr="00ED6B34">
            <w:rPr>
              <w:rFonts w:ascii="MS Gothic" w:eastAsia="MS Gothic" w:hAnsi="MS Gothic" w:hint="eastAsia"/>
              <w:lang w:val="fr-FR"/>
            </w:rPr>
            <w:t>☐</w:t>
          </w:r>
        </w:sdtContent>
      </w:sdt>
      <w:r w:rsidR="00953C30" w:rsidRPr="00ED6B34">
        <w:rPr>
          <w:lang w:val="fr-FR"/>
        </w:rPr>
        <w:t>Renforcer la cohésion sociale intercommunautaire et la gestion des frontières</w:t>
      </w:r>
    </w:p>
    <w:p w14:paraId="6C2A06F3" w14:textId="537DF50E" w:rsidR="00600B5F" w:rsidRPr="00ED6B34" w:rsidRDefault="00FC4498" w:rsidP="00600B5F">
      <w:pPr>
        <w:rPr>
          <w:lang w:val="fr-FR"/>
        </w:rPr>
      </w:pPr>
      <w:sdt>
        <w:sdtPr>
          <w:rPr>
            <w:lang w:val="fr-FR"/>
          </w:rPr>
          <w:id w:val="1433550173"/>
        </w:sdtPr>
        <w:sdtEndPr/>
        <w:sdtContent>
          <w:r w:rsidR="00600B5F" w:rsidRPr="00ED6B34">
            <w:rPr>
              <w:rFonts w:ascii="MS Gothic" w:eastAsia="MS Gothic" w:hAnsi="MS Gothic" w:hint="eastAsia"/>
              <w:lang w:val="fr-FR"/>
            </w:rPr>
            <w:t>☐</w:t>
          </w:r>
        </w:sdtContent>
      </w:sdt>
      <w:r w:rsidR="00782959" w:rsidRPr="00ED6B34">
        <w:rPr>
          <w:lang w:val="fr-FR"/>
        </w:rPr>
        <w:t xml:space="preserve">Lutter contre le discours de haine et la stigmatisation et </w:t>
      </w:r>
      <w:proofErr w:type="spellStart"/>
      <w:r w:rsidR="00B330C2" w:rsidRPr="00ED6B34">
        <w:rPr>
          <w:lang w:val="fr-FR"/>
        </w:rPr>
        <w:t>répondreaux</w:t>
      </w:r>
      <w:proofErr w:type="spellEnd"/>
      <w:r w:rsidR="00782959" w:rsidRPr="00ED6B34">
        <w:rPr>
          <w:lang w:val="fr-FR"/>
        </w:rPr>
        <w:t xml:space="preserve"> traumatismes</w:t>
      </w:r>
    </w:p>
    <w:p w14:paraId="23599449" w14:textId="08FC8835" w:rsidR="00600B5F" w:rsidRPr="00ED6B34" w:rsidRDefault="00FC4498" w:rsidP="00600B5F">
      <w:pPr>
        <w:rPr>
          <w:lang w:val="fr-FR"/>
        </w:rPr>
      </w:pPr>
      <w:sdt>
        <w:sdtPr>
          <w:rPr>
            <w:lang w:val="fr-FR"/>
          </w:rPr>
          <w:id w:val="-197162951"/>
        </w:sdtPr>
        <w:sdtEndPr/>
        <w:sdtContent>
          <w:r w:rsidR="00600B5F" w:rsidRPr="00ED6B34">
            <w:rPr>
              <w:rFonts w:ascii="MS Gothic" w:eastAsia="MS Gothic" w:hAnsi="MS Gothic" w:hint="eastAsia"/>
              <w:lang w:val="fr-FR"/>
            </w:rPr>
            <w:t>☐</w:t>
          </w:r>
        </w:sdtContent>
      </w:sdt>
      <w:r w:rsidR="005D653E" w:rsidRPr="00ED6B34">
        <w:rPr>
          <w:lang w:val="fr-FR"/>
        </w:rPr>
        <w:t xml:space="preserve">Soutenir l'appel du SG </w:t>
      </w:r>
      <w:r w:rsidR="00970D92" w:rsidRPr="00ED6B34">
        <w:rPr>
          <w:lang w:val="fr-FR"/>
        </w:rPr>
        <w:t>au « </w:t>
      </w:r>
      <w:r w:rsidR="005D653E" w:rsidRPr="00ED6B34">
        <w:rPr>
          <w:lang w:val="fr-FR"/>
        </w:rPr>
        <w:t>cessez-le-feu mondial</w:t>
      </w:r>
      <w:r w:rsidR="00970D92" w:rsidRPr="00ED6B34">
        <w:rPr>
          <w:lang w:val="fr-FR"/>
        </w:rPr>
        <w:t> »</w:t>
      </w:r>
    </w:p>
    <w:p w14:paraId="3E9A7FAC" w14:textId="77777777" w:rsidR="00600B5F" w:rsidRPr="00ED6B34" w:rsidRDefault="00FC4498" w:rsidP="00600B5F">
      <w:pPr>
        <w:rPr>
          <w:lang w:val="fr-FR"/>
        </w:rPr>
      </w:pPr>
      <w:sdt>
        <w:sdtPr>
          <w:rPr>
            <w:lang w:val="fr-FR"/>
          </w:rPr>
          <w:id w:val="810906333"/>
        </w:sdtPr>
        <w:sdtEndPr/>
        <w:sdtContent>
          <w:r w:rsidR="00600B5F" w:rsidRPr="00ED6B34">
            <w:rPr>
              <w:rFonts w:ascii="MS Gothic" w:eastAsia="MS Gothic" w:hAnsi="MS Gothic" w:hint="eastAsia"/>
              <w:lang w:val="fr-FR"/>
            </w:rPr>
            <w:t>☐</w:t>
          </w:r>
        </w:sdtContent>
      </w:sdt>
      <w:r w:rsidR="00970D92" w:rsidRPr="00ED6B34">
        <w:rPr>
          <w:lang w:val="fr-FR"/>
        </w:rPr>
        <w:t>Autres</w:t>
      </w:r>
      <w:r w:rsidR="00600B5F" w:rsidRPr="00ED6B34">
        <w:rPr>
          <w:lang w:val="fr-FR"/>
        </w:rPr>
        <w:t xml:space="preserve"> (</w:t>
      </w:r>
      <w:r w:rsidR="00970D92" w:rsidRPr="00ED6B34">
        <w:rPr>
          <w:lang w:val="fr-FR"/>
        </w:rPr>
        <w:t xml:space="preserve">veuillez </w:t>
      </w:r>
      <w:r w:rsidR="00B82E71" w:rsidRPr="00ED6B34">
        <w:rPr>
          <w:lang w:val="fr-FR"/>
        </w:rPr>
        <w:t>préciser</w:t>
      </w:r>
      <w:r w:rsidR="00600B5F" w:rsidRPr="00ED6B34">
        <w:rPr>
          <w:lang w:val="fr-FR"/>
        </w:rPr>
        <w:t>):</w:t>
      </w:r>
      <w:r w:rsidR="00FE0F8C" w:rsidRPr="00ED6B34">
        <w:fldChar w:fldCharType="begin">
          <w:ffData>
            <w:name w:val=""/>
            <w:enabled/>
            <w:calcOnExit w:val="0"/>
            <w:textInput>
              <w:maxLength w:val="1500"/>
              <w:format w:val="FIRST CAPITAL"/>
            </w:textInput>
          </w:ffData>
        </w:fldChar>
      </w:r>
      <w:r w:rsidR="00600B5F" w:rsidRPr="00ED6B34">
        <w:rPr>
          <w:lang w:val="fr-FR"/>
        </w:rPr>
        <w:instrText xml:space="preserve"> FORMTEXT </w:instrText>
      </w:r>
      <w:r w:rsidR="00FE0F8C" w:rsidRPr="00ED6B34">
        <w:fldChar w:fldCharType="separate"/>
      </w:r>
      <w:r w:rsidR="00600B5F" w:rsidRPr="00ED6B34">
        <w:rPr>
          <w:noProof/>
        </w:rPr>
        <w:t> </w:t>
      </w:r>
      <w:r w:rsidR="00600B5F" w:rsidRPr="00ED6B34">
        <w:rPr>
          <w:noProof/>
        </w:rPr>
        <w:t> </w:t>
      </w:r>
      <w:r w:rsidR="00600B5F" w:rsidRPr="00ED6B34">
        <w:rPr>
          <w:noProof/>
        </w:rPr>
        <w:t> </w:t>
      </w:r>
      <w:r w:rsidR="00600B5F" w:rsidRPr="00ED6B34">
        <w:rPr>
          <w:noProof/>
        </w:rPr>
        <w:t> </w:t>
      </w:r>
      <w:r w:rsidR="00600B5F" w:rsidRPr="00ED6B34">
        <w:rPr>
          <w:noProof/>
        </w:rPr>
        <w:t> </w:t>
      </w:r>
      <w:r w:rsidR="00FE0F8C" w:rsidRPr="00ED6B34">
        <w:fldChar w:fldCharType="end"/>
      </w:r>
    </w:p>
    <w:p w14:paraId="4820CA71" w14:textId="77777777" w:rsidR="00600B5F" w:rsidRPr="00ED6B34" w:rsidRDefault="00600B5F" w:rsidP="00600B5F">
      <w:pPr>
        <w:ind w:left="2160"/>
        <w:rPr>
          <w:lang w:val="fr-FR"/>
        </w:rPr>
      </w:pPr>
    </w:p>
    <w:p w14:paraId="2D032C8A" w14:textId="77777777" w:rsidR="00600B5F" w:rsidRPr="00ED6B34" w:rsidRDefault="00FD0105" w:rsidP="00600B5F">
      <w:pPr>
        <w:rPr>
          <w:lang w:val="fr-FR"/>
        </w:rPr>
      </w:pPr>
      <w:r w:rsidRPr="00ED6B34">
        <w:rPr>
          <w:lang w:val="fr-FR"/>
        </w:rPr>
        <w:t>Le cas échéant, veuillez partager une histoire de réussite COVID-19 de ce projet (</w:t>
      </w:r>
      <w:r w:rsidR="004C4272" w:rsidRPr="00ED6B34">
        <w:rPr>
          <w:i/>
          <w:iCs/>
          <w:lang w:val="fr-FR"/>
        </w:rPr>
        <w:t xml:space="preserve">i.e. </w:t>
      </w:r>
      <w:r w:rsidR="00D61557" w:rsidRPr="00ED6B34">
        <w:rPr>
          <w:i/>
          <w:iCs/>
          <w:lang w:val="fr-FR"/>
        </w:rPr>
        <w:t>comment les ajustements de ce projet ont fait une différence et ont contribué à une réponse positive à la pandémie / empêché les tensions ou la violence liées à la pandémie, etc</w:t>
      </w:r>
      <w:r w:rsidR="00600B5F" w:rsidRPr="00ED6B34">
        <w:rPr>
          <w:i/>
          <w:iCs/>
          <w:lang w:val="fr-FR"/>
        </w:rPr>
        <w:t>.</w:t>
      </w:r>
      <w:r w:rsidR="00600B5F" w:rsidRPr="00ED6B34">
        <w:rPr>
          <w:lang w:val="fr-FR"/>
        </w:rPr>
        <w:t>)</w:t>
      </w:r>
    </w:p>
    <w:p w14:paraId="6DD07BA7" w14:textId="77777777" w:rsidR="00600B5F" w:rsidRPr="00ED6B34" w:rsidRDefault="00600B5F" w:rsidP="00600B5F">
      <w:pPr>
        <w:rPr>
          <w:lang w:val="fr-FR"/>
        </w:rPr>
      </w:pPr>
    </w:p>
    <w:p w14:paraId="033A1698" w14:textId="2558F2FD" w:rsidR="00600B5F" w:rsidRPr="00ED6B34" w:rsidRDefault="00FE0F8C" w:rsidP="009A3BC9">
      <w:pPr>
        <w:rPr>
          <w:lang w:val="fr-FR"/>
        </w:rPr>
      </w:pPr>
      <w:r w:rsidRPr="00ED6B34">
        <w:fldChar w:fldCharType="begin">
          <w:ffData>
            <w:name w:val=""/>
            <w:enabled/>
            <w:calcOnExit w:val="0"/>
            <w:textInput>
              <w:default w:val="N/A"/>
              <w:maxLength w:val="2000"/>
              <w:format w:val="FIRST CAPITAL"/>
            </w:textInput>
          </w:ffData>
        </w:fldChar>
      </w:r>
      <w:r w:rsidR="00A844A3" w:rsidRPr="00ED6B34">
        <w:rPr>
          <w:lang w:val="fr-FR"/>
        </w:rPr>
        <w:instrText xml:space="preserve"> FORMTEXT </w:instrText>
      </w:r>
      <w:r w:rsidRPr="00ED6B34">
        <w:fldChar w:fldCharType="separate"/>
      </w:r>
      <w:r w:rsidR="00A844A3" w:rsidRPr="00ED6B34">
        <w:rPr>
          <w:noProof/>
          <w:lang w:val="fr-FR"/>
        </w:rPr>
        <w:t>N/A</w:t>
      </w:r>
      <w:r w:rsidRPr="00ED6B34">
        <w:fldChar w:fldCharType="end"/>
      </w:r>
    </w:p>
    <w:p w14:paraId="668170E6" w14:textId="77777777" w:rsidR="004E3B3E" w:rsidRPr="00ED6B34" w:rsidRDefault="004E3B3E" w:rsidP="0078600B">
      <w:pPr>
        <w:rPr>
          <w:lang w:val="fr-FR"/>
        </w:rPr>
        <w:sectPr w:rsidR="004E3B3E" w:rsidRPr="00ED6B34" w:rsidSect="0078600B">
          <w:pgSz w:w="11906" w:h="16838"/>
          <w:pgMar w:top="1440" w:right="1800" w:bottom="1440" w:left="1800" w:header="720" w:footer="720" w:gutter="0"/>
          <w:cols w:space="720"/>
          <w:docGrid w:linePitch="360"/>
        </w:sectPr>
      </w:pPr>
    </w:p>
    <w:p w14:paraId="0ED523CB" w14:textId="77777777" w:rsidR="00DF24B9" w:rsidRPr="00ED6B34" w:rsidRDefault="00DF24B9" w:rsidP="00675507">
      <w:pPr>
        <w:pStyle w:val="HTMLVorformatiert"/>
        <w:shd w:val="clear" w:color="auto" w:fill="FFFFFF"/>
        <w:rPr>
          <w:rFonts w:ascii="Times New Roman" w:hAnsi="Times New Roman" w:cs="Times New Roman"/>
          <w:b/>
          <w:sz w:val="24"/>
          <w:szCs w:val="24"/>
          <w:u w:val="single"/>
          <w:lang w:val="fr-FR" w:eastAsia="en-GB"/>
        </w:rPr>
      </w:pPr>
    </w:p>
    <w:p w14:paraId="21CACD02" w14:textId="77777777" w:rsidR="00DF24B9" w:rsidRPr="00ED6B34" w:rsidRDefault="00DF24B9" w:rsidP="00675507">
      <w:pPr>
        <w:pStyle w:val="HTMLVorformatiert"/>
        <w:shd w:val="clear" w:color="auto" w:fill="FFFFFF"/>
        <w:rPr>
          <w:rFonts w:ascii="Times New Roman" w:hAnsi="Times New Roman" w:cs="Times New Roman"/>
          <w:b/>
          <w:sz w:val="24"/>
          <w:szCs w:val="24"/>
          <w:u w:val="single"/>
          <w:lang w:val="fr-FR" w:eastAsia="en-GB"/>
        </w:rPr>
      </w:pPr>
    </w:p>
    <w:p w14:paraId="7C278A48" w14:textId="77777777" w:rsidR="00675507" w:rsidRPr="00ED6B34" w:rsidRDefault="00675507" w:rsidP="00675507">
      <w:pPr>
        <w:pStyle w:val="HTMLVorformatiert"/>
        <w:shd w:val="clear" w:color="auto" w:fill="FFFFFF"/>
        <w:rPr>
          <w:rFonts w:ascii="Times New Roman" w:hAnsi="Times New Roman" w:cs="Times New Roman"/>
          <w:b/>
          <w:sz w:val="24"/>
          <w:szCs w:val="24"/>
          <w:u w:val="single"/>
          <w:lang w:val="fr-FR" w:eastAsia="en-GB"/>
        </w:rPr>
      </w:pPr>
      <w:r w:rsidRPr="00ED6B34">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ED6B34">
        <w:rPr>
          <w:rFonts w:ascii="Times New Roman" w:hAnsi="Times New Roman" w:cs="Times New Roman"/>
          <w:b/>
          <w:sz w:val="24"/>
          <w:szCs w:val="24"/>
          <w:u w:val="single"/>
          <w:lang w:val="fr-FR" w:eastAsia="en-GB"/>
        </w:rPr>
        <w:t>INDICATEURS:</w:t>
      </w:r>
      <w:proofErr w:type="gramEnd"/>
    </w:p>
    <w:p w14:paraId="13F0F414" w14:textId="77777777" w:rsidR="00675507" w:rsidRPr="00ED6B34" w:rsidRDefault="00675507" w:rsidP="00675507">
      <w:pPr>
        <w:pStyle w:val="HTMLVorformatiert"/>
        <w:shd w:val="clear" w:color="auto" w:fill="FFFFFF"/>
        <w:rPr>
          <w:rFonts w:ascii="Times New Roman" w:hAnsi="Times New Roman" w:cs="Times New Roman"/>
          <w:b/>
          <w:sz w:val="24"/>
          <w:szCs w:val="24"/>
          <w:u w:val="single"/>
          <w:lang w:val="fr-FR" w:eastAsia="en-GB"/>
        </w:rPr>
      </w:pPr>
    </w:p>
    <w:p w14:paraId="1DD069ED" w14:textId="77777777" w:rsidR="00675507" w:rsidRPr="00ED6B34" w:rsidRDefault="00675507" w:rsidP="00675507">
      <w:pPr>
        <w:pStyle w:val="HTMLVorformatiert"/>
        <w:shd w:val="clear" w:color="auto" w:fill="FFFFFF"/>
        <w:rPr>
          <w:rFonts w:ascii="inherit" w:hAnsi="inherit"/>
          <w:sz w:val="22"/>
          <w:szCs w:val="22"/>
          <w:lang w:val="fr-FR"/>
        </w:rPr>
      </w:pPr>
      <w:r w:rsidRPr="00ED6B34">
        <w:rPr>
          <w:rFonts w:ascii="inherit" w:hAnsi="inherit"/>
          <w:sz w:val="22"/>
          <w:szCs w:val="22"/>
          <w:lang w:val="fr-FR"/>
        </w:rPr>
        <w:t>Utilise</w:t>
      </w:r>
      <w:r w:rsidR="00826923" w:rsidRPr="00ED6B34">
        <w:rPr>
          <w:rFonts w:ascii="inherit" w:hAnsi="inherit"/>
          <w:sz w:val="22"/>
          <w:szCs w:val="22"/>
          <w:lang w:val="fr-FR"/>
        </w:rPr>
        <w:t>r</w:t>
      </w:r>
      <w:r w:rsidRPr="00ED6B34">
        <w:rPr>
          <w:rFonts w:ascii="inherit" w:hAnsi="inherit"/>
          <w:sz w:val="22"/>
          <w:szCs w:val="22"/>
          <w:lang w:val="fr-FR"/>
        </w:rPr>
        <w:t xml:space="preserve"> le cadre de résultats du projet conformément au document de projet approuvé ou à toute modification </w:t>
      </w:r>
      <w:r w:rsidR="00826923" w:rsidRPr="00ED6B34">
        <w:rPr>
          <w:rFonts w:ascii="inherit" w:hAnsi="inherit"/>
          <w:sz w:val="22"/>
          <w:szCs w:val="22"/>
          <w:lang w:val="fr-FR"/>
        </w:rPr>
        <w:t xml:space="preserve">et </w:t>
      </w:r>
      <w:r w:rsidRPr="00ED6B34">
        <w:rPr>
          <w:rFonts w:ascii="inherit" w:hAnsi="inherit"/>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5F7C6796" w14:textId="77777777" w:rsidR="00675507" w:rsidRPr="00ED6B34"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ED6B34" w:rsidRPr="009740FB" w14:paraId="696899A2" w14:textId="77777777" w:rsidTr="681F2457">
        <w:trPr>
          <w:tblHeader/>
        </w:trPr>
        <w:tc>
          <w:tcPr>
            <w:tcW w:w="1530" w:type="dxa"/>
          </w:tcPr>
          <w:p w14:paraId="429ED210" w14:textId="77777777" w:rsidR="00826923" w:rsidRPr="00ED6B34" w:rsidRDefault="00826923" w:rsidP="003B4F6E">
            <w:pPr>
              <w:jc w:val="center"/>
              <w:rPr>
                <w:b/>
                <w:sz w:val="20"/>
                <w:szCs w:val="20"/>
                <w:lang w:val="fr-FR" w:eastAsia="en-US"/>
              </w:rPr>
            </w:pPr>
          </w:p>
        </w:tc>
        <w:tc>
          <w:tcPr>
            <w:tcW w:w="2070" w:type="dxa"/>
            <w:shd w:val="clear" w:color="auto" w:fill="EEECE1"/>
          </w:tcPr>
          <w:p w14:paraId="61ED9138" w14:textId="77777777" w:rsidR="00826923" w:rsidRPr="00ED6B34" w:rsidRDefault="00826923" w:rsidP="003B4F6E">
            <w:pPr>
              <w:jc w:val="center"/>
              <w:rPr>
                <w:b/>
                <w:sz w:val="20"/>
                <w:szCs w:val="20"/>
                <w:lang w:val="fr-FR" w:eastAsia="en-US"/>
              </w:rPr>
            </w:pPr>
            <w:r w:rsidRPr="00ED6B34">
              <w:rPr>
                <w:b/>
                <w:sz w:val="20"/>
                <w:szCs w:val="20"/>
                <w:lang w:val="fr-FR" w:eastAsia="en-US"/>
              </w:rPr>
              <w:t>Indicateurs</w:t>
            </w:r>
          </w:p>
        </w:tc>
        <w:tc>
          <w:tcPr>
            <w:tcW w:w="1530" w:type="dxa"/>
            <w:shd w:val="clear" w:color="auto" w:fill="EEECE1"/>
          </w:tcPr>
          <w:p w14:paraId="71E8F046" w14:textId="46253B38" w:rsidR="00826923" w:rsidRPr="00ED6B34" w:rsidRDefault="00826923" w:rsidP="003B4F6E">
            <w:pPr>
              <w:jc w:val="center"/>
              <w:rPr>
                <w:b/>
                <w:sz w:val="20"/>
                <w:szCs w:val="20"/>
                <w:lang w:val="fr-FR" w:eastAsia="en-US"/>
              </w:rPr>
            </w:pPr>
            <w:r w:rsidRPr="00ED6B34">
              <w:rPr>
                <w:b/>
                <w:sz w:val="20"/>
                <w:szCs w:val="20"/>
                <w:lang w:val="fr-FR" w:eastAsia="en-US"/>
              </w:rPr>
              <w:t xml:space="preserve">Base de </w:t>
            </w:r>
            <w:r w:rsidR="00985356" w:rsidRPr="00ED6B34">
              <w:rPr>
                <w:b/>
                <w:sz w:val="20"/>
                <w:szCs w:val="20"/>
                <w:lang w:val="fr-FR" w:eastAsia="en-US"/>
              </w:rPr>
              <w:t>données</w:t>
            </w:r>
            <w:r w:rsidR="00456177" w:rsidRPr="00ED6B34">
              <w:rPr>
                <w:b/>
                <w:sz w:val="20"/>
                <w:szCs w:val="20"/>
                <w:lang w:val="fr-FR" w:eastAsia="en-US"/>
              </w:rPr>
              <w:t xml:space="preserve"> (202</w:t>
            </w:r>
            <w:r w:rsidR="00BC7957" w:rsidRPr="00ED6B34">
              <w:rPr>
                <w:b/>
                <w:sz w:val="20"/>
                <w:szCs w:val="20"/>
                <w:lang w:val="fr-FR" w:eastAsia="en-US"/>
              </w:rPr>
              <w:t>0</w:t>
            </w:r>
            <w:r w:rsidR="00456177" w:rsidRPr="00ED6B34">
              <w:rPr>
                <w:b/>
                <w:sz w:val="20"/>
                <w:szCs w:val="20"/>
                <w:lang w:val="fr-FR" w:eastAsia="en-US"/>
              </w:rPr>
              <w:t>)</w:t>
            </w:r>
          </w:p>
        </w:tc>
        <w:tc>
          <w:tcPr>
            <w:tcW w:w="1620" w:type="dxa"/>
            <w:shd w:val="clear" w:color="auto" w:fill="EEECE1"/>
          </w:tcPr>
          <w:p w14:paraId="1056B2F5" w14:textId="77777777" w:rsidR="00826923" w:rsidRPr="00ED6B34" w:rsidRDefault="00826923" w:rsidP="003B4F6E">
            <w:pPr>
              <w:jc w:val="center"/>
              <w:rPr>
                <w:b/>
                <w:sz w:val="20"/>
                <w:szCs w:val="20"/>
                <w:lang w:val="fr-FR" w:eastAsia="en-US"/>
              </w:rPr>
            </w:pPr>
            <w:r w:rsidRPr="00ED6B34">
              <w:rPr>
                <w:b/>
                <w:sz w:val="20"/>
                <w:szCs w:val="20"/>
                <w:lang w:val="fr-FR" w:eastAsia="en-US"/>
              </w:rPr>
              <w:t>Cible de fin de projet</w:t>
            </w:r>
          </w:p>
        </w:tc>
        <w:tc>
          <w:tcPr>
            <w:tcW w:w="2070" w:type="dxa"/>
          </w:tcPr>
          <w:p w14:paraId="691C087D" w14:textId="77777777" w:rsidR="00826923" w:rsidRPr="00ED6B34" w:rsidRDefault="00826923" w:rsidP="003B4F6E">
            <w:pPr>
              <w:jc w:val="center"/>
              <w:rPr>
                <w:b/>
                <w:sz w:val="20"/>
                <w:szCs w:val="20"/>
                <w:lang w:val="fr-FR" w:eastAsia="en-US"/>
              </w:rPr>
            </w:pPr>
            <w:r w:rsidRPr="00ED6B34">
              <w:rPr>
                <w:b/>
                <w:sz w:val="20"/>
                <w:szCs w:val="20"/>
                <w:lang w:val="fr-FR" w:eastAsia="en-US"/>
              </w:rPr>
              <w:t xml:space="preserve">Etapes d’indicateur/ </w:t>
            </w:r>
            <w:r w:rsidR="00985356" w:rsidRPr="00ED6B34">
              <w:rPr>
                <w:b/>
                <w:sz w:val="20"/>
                <w:szCs w:val="20"/>
                <w:lang w:val="fr-FR" w:eastAsia="en-US"/>
              </w:rPr>
              <w:t>Milestone</w:t>
            </w:r>
          </w:p>
        </w:tc>
        <w:tc>
          <w:tcPr>
            <w:tcW w:w="2070" w:type="dxa"/>
          </w:tcPr>
          <w:p w14:paraId="737E990B" w14:textId="77777777" w:rsidR="00826923" w:rsidRPr="00ED6B34" w:rsidRDefault="761F9DF7" w:rsidP="508781EE">
            <w:pPr>
              <w:jc w:val="center"/>
              <w:rPr>
                <w:b/>
                <w:bCs/>
                <w:sz w:val="20"/>
                <w:szCs w:val="20"/>
                <w:lang w:val="fr-FR" w:eastAsia="en-US"/>
              </w:rPr>
            </w:pPr>
            <w:r w:rsidRPr="00ED6B34">
              <w:rPr>
                <w:b/>
                <w:bCs/>
                <w:sz w:val="20"/>
                <w:szCs w:val="20"/>
                <w:lang w:val="fr-FR" w:eastAsia="en-US"/>
              </w:rPr>
              <w:t>Progrès actuel de l’indicateur</w:t>
            </w:r>
          </w:p>
        </w:tc>
        <w:tc>
          <w:tcPr>
            <w:tcW w:w="4140" w:type="dxa"/>
          </w:tcPr>
          <w:p w14:paraId="5AC241F1" w14:textId="77777777" w:rsidR="00826923" w:rsidRPr="00ED6B34" w:rsidRDefault="00826923" w:rsidP="003B4F6E">
            <w:pPr>
              <w:jc w:val="center"/>
              <w:rPr>
                <w:b/>
                <w:sz w:val="20"/>
                <w:szCs w:val="20"/>
                <w:lang w:val="fr-FR" w:eastAsia="en-US"/>
              </w:rPr>
            </w:pPr>
            <w:r w:rsidRPr="00ED6B34">
              <w:rPr>
                <w:b/>
                <w:sz w:val="20"/>
                <w:szCs w:val="20"/>
                <w:lang w:val="fr-FR" w:eastAsia="en-US"/>
              </w:rPr>
              <w:t>Raisons pour les retards ou changements</w:t>
            </w:r>
          </w:p>
        </w:tc>
      </w:tr>
      <w:tr w:rsidR="00ED6B34" w:rsidRPr="009740FB" w14:paraId="2CA94976" w14:textId="77777777" w:rsidTr="681F2457">
        <w:trPr>
          <w:trHeight w:val="548"/>
        </w:trPr>
        <w:tc>
          <w:tcPr>
            <w:tcW w:w="1530" w:type="dxa"/>
            <w:vMerge w:val="restart"/>
          </w:tcPr>
          <w:p w14:paraId="6CDAC8F2" w14:textId="77777777" w:rsidR="00CB5539" w:rsidRPr="00ED6B34" w:rsidRDefault="00CB5539" w:rsidP="00CB5539">
            <w:pPr>
              <w:rPr>
                <w:b/>
                <w:sz w:val="20"/>
                <w:szCs w:val="20"/>
                <w:lang w:val="fr-FR" w:eastAsia="en-US"/>
              </w:rPr>
            </w:pPr>
            <w:r w:rsidRPr="00ED6B34">
              <w:rPr>
                <w:b/>
                <w:sz w:val="20"/>
                <w:szCs w:val="20"/>
                <w:lang w:val="fr-FR" w:eastAsia="en-US"/>
              </w:rPr>
              <w:t>Résultat 1</w:t>
            </w:r>
          </w:p>
          <w:p w14:paraId="205BD7BD" w14:textId="77777777" w:rsidR="00CB5539" w:rsidRPr="00ED6B34" w:rsidRDefault="00CB5539" w:rsidP="00CB5539">
            <w:pPr>
              <w:rPr>
                <w:b/>
                <w:sz w:val="20"/>
                <w:szCs w:val="20"/>
                <w:lang w:val="fr-FR" w:eastAsia="en-US"/>
              </w:rPr>
            </w:pPr>
            <w:r w:rsidRPr="00ED6B34">
              <w:rPr>
                <w:sz w:val="20"/>
                <w:szCs w:val="20"/>
                <w:lang w:val="fr-FR"/>
              </w:rPr>
              <w:t>Les causes de l’impunité et les perceptions des acteurs dans les régions de Ségou et Mopti sont connues et un cadre de recherche des solutions répondant à la demande sociale de justice est mis en place à travers un dialogue multi-acteurs.</w:t>
            </w:r>
          </w:p>
        </w:tc>
        <w:tc>
          <w:tcPr>
            <w:tcW w:w="2070" w:type="dxa"/>
            <w:shd w:val="clear" w:color="auto" w:fill="EEECE1"/>
          </w:tcPr>
          <w:p w14:paraId="7E702FD1" w14:textId="77777777" w:rsidR="00CB5539" w:rsidRPr="00ED6B34" w:rsidRDefault="00CB5539" w:rsidP="00CB5539">
            <w:pPr>
              <w:jc w:val="both"/>
              <w:rPr>
                <w:b/>
                <w:bCs/>
                <w:sz w:val="20"/>
                <w:szCs w:val="20"/>
                <w:lang w:val="fr-FR" w:eastAsia="en-US"/>
              </w:rPr>
            </w:pPr>
            <w:bookmarkStart w:id="19" w:name="_Hlk73956713"/>
            <w:r w:rsidRPr="00ED6B34">
              <w:rPr>
                <w:b/>
                <w:bCs/>
                <w:sz w:val="20"/>
                <w:szCs w:val="20"/>
                <w:lang w:val="fr-FR" w:eastAsia="en-US"/>
              </w:rPr>
              <w:t>Indicateur 1.a</w:t>
            </w:r>
          </w:p>
          <w:p w14:paraId="30E7740A" w14:textId="77777777" w:rsidR="00CB5539" w:rsidRPr="00ED6B34" w:rsidRDefault="00CB5539" w:rsidP="00CB5539">
            <w:pPr>
              <w:rPr>
                <w:sz w:val="20"/>
                <w:szCs w:val="20"/>
                <w:lang w:val="fr-FR"/>
              </w:rPr>
            </w:pPr>
            <w:r w:rsidRPr="00ED6B34">
              <w:rPr>
                <w:sz w:val="20"/>
                <w:szCs w:val="20"/>
                <w:lang w:val="fr-FR"/>
              </w:rPr>
              <w:t>Mesure dans laquelle le point de vue des acteurs de la justice sur les questions traitées dans les espaces de dialogue et échange ont changé après avoir entendu/cherché à comprendre d’autres points de vue</w:t>
            </w:r>
          </w:p>
          <w:bookmarkEnd w:id="19"/>
          <w:p w14:paraId="3A5B7B13" w14:textId="77777777" w:rsidR="00CB5539" w:rsidRPr="00ED6B34" w:rsidRDefault="00CB5539" w:rsidP="00CB5539">
            <w:pPr>
              <w:jc w:val="both"/>
              <w:rPr>
                <w:sz w:val="20"/>
                <w:szCs w:val="20"/>
                <w:lang w:val="fr-FR" w:eastAsia="en-US"/>
              </w:rPr>
            </w:pPr>
          </w:p>
        </w:tc>
        <w:tc>
          <w:tcPr>
            <w:tcW w:w="1530" w:type="dxa"/>
            <w:shd w:val="clear" w:color="auto" w:fill="EEECE1"/>
          </w:tcPr>
          <w:p w14:paraId="39287366" w14:textId="77777777" w:rsidR="00551F7B" w:rsidRPr="008640DA" w:rsidRDefault="00551F7B" w:rsidP="00551F7B">
            <w:pPr>
              <w:rPr>
                <w:bCs/>
                <w:sz w:val="20"/>
                <w:szCs w:val="20"/>
                <w:lang w:val="fr-FR"/>
              </w:rPr>
            </w:pPr>
            <w:r w:rsidRPr="008640DA">
              <w:rPr>
                <w:bCs/>
                <w:sz w:val="20"/>
                <w:szCs w:val="20"/>
                <w:lang w:val="fr-FR"/>
              </w:rPr>
              <w:t>4</w:t>
            </w:r>
            <w:r>
              <w:rPr>
                <w:bCs/>
                <w:sz w:val="20"/>
                <w:szCs w:val="20"/>
                <w:lang w:val="fr-FR"/>
              </w:rPr>
              <w:t>7</w:t>
            </w:r>
            <w:r w:rsidRPr="008640DA">
              <w:rPr>
                <w:bCs/>
                <w:sz w:val="20"/>
                <w:szCs w:val="20"/>
                <w:lang w:val="fr-FR"/>
              </w:rPr>
              <w:t xml:space="preserve">% des personnes interrogées ne rapporteraient pas un crime à la justice formelle, dont 26% à cause de la corruption et 21% car ils </w:t>
            </w:r>
            <w:proofErr w:type="gramStart"/>
            <w:r w:rsidRPr="008640DA">
              <w:rPr>
                <w:bCs/>
                <w:sz w:val="20"/>
                <w:szCs w:val="20"/>
                <w:lang w:val="fr-FR"/>
              </w:rPr>
              <w:t>ont peur</w:t>
            </w:r>
            <w:proofErr w:type="gramEnd"/>
            <w:r w:rsidRPr="008640DA">
              <w:rPr>
                <w:bCs/>
                <w:sz w:val="20"/>
                <w:szCs w:val="20"/>
                <w:lang w:val="fr-FR"/>
              </w:rPr>
              <w:t xml:space="preserve"> d’aller vers ces acteurs </w:t>
            </w:r>
          </w:p>
          <w:p w14:paraId="5FDFE625" w14:textId="77777777" w:rsidR="00551F7B" w:rsidRPr="008640DA" w:rsidRDefault="00551F7B" w:rsidP="00551F7B">
            <w:pPr>
              <w:rPr>
                <w:bCs/>
                <w:sz w:val="20"/>
                <w:szCs w:val="20"/>
                <w:lang w:val="fr-FR"/>
              </w:rPr>
            </w:pPr>
          </w:p>
          <w:p w14:paraId="2B8D0E55" w14:textId="77777777" w:rsidR="00551F7B" w:rsidRPr="008640DA" w:rsidRDefault="00551F7B" w:rsidP="00551F7B">
            <w:pPr>
              <w:rPr>
                <w:bCs/>
                <w:sz w:val="20"/>
                <w:szCs w:val="20"/>
                <w:lang w:val="fr-FR"/>
              </w:rPr>
            </w:pPr>
            <w:proofErr w:type="gramStart"/>
            <w:r w:rsidRPr="008640DA">
              <w:rPr>
                <w:bCs/>
                <w:sz w:val="20"/>
                <w:szCs w:val="20"/>
                <w:lang w:val="fr-FR"/>
              </w:rPr>
              <w:t>Si ils</w:t>
            </w:r>
            <w:proofErr w:type="gramEnd"/>
            <w:r w:rsidRPr="008640DA">
              <w:rPr>
                <w:bCs/>
                <w:sz w:val="20"/>
                <w:szCs w:val="20"/>
                <w:lang w:val="fr-FR"/>
              </w:rPr>
              <w:t xml:space="preserve"> ont besoin d’informations sur les procédures judiciaires, les justiciables sont 90% à ne </w:t>
            </w:r>
            <w:r w:rsidRPr="008640DA">
              <w:rPr>
                <w:bCs/>
                <w:sz w:val="20"/>
                <w:szCs w:val="20"/>
                <w:u w:val="single"/>
                <w:lang w:val="fr-FR"/>
              </w:rPr>
              <w:t>pas</w:t>
            </w:r>
            <w:r w:rsidRPr="008640DA">
              <w:rPr>
                <w:bCs/>
                <w:sz w:val="20"/>
                <w:szCs w:val="20"/>
                <w:lang w:val="fr-FR"/>
              </w:rPr>
              <w:t xml:space="preserve"> s’adresser au bureau d’assistance </w:t>
            </w:r>
            <w:r w:rsidRPr="008640DA">
              <w:rPr>
                <w:bCs/>
                <w:sz w:val="20"/>
                <w:szCs w:val="20"/>
                <w:lang w:val="fr-FR"/>
              </w:rPr>
              <w:lastRenderedPageBreak/>
              <w:t xml:space="preserve">juridique et judiciaire, 80% à ne </w:t>
            </w:r>
            <w:r w:rsidRPr="008640DA">
              <w:rPr>
                <w:bCs/>
                <w:sz w:val="20"/>
                <w:szCs w:val="20"/>
                <w:u w:val="single"/>
                <w:lang w:val="fr-FR"/>
              </w:rPr>
              <w:t>pas</w:t>
            </w:r>
            <w:r w:rsidRPr="008640DA">
              <w:rPr>
                <w:bCs/>
                <w:sz w:val="20"/>
                <w:szCs w:val="20"/>
                <w:lang w:val="fr-FR"/>
              </w:rPr>
              <w:t xml:space="preserve"> s’adresser à la police ou la gendarmerie, et 80% à ne </w:t>
            </w:r>
            <w:r w:rsidRPr="008640DA">
              <w:rPr>
                <w:bCs/>
                <w:sz w:val="20"/>
                <w:szCs w:val="20"/>
                <w:u w:val="single"/>
                <w:lang w:val="fr-FR"/>
              </w:rPr>
              <w:t>pas</w:t>
            </w:r>
            <w:r w:rsidRPr="008640DA">
              <w:rPr>
                <w:bCs/>
                <w:sz w:val="20"/>
                <w:szCs w:val="20"/>
                <w:lang w:val="fr-FR"/>
              </w:rPr>
              <w:t xml:space="preserve"> s’adresser au tribunal.</w:t>
            </w:r>
          </w:p>
          <w:p w14:paraId="5D6B9424" w14:textId="77777777" w:rsidR="00551F7B" w:rsidRPr="008640DA" w:rsidRDefault="00551F7B" w:rsidP="00551F7B">
            <w:pPr>
              <w:rPr>
                <w:bCs/>
                <w:sz w:val="20"/>
                <w:szCs w:val="20"/>
                <w:lang w:val="fr-FR"/>
              </w:rPr>
            </w:pPr>
          </w:p>
          <w:p w14:paraId="031F0AF0" w14:textId="77777777" w:rsidR="00551F7B" w:rsidRPr="008640DA" w:rsidRDefault="00551F7B" w:rsidP="00551F7B">
            <w:pPr>
              <w:rPr>
                <w:bCs/>
                <w:sz w:val="20"/>
                <w:szCs w:val="20"/>
                <w:lang w:val="fr-FR"/>
              </w:rPr>
            </w:pPr>
            <w:r w:rsidRPr="008640DA">
              <w:rPr>
                <w:bCs/>
                <w:sz w:val="20"/>
                <w:szCs w:val="20"/>
                <w:lang w:val="fr-FR"/>
              </w:rPr>
              <w:t>Les justiciables s’adressent aux acteurs de la justice traditionnelle pour les cas sous leur juridiction dans 77% des cas.  Pour régler les litiges fonciers ce chiffre descend à 61%.</w:t>
            </w:r>
          </w:p>
          <w:p w14:paraId="58F35534" w14:textId="77777777" w:rsidR="00551F7B" w:rsidRPr="008640DA" w:rsidRDefault="00551F7B" w:rsidP="00551F7B">
            <w:pPr>
              <w:rPr>
                <w:bCs/>
                <w:sz w:val="20"/>
                <w:szCs w:val="20"/>
                <w:lang w:val="fr-FR"/>
              </w:rPr>
            </w:pPr>
          </w:p>
          <w:p w14:paraId="73C3E18B" w14:textId="743BFD58" w:rsidR="00CB5539" w:rsidRPr="00ED6B34" w:rsidRDefault="00551F7B" w:rsidP="00551F7B">
            <w:pPr>
              <w:rPr>
                <w:bCs/>
                <w:sz w:val="20"/>
                <w:szCs w:val="20"/>
                <w:lang w:val="fr-FR" w:eastAsia="en-US"/>
              </w:rPr>
            </w:pPr>
            <w:r w:rsidRPr="008640DA">
              <w:rPr>
                <w:bCs/>
                <w:sz w:val="20"/>
                <w:szCs w:val="20"/>
                <w:lang w:val="fr-FR"/>
              </w:rPr>
              <w:t xml:space="preserve">Ils sont pourtant 11% à s’adresser à eux dans les cas qui ne sont pas dans la juridiction et particulièrement pour les cas de </w:t>
            </w:r>
            <w:r w:rsidRPr="008640DA">
              <w:rPr>
                <w:bCs/>
                <w:sz w:val="20"/>
                <w:szCs w:val="20"/>
                <w:lang w:val="fr-FR"/>
              </w:rPr>
              <w:lastRenderedPageBreak/>
              <w:t>VBG (20%) et coups et blessures (17%)</w:t>
            </w:r>
          </w:p>
        </w:tc>
        <w:tc>
          <w:tcPr>
            <w:tcW w:w="1620" w:type="dxa"/>
            <w:shd w:val="clear" w:color="auto" w:fill="EEECE1"/>
          </w:tcPr>
          <w:p w14:paraId="3CB07C45" w14:textId="77777777" w:rsidR="00CB5539" w:rsidRPr="00ED6B34" w:rsidRDefault="00216904" w:rsidP="00CB5539">
            <w:pPr>
              <w:rPr>
                <w:b/>
                <w:bCs/>
                <w:sz w:val="20"/>
                <w:szCs w:val="20"/>
                <w:lang w:val="fr-FR"/>
              </w:rPr>
            </w:pPr>
            <w:r w:rsidRPr="00ED6B34">
              <w:rPr>
                <w:b/>
                <w:bCs/>
                <w:sz w:val="20"/>
                <w:szCs w:val="20"/>
                <w:lang w:val="fr-FR"/>
              </w:rPr>
              <w:lastRenderedPageBreak/>
              <w:t>70%</w:t>
            </w:r>
            <w:r w:rsidR="00F7619D" w:rsidRPr="00ED6B34">
              <w:rPr>
                <w:b/>
                <w:bCs/>
                <w:sz w:val="20"/>
                <w:szCs w:val="20"/>
                <w:lang w:val="fr-FR"/>
              </w:rPr>
              <w:t>.</w:t>
            </w:r>
          </w:p>
        </w:tc>
        <w:tc>
          <w:tcPr>
            <w:tcW w:w="2070" w:type="dxa"/>
            <w:shd w:val="clear" w:color="auto" w:fill="FFFFFF" w:themeFill="background1"/>
          </w:tcPr>
          <w:p w14:paraId="599C36C3" w14:textId="77777777" w:rsidR="00CB5539" w:rsidRPr="00ED6B34" w:rsidRDefault="00FE0F8C" w:rsidP="00CB5539">
            <w:pPr>
              <w:rPr>
                <w:bCs/>
                <w:noProof/>
                <w:sz w:val="20"/>
                <w:szCs w:val="20"/>
                <w:lang w:val="fr-FR" w:eastAsia="en-US"/>
              </w:rPr>
            </w:pPr>
            <w:r w:rsidRPr="00ED6B34">
              <w:rPr>
                <w:bCs/>
                <w:sz w:val="20"/>
                <w:szCs w:val="20"/>
                <w:lang w:val="fr-FR"/>
              </w:rPr>
              <w:fldChar w:fldCharType="begin">
                <w:ffData>
                  <w:name w:val=""/>
                  <w:enabled/>
                  <w:calcOnExit w:val="0"/>
                  <w:textInput>
                    <w:default w:val="Questionnaire avec les membres de chaque plateforme de dialogue"/>
                    <w:maxLength w:val="300"/>
                  </w:textInput>
                </w:ffData>
              </w:fldChar>
            </w:r>
            <w:r w:rsidR="00CB5539" w:rsidRPr="00ED6B34">
              <w:rPr>
                <w:bCs/>
                <w:sz w:val="20"/>
                <w:szCs w:val="20"/>
                <w:lang w:val="fr-FR"/>
              </w:rPr>
              <w:instrText xml:space="preserve"> FORMTEXT </w:instrText>
            </w:r>
            <w:r w:rsidRPr="00ED6B34">
              <w:rPr>
                <w:bCs/>
                <w:sz w:val="20"/>
                <w:szCs w:val="20"/>
                <w:lang w:val="fr-FR"/>
              </w:rPr>
            </w:r>
            <w:r w:rsidRPr="00ED6B34">
              <w:rPr>
                <w:bCs/>
                <w:sz w:val="20"/>
                <w:szCs w:val="20"/>
                <w:lang w:val="fr-FR"/>
              </w:rPr>
              <w:fldChar w:fldCharType="separate"/>
            </w:r>
            <w:r w:rsidR="00CB5539" w:rsidRPr="00ED6B34">
              <w:rPr>
                <w:bCs/>
                <w:sz w:val="20"/>
                <w:szCs w:val="20"/>
                <w:lang w:val="fr-FR"/>
              </w:rPr>
              <w:t>Questionnaire avec les membres de chaque plateforme de dialogue</w:t>
            </w:r>
            <w:r w:rsidRPr="00ED6B34">
              <w:rPr>
                <w:bCs/>
                <w:sz w:val="20"/>
                <w:szCs w:val="20"/>
                <w:lang w:val="fr-FR"/>
              </w:rPr>
              <w:fldChar w:fldCharType="end"/>
            </w:r>
          </w:p>
        </w:tc>
        <w:tc>
          <w:tcPr>
            <w:tcW w:w="2070" w:type="dxa"/>
          </w:tcPr>
          <w:p w14:paraId="1BE8F2CE" w14:textId="77777777" w:rsidR="00DE4C00" w:rsidRPr="00ED6B34" w:rsidRDefault="00DE4C00" w:rsidP="00DE4C00">
            <w:pPr>
              <w:rPr>
                <w:bCs/>
                <w:sz w:val="20"/>
                <w:szCs w:val="20"/>
                <w:lang w:val="fr-FR"/>
              </w:rPr>
            </w:pPr>
          </w:p>
          <w:p w14:paraId="58EDAC8E" w14:textId="77777777" w:rsidR="00CB5539" w:rsidRPr="00ED6B34" w:rsidRDefault="00CB5539" w:rsidP="00CB5539">
            <w:pPr>
              <w:rPr>
                <w:bCs/>
                <w:sz w:val="20"/>
                <w:szCs w:val="20"/>
                <w:lang w:val="fr-FR"/>
              </w:rPr>
            </w:pPr>
          </w:p>
        </w:tc>
        <w:tc>
          <w:tcPr>
            <w:tcW w:w="4140" w:type="dxa"/>
          </w:tcPr>
          <w:p w14:paraId="29142F59" w14:textId="77777777" w:rsidR="00CD65BF" w:rsidRPr="00DA3A0D" w:rsidRDefault="00CD65BF" w:rsidP="00CD65BF">
            <w:pPr>
              <w:jc w:val="both"/>
              <w:rPr>
                <w:bCs/>
                <w:sz w:val="20"/>
                <w:szCs w:val="20"/>
                <w:highlight w:val="lightGray"/>
                <w:lang w:val="fr-FR"/>
              </w:rPr>
            </w:pPr>
            <w:r w:rsidRPr="00DA3A0D">
              <w:rPr>
                <w:bCs/>
                <w:sz w:val="20"/>
                <w:szCs w:val="20"/>
                <w:highlight w:val="lightGray"/>
                <w:lang w:val="fr-FR"/>
              </w:rPr>
              <w:t xml:space="preserve">L’étude de base a été administrée aux justiciables dans les zones d’intervention. Les données rapportées ici en sont issues et c’est ce qui constitue la </w:t>
            </w:r>
            <w:r w:rsidRPr="00DA3A0D">
              <w:rPr>
                <w:b/>
                <w:sz w:val="20"/>
                <w:szCs w:val="20"/>
                <w:highlight w:val="lightGray"/>
                <w:lang w:val="fr-FR"/>
              </w:rPr>
              <w:t>base de données</w:t>
            </w:r>
            <w:r w:rsidRPr="00DA3A0D">
              <w:rPr>
                <w:bCs/>
                <w:sz w:val="20"/>
                <w:szCs w:val="20"/>
                <w:highlight w:val="lightGray"/>
                <w:lang w:val="fr-FR"/>
              </w:rPr>
              <w:t>.</w:t>
            </w:r>
          </w:p>
          <w:p w14:paraId="162C7D06" w14:textId="66964C4D" w:rsidR="004231F5" w:rsidRDefault="009B5AF5" w:rsidP="00CD65BF">
            <w:pPr>
              <w:jc w:val="both"/>
              <w:rPr>
                <w:bCs/>
                <w:sz w:val="20"/>
                <w:szCs w:val="20"/>
                <w:lang w:val="fr-FR"/>
              </w:rPr>
            </w:pPr>
            <w:r w:rsidRPr="00DA3A0D">
              <w:rPr>
                <w:bCs/>
                <w:sz w:val="20"/>
                <w:szCs w:val="20"/>
                <w:highlight w:val="lightGray"/>
                <w:lang w:val="fr-FR"/>
              </w:rPr>
              <w:t>Une proposition de reformulation de l’indicateur et des cible</w:t>
            </w:r>
            <w:r w:rsidR="00287BA4" w:rsidRPr="00DA3A0D">
              <w:rPr>
                <w:bCs/>
                <w:sz w:val="20"/>
                <w:szCs w:val="20"/>
                <w:highlight w:val="lightGray"/>
                <w:lang w:val="fr-FR"/>
              </w:rPr>
              <w:t>s</w:t>
            </w:r>
            <w:r w:rsidRPr="00DA3A0D">
              <w:rPr>
                <w:bCs/>
                <w:sz w:val="20"/>
                <w:szCs w:val="20"/>
                <w:highlight w:val="lightGray"/>
                <w:lang w:val="fr-FR"/>
              </w:rPr>
              <w:t xml:space="preserve"> </w:t>
            </w:r>
            <w:r w:rsidR="00E2203F" w:rsidRPr="00DA3A0D">
              <w:rPr>
                <w:bCs/>
                <w:sz w:val="20"/>
                <w:szCs w:val="20"/>
                <w:highlight w:val="lightGray"/>
                <w:lang w:val="fr-FR"/>
              </w:rPr>
              <w:t>sera soumis</w:t>
            </w:r>
            <w:r w:rsidR="00DA3A0D" w:rsidRPr="00DA3A0D">
              <w:rPr>
                <w:bCs/>
                <w:sz w:val="20"/>
                <w:szCs w:val="20"/>
                <w:highlight w:val="lightGray"/>
                <w:lang w:val="fr-FR"/>
              </w:rPr>
              <w:t>e</w:t>
            </w:r>
            <w:r w:rsidR="00E2203F" w:rsidRPr="00DA3A0D">
              <w:rPr>
                <w:bCs/>
                <w:sz w:val="20"/>
                <w:szCs w:val="20"/>
                <w:highlight w:val="lightGray"/>
                <w:lang w:val="fr-FR"/>
              </w:rPr>
              <w:t xml:space="preserve"> au PBF </w:t>
            </w:r>
            <w:r w:rsidR="00A85A28">
              <w:rPr>
                <w:bCs/>
                <w:sz w:val="20"/>
                <w:szCs w:val="20"/>
                <w:highlight w:val="lightGray"/>
                <w:lang w:val="fr-FR"/>
              </w:rPr>
              <w:t xml:space="preserve">à part </w:t>
            </w:r>
            <w:r w:rsidR="00E2203F" w:rsidRPr="00DA3A0D">
              <w:rPr>
                <w:bCs/>
                <w:sz w:val="20"/>
                <w:szCs w:val="20"/>
                <w:highlight w:val="lightGray"/>
                <w:lang w:val="fr-FR"/>
              </w:rPr>
              <w:t xml:space="preserve">pour permettre de pouvoir </w:t>
            </w:r>
            <w:r w:rsidR="004231F5" w:rsidRPr="00DA3A0D">
              <w:rPr>
                <w:bCs/>
                <w:sz w:val="20"/>
                <w:szCs w:val="20"/>
                <w:highlight w:val="lightGray"/>
                <w:lang w:val="fr-FR"/>
              </w:rPr>
              <w:t>capturer les contributions du projet sur les changements au près des participants.</w:t>
            </w:r>
            <w:r w:rsidR="004231F5">
              <w:rPr>
                <w:bCs/>
                <w:sz w:val="20"/>
                <w:szCs w:val="20"/>
                <w:lang w:val="fr-FR"/>
              </w:rPr>
              <w:t xml:space="preserve"> </w:t>
            </w:r>
          </w:p>
          <w:p w14:paraId="56DE63D8" w14:textId="78F006E7" w:rsidR="00CB5539" w:rsidRPr="00ED6B34" w:rsidRDefault="00CB5539">
            <w:pPr>
              <w:jc w:val="both"/>
              <w:rPr>
                <w:sz w:val="20"/>
                <w:highlight w:val="yellow"/>
                <w:lang w:val="fr-FR"/>
              </w:rPr>
            </w:pPr>
          </w:p>
        </w:tc>
      </w:tr>
      <w:tr w:rsidR="00ED6B34" w:rsidRPr="009740FB" w14:paraId="580F0041" w14:textId="77777777" w:rsidTr="681F2457">
        <w:trPr>
          <w:trHeight w:val="548"/>
        </w:trPr>
        <w:tc>
          <w:tcPr>
            <w:tcW w:w="1530" w:type="dxa"/>
            <w:vMerge/>
          </w:tcPr>
          <w:p w14:paraId="7573EE3C" w14:textId="77777777" w:rsidR="00E67879" w:rsidRPr="00ED6B34" w:rsidRDefault="00E67879" w:rsidP="00E67879">
            <w:pPr>
              <w:rPr>
                <w:b/>
                <w:sz w:val="20"/>
                <w:szCs w:val="20"/>
                <w:lang w:val="fr-FR" w:eastAsia="en-US"/>
              </w:rPr>
            </w:pPr>
          </w:p>
        </w:tc>
        <w:tc>
          <w:tcPr>
            <w:tcW w:w="2070" w:type="dxa"/>
            <w:shd w:val="clear" w:color="auto" w:fill="EEECE1"/>
          </w:tcPr>
          <w:p w14:paraId="7B8760BD" w14:textId="77777777" w:rsidR="00E67879" w:rsidRPr="00ED6B34" w:rsidRDefault="00E67879" w:rsidP="00E67879">
            <w:pPr>
              <w:jc w:val="both"/>
              <w:rPr>
                <w:b/>
                <w:bCs/>
                <w:sz w:val="20"/>
                <w:szCs w:val="20"/>
                <w:lang w:val="fr-FR" w:eastAsia="en-US"/>
              </w:rPr>
            </w:pPr>
            <w:r w:rsidRPr="00ED6B34">
              <w:rPr>
                <w:b/>
                <w:bCs/>
                <w:sz w:val="20"/>
                <w:szCs w:val="20"/>
                <w:lang w:val="fr-FR" w:eastAsia="en-US"/>
              </w:rPr>
              <w:t>Indicateur 1.b</w:t>
            </w:r>
          </w:p>
          <w:p w14:paraId="13973710" w14:textId="77777777" w:rsidR="00E67879" w:rsidRPr="00ED6B34" w:rsidRDefault="00E67879" w:rsidP="00E67879">
            <w:pPr>
              <w:jc w:val="both"/>
              <w:rPr>
                <w:sz w:val="20"/>
                <w:szCs w:val="20"/>
                <w:lang w:val="fr-FR" w:eastAsia="en-US"/>
              </w:rPr>
            </w:pPr>
            <w:r w:rsidRPr="00ED6B34">
              <w:rPr>
                <w:sz w:val="20"/>
                <w:szCs w:val="20"/>
                <w:lang w:val="fr-FR" w:eastAsia="en-US"/>
              </w:rPr>
              <w:t>Niveau d’appropriation des résultats issus du dialogue et du baromètre par les populations, autorités traditionnelles et les autorités du domaine de la justice (différencié H/F/Jeunes)</w:t>
            </w:r>
          </w:p>
        </w:tc>
        <w:tc>
          <w:tcPr>
            <w:tcW w:w="1530" w:type="dxa"/>
            <w:shd w:val="clear" w:color="auto" w:fill="EEECE1"/>
          </w:tcPr>
          <w:p w14:paraId="2B2812CB" w14:textId="77777777" w:rsidR="00E67879" w:rsidRPr="00ED6B34" w:rsidRDefault="00E67879" w:rsidP="00E67879">
            <w:pPr>
              <w:rPr>
                <w:sz w:val="20"/>
                <w:szCs w:val="20"/>
                <w:lang w:val="fr-FR"/>
              </w:rPr>
            </w:pPr>
            <w:r w:rsidRPr="00ED6B34">
              <w:rPr>
                <w:b/>
                <w:sz w:val="20"/>
                <w:szCs w:val="20"/>
                <w:lang w:val="fr-FR" w:eastAsia="en-US"/>
              </w:rPr>
              <w:t>0</w:t>
            </w:r>
          </w:p>
        </w:tc>
        <w:tc>
          <w:tcPr>
            <w:tcW w:w="1620" w:type="dxa"/>
            <w:shd w:val="clear" w:color="auto" w:fill="EEECE1"/>
          </w:tcPr>
          <w:p w14:paraId="3B65AF24" w14:textId="77777777" w:rsidR="00E67879" w:rsidRPr="00ED6B34" w:rsidRDefault="00E67879" w:rsidP="00E67879">
            <w:pPr>
              <w:rPr>
                <w:sz w:val="20"/>
                <w:szCs w:val="20"/>
                <w:lang w:val="fr-FR"/>
              </w:rPr>
            </w:pPr>
            <w:r w:rsidRPr="00ED6B34">
              <w:rPr>
                <w:b/>
                <w:sz w:val="20"/>
                <w:szCs w:val="20"/>
                <w:lang w:val="fr-FR" w:eastAsia="en-US"/>
              </w:rPr>
              <w:t>5</w:t>
            </w:r>
          </w:p>
        </w:tc>
        <w:tc>
          <w:tcPr>
            <w:tcW w:w="2070" w:type="dxa"/>
          </w:tcPr>
          <w:p w14:paraId="46FCD729" w14:textId="77777777" w:rsidR="00E67879" w:rsidRPr="00ED6B34" w:rsidRDefault="00E67879" w:rsidP="00E67879">
            <w:pPr>
              <w:rPr>
                <w:sz w:val="20"/>
                <w:szCs w:val="20"/>
                <w:lang w:val="fr-FR"/>
              </w:rPr>
            </w:pPr>
            <w:r w:rsidRPr="00ED6B34">
              <w:rPr>
                <w:b/>
                <w:sz w:val="20"/>
                <w:szCs w:val="20"/>
                <w:lang w:val="fr-FR" w:eastAsia="en-US"/>
              </w:rPr>
              <w:fldChar w:fldCharType="begin">
                <w:ffData>
                  <w:name w:val=""/>
                  <w:enabled/>
                  <w:calcOnExit w:val="0"/>
                  <w:textInput>
                    <w:default w:val="1"/>
                    <w:maxLength w:val="300"/>
                  </w:textInput>
                </w:ffData>
              </w:fldChar>
            </w:r>
            <w:r w:rsidRPr="00ED6B34">
              <w:rPr>
                <w:b/>
                <w:sz w:val="20"/>
                <w:szCs w:val="20"/>
                <w:lang w:val="fr-FR" w:eastAsia="en-US"/>
              </w:rPr>
              <w:instrText xml:space="preserve"> FORMTEXT </w:instrText>
            </w:r>
            <w:r w:rsidRPr="00ED6B34">
              <w:rPr>
                <w:b/>
                <w:sz w:val="20"/>
                <w:szCs w:val="20"/>
                <w:lang w:val="fr-FR" w:eastAsia="en-US"/>
              </w:rPr>
            </w:r>
            <w:r w:rsidRPr="00ED6B34">
              <w:rPr>
                <w:b/>
                <w:sz w:val="20"/>
                <w:szCs w:val="20"/>
                <w:lang w:val="fr-FR" w:eastAsia="en-US"/>
              </w:rPr>
              <w:fldChar w:fldCharType="separate"/>
            </w:r>
            <w:r w:rsidRPr="00ED6B34">
              <w:rPr>
                <w:b/>
                <w:noProof/>
                <w:sz w:val="20"/>
                <w:szCs w:val="20"/>
                <w:lang w:val="fr-FR" w:eastAsia="en-US"/>
              </w:rPr>
              <w:t>1</w:t>
            </w:r>
            <w:r w:rsidRPr="00ED6B34">
              <w:rPr>
                <w:b/>
                <w:sz w:val="20"/>
                <w:szCs w:val="20"/>
                <w:lang w:val="fr-FR" w:eastAsia="en-US"/>
              </w:rPr>
              <w:fldChar w:fldCharType="end"/>
            </w:r>
          </w:p>
        </w:tc>
        <w:tc>
          <w:tcPr>
            <w:tcW w:w="2070" w:type="dxa"/>
          </w:tcPr>
          <w:p w14:paraId="4632D6F3" w14:textId="77777777" w:rsidR="00E67879" w:rsidRPr="00DC6E16" w:rsidRDefault="00E67879" w:rsidP="00E67879">
            <w:pPr>
              <w:rPr>
                <w:bCs/>
                <w:sz w:val="20"/>
                <w:szCs w:val="20"/>
                <w:lang w:val="fr-FR"/>
              </w:rPr>
            </w:pPr>
          </w:p>
          <w:p w14:paraId="15E5D1BC" w14:textId="450800D2" w:rsidR="00E67879" w:rsidRPr="00DC6E16" w:rsidRDefault="00E67879" w:rsidP="00E67879">
            <w:pPr>
              <w:rPr>
                <w:sz w:val="20"/>
                <w:szCs w:val="20"/>
                <w:lang w:val="fr-FR"/>
              </w:rPr>
            </w:pPr>
          </w:p>
        </w:tc>
        <w:tc>
          <w:tcPr>
            <w:tcW w:w="4140" w:type="dxa"/>
          </w:tcPr>
          <w:p w14:paraId="1238754B" w14:textId="7D5F4391" w:rsidR="00A667C9" w:rsidRPr="00215769" w:rsidRDefault="00652800" w:rsidP="00E67879">
            <w:pPr>
              <w:rPr>
                <w:bCs/>
                <w:sz w:val="20"/>
                <w:szCs w:val="20"/>
                <w:highlight w:val="lightGray"/>
                <w:lang w:val="fr-FR"/>
              </w:rPr>
            </w:pPr>
            <w:r w:rsidRPr="00215769">
              <w:rPr>
                <w:bCs/>
                <w:sz w:val="20"/>
                <w:szCs w:val="20"/>
                <w:highlight w:val="lightGray"/>
                <w:lang w:val="fr-FR" w:eastAsia="en-US"/>
              </w:rPr>
              <w:fldChar w:fldCharType="begin">
                <w:ffData>
                  <w:name w:val=""/>
                  <w:enabled/>
                  <w:calcOnExit w:val="0"/>
                  <w:textInput>
                    <w:default w:val="L’indicateur sera renseigné après la diffusion des résultats du baromètre participatif"/>
                    <w:maxLength w:val="300"/>
                  </w:textInput>
                </w:ffData>
              </w:fldChar>
            </w:r>
            <w:r w:rsidRPr="00215769">
              <w:rPr>
                <w:bCs/>
                <w:sz w:val="20"/>
                <w:szCs w:val="20"/>
                <w:highlight w:val="lightGray"/>
                <w:lang w:val="fr-FR" w:eastAsia="en-US"/>
              </w:rPr>
              <w:instrText xml:space="preserve"> FORMTEXT </w:instrText>
            </w:r>
            <w:r w:rsidRPr="00215769">
              <w:rPr>
                <w:bCs/>
                <w:sz w:val="20"/>
                <w:szCs w:val="20"/>
                <w:highlight w:val="lightGray"/>
                <w:lang w:val="fr-FR" w:eastAsia="en-US"/>
              </w:rPr>
            </w:r>
            <w:r w:rsidRPr="00215769">
              <w:rPr>
                <w:bCs/>
                <w:sz w:val="20"/>
                <w:szCs w:val="20"/>
                <w:highlight w:val="lightGray"/>
                <w:lang w:val="fr-FR" w:eastAsia="en-US"/>
              </w:rPr>
              <w:fldChar w:fldCharType="separate"/>
            </w:r>
            <w:r w:rsidRPr="00215769">
              <w:rPr>
                <w:bCs/>
                <w:noProof/>
                <w:sz w:val="20"/>
                <w:szCs w:val="20"/>
                <w:highlight w:val="lightGray"/>
                <w:lang w:val="fr-FR" w:eastAsia="en-US"/>
              </w:rPr>
              <w:t>L’indicateur sera renseigné après la diffusion des résultats du baromètre participatif</w:t>
            </w:r>
            <w:r w:rsidRPr="00215769">
              <w:rPr>
                <w:bCs/>
                <w:sz w:val="20"/>
                <w:szCs w:val="20"/>
                <w:highlight w:val="lightGray"/>
                <w:lang w:val="fr-FR" w:eastAsia="en-US"/>
              </w:rPr>
              <w:fldChar w:fldCharType="end"/>
            </w:r>
            <w:r w:rsidRPr="00215769">
              <w:rPr>
                <w:bCs/>
                <w:sz w:val="20"/>
                <w:szCs w:val="20"/>
                <w:highlight w:val="lightGray"/>
                <w:lang w:val="fr-FR" w:eastAsia="en-US"/>
              </w:rPr>
              <w:t>. Il faut noter que le rapport du baromètre n’est pas encore finalisé</w:t>
            </w:r>
            <w:r w:rsidR="00A667C9" w:rsidRPr="00215769">
              <w:rPr>
                <w:bCs/>
                <w:sz w:val="20"/>
                <w:szCs w:val="20"/>
                <w:highlight w:val="lightGray"/>
                <w:lang w:val="fr-FR"/>
              </w:rPr>
              <w:t>.</w:t>
            </w:r>
          </w:p>
          <w:p w14:paraId="216C8480" w14:textId="24851270" w:rsidR="00A667C9" w:rsidRPr="00215769" w:rsidRDefault="00A667C9" w:rsidP="00A667C9">
            <w:pPr>
              <w:jc w:val="both"/>
              <w:rPr>
                <w:bCs/>
                <w:sz w:val="20"/>
                <w:szCs w:val="20"/>
                <w:lang w:val="fr-FR"/>
              </w:rPr>
            </w:pPr>
            <w:r w:rsidRPr="00215769">
              <w:rPr>
                <w:bCs/>
                <w:sz w:val="20"/>
                <w:szCs w:val="20"/>
                <w:highlight w:val="lightGray"/>
                <w:lang w:val="fr-FR"/>
              </w:rPr>
              <w:t xml:space="preserve">Une proposition de reformulation de l’indicateur sera </w:t>
            </w:r>
            <w:proofErr w:type="gramStart"/>
            <w:r w:rsidRPr="00215769">
              <w:rPr>
                <w:bCs/>
                <w:sz w:val="20"/>
                <w:szCs w:val="20"/>
                <w:highlight w:val="lightGray"/>
                <w:lang w:val="fr-FR"/>
              </w:rPr>
              <w:t>soumis</w:t>
            </w:r>
            <w:proofErr w:type="gramEnd"/>
            <w:r w:rsidRPr="00215769">
              <w:rPr>
                <w:bCs/>
                <w:sz w:val="20"/>
                <w:szCs w:val="20"/>
                <w:highlight w:val="lightGray"/>
                <w:lang w:val="fr-FR"/>
              </w:rPr>
              <w:t xml:space="preserve"> au PBF </w:t>
            </w:r>
            <w:r w:rsidR="00A85A28">
              <w:rPr>
                <w:bCs/>
                <w:sz w:val="20"/>
                <w:szCs w:val="20"/>
                <w:highlight w:val="lightGray"/>
                <w:lang w:val="fr-FR"/>
              </w:rPr>
              <w:t xml:space="preserve">à part </w:t>
            </w:r>
            <w:r w:rsidRPr="00215769">
              <w:rPr>
                <w:bCs/>
                <w:sz w:val="20"/>
                <w:szCs w:val="20"/>
                <w:highlight w:val="lightGray"/>
                <w:lang w:val="fr-FR"/>
              </w:rPr>
              <w:t>pour permettre de pouvoir capturer les contributions du projet sur les changements au près des participants.</w:t>
            </w:r>
            <w:r w:rsidRPr="00215769">
              <w:rPr>
                <w:bCs/>
                <w:sz w:val="20"/>
                <w:szCs w:val="20"/>
                <w:lang w:val="fr-FR"/>
              </w:rPr>
              <w:t xml:space="preserve"> </w:t>
            </w:r>
          </w:p>
          <w:p w14:paraId="4B3A94D5" w14:textId="77777777" w:rsidR="00A667C9" w:rsidRPr="00215769" w:rsidRDefault="00A667C9" w:rsidP="00E67879">
            <w:pPr>
              <w:rPr>
                <w:bCs/>
                <w:sz w:val="20"/>
                <w:szCs w:val="20"/>
                <w:lang w:val="fr-FR"/>
              </w:rPr>
            </w:pPr>
          </w:p>
          <w:p w14:paraId="2CABDB76" w14:textId="29774F79" w:rsidR="00E67879" w:rsidRPr="00215769" w:rsidRDefault="00E67879" w:rsidP="00E67879">
            <w:pPr>
              <w:jc w:val="both"/>
              <w:rPr>
                <w:bCs/>
                <w:sz w:val="20"/>
                <w:szCs w:val="20"/>
                <w:highlight w:val="lightGray"/>
                <w:lang w:val="fr-FR"/>
              </w:rPr>
            </w:pPr>
          </w:p>
        </w:tc>
      </w:tr>
      <w:tr w:rsidR="00ED6B34" w:rsidRPr="009740FB" w14:paraId="29A73C6E" w14:textId="77777777" w:rsidTr="681F2457">
        <w:trPr>
          <w:trHeight w:val="548"/>
        </w:trPr>
        <w:tc>
          <w:tcPr>
            <w:tcW w:w="1530" w:type="dxa"/>
            <w:vMerge w:val="restart"/>
          </w:tcPr>
          <w:p w14:paraId="528994E7" w14:textId="77777777" w:rsidR="00C048FE" w:rsidRPr="00ED6B34" w:rsidRDefault="00C048FE" w:rsidP="00C048FE">
            <w:pPr>
              <w:rPr>
                <w:sz w:val="20"/>
                <w:szCs w:val="20"/>
                <w:lang w:val="fr-FR" w:eastAsia="en-US"/>
              </w:rPr>
            </w:pPr>
            <w:r w:rsidRPr="00ED6B34">
              <w:rPr>
                <w:sz w:val="20"/>
                <w:szCs w:val="20"/>
                <w:lang w:val="fr-FR" w:eastAsia="en-US"/>
              </w:rPr>
              <w:t>Produit 1.1</w:t>
            </w:r>
          </w:p>
          <w:p w14:paraId="03225337" w14:textId="77777777" w:rsidR="00C048FE" w:rsidRPr="00ED6B34" w:rsidRDefault="00C048FE" w:rsidP="00C048FE">
            <w:pPr>
              <w:autoSpaceDE w:val="0"/>
              <w:autoSpaceDN w:val="0"/>
              <w:adjustRightInd w:val="0"/>
              <w:spacing w:line="276" w:lineRule="auto"/>
              <w:jc w:val="both"/>
              <w:rPr>
                <w:sz w:val="20"/>
                <w:szCs w:val="20"/>
                <w:lang w:val="fr-FR"/>
              </w:rPr>
            </w:pPr>
            <w:r w:rsidRPr="00ED6B34">
              <w:rPr>
                <w:sz w:val="20"/>
                <w:szCs w:val="20"/>
                <w:lang w:val="fr-FR"/>
              </w:rPr>
              <w:t>Une compréhension commune des défis est établie avec la participation d'au moins 4 210 personnes</w:t>
            </w:r>
          </w:p>
        </w:tc>
        <w:tc>
          <w:tcPr>
            <w:tcW w:w="2070" w:type="dxa"/>
            <w:shd w:val="clear" w:color="auto" w:fill="EEECE1"/>
          </w:tcPr>
          <w:p w14:paraId="56DF0AAB" w14:textId="77777777" w:rsidR="00C048FE" w:rsidRPr="00ED6B34" w:rsidRDefault="00C048FE" w:rsidP="00C048FE">
            <w:pPr>
              <w:jc w:val="both"/>
              <w:rPr>
                <w:b/>
                <w:bCs/>
                <w:sz w:val="20"/>
                <w:szCs w:val="20"/>
                <w:lang w:val="fr-FR" w:eastAsia="en-US"/>
              </w:rPr>
            </w:pPr>
            <w:r w:rsidRPr="00ED6B34">
              <w:rPr>
                <w:b/>
                <w:bCs/>
                <w:sz w:val="20"/>
                <w:szCs w:val="20"/>
                <w:lang w:val="fr-FR" w:eastAsia="en-US"/>
              </w:rPr>
              <w:t>Indicateur 1.1.1</w:t>
            </w:r>
          </w:p>
          <w:p w14:paraId="45A929F9" w14:textId="77777777" w:rsidR="00C048FE" w:rsidRPr="00ED6B34" w:rsidRDefault="00C048FE" w:rsidP="00C048FE">
            <w:pPr>
              <w:jc w:val="both"/>
              <w:rPr>
                <w:bCs/>
                <w:sz w:val="20"/>
                <w:szCs w:val="20"/>
                <w:lang w:val="fr-FR" w:eastAsia="en-US"/>
              </w:rPr>
            </w:pPr>
            <w:r w:rsidRPr="00ED6B34">
              <w:rPr>
                <w:bCs/>
                <w:sz w:val="20"/>
                <w:szCs w:val="20"/>
                <w:lang w:val="fr-FR" w:eastAsia="en-US"/>
              </w:rPr>
              <w:t>Cartographie des acteurs disponible</w:t>
            </w:r>
          </w:p>
        </w:tc>
        <w:tc>
          <w:tcPr>
            <w:tcW w:w="1530" w:type="dxa"/>
            <w:shd w:val="clear" w:color="auto" w:fill="EEECE1"/>
          </w:tcPr>
          <w:p w14:paraId="05BC1CDD" w14:textId="77777777" w:rsidR="00C048FE" w:rsidRPr="00ED6B34" w:rsidRDefault="00C048FE" w:rsidP="00C048FE">
            <w:pPr>
              <w:rPr>
                <w:sz w:val="20"/>
                <w:szCs w:val="20"/>
                <w:lang w:val="fr-FR"/>
              </w:rPr>
            </w:pPr>
            <w:r w:rsidRPr="00ED6B34">
              <w:rPr>
                <w:b/>
                <w:sz w:val="20"/>
                <w:szCs w:val="20"/>
                <w:lang w:val="fr-FR" w:eastAsia="en-US"/>
              </w:rPr>
              <w:t>0</w:t>
            </w:r>
          </w:p>
        </w:tc>
        <w:tc>
          <w:tcPr>
            <w:tcW w:w="1620" w:type="dxa"/>
            <w:shd w:val="clear" w:color="auto" w:fill="EEECE1"/>
          </w:tcPr>
          <w:p w14:paraId="1CABF0E0" w14:textId="77777777" w:rsidR="00C048FE" w:rsidRPr="00ED6B34" w:rsidRDefault="00C048FE" w:rsidP="00C048FE">
            <w:pPr>
              <w:rPr>
                <w:sz w:val="20"/>
                <w:szCs w:val="20"/>
                <w:lang w:val="fr-FR"/>
              </w:rPr>
            </w:pPr>
            <w:r w:rsidRPr="00ED6B34">
              <w:rPr>
                <w:b/>
                <w:sz w:val="20"/>
                <w:szCs w:val="20"/>
                <w:lang w:val="fr-FR" w:eastAsia="en-US"/>
              </w:rPr>
              <w:t>1</w:t>
            </w:r>
          </w:p>
        </w:tc>
        <w:tc>
          <w:tcPr>
            <w:tcW w:w="2070" w:type="dxa"/>
          </w:tcPr>
          <w:p w14:paraId="0B4489C2" w14:textId="77777777" w:rsidR="00C048FE" w:rsidRPr="00ED6B34" w:rsidRDefault="00C048FE" w:rsidP="00C048FE">
            <w:pPr>
              <w:rPr>
                <w:sz w:val="20"/>
                <w:szCs w:val="20"/>
                <w:lang w:val="fr-FR"/>
              </w:rPr>
            </w:pPr>
            <w:r w:rsidRPr="00ED6B34">
              <w:rPr>
                <w:b/>
                <w:sz w:val="20"/>
                <w:szCs w:val="20"/>
                <w:lang w:val="fr-FR" w:eastAsia="en-US"/>
              </w:rPr>
              <w:fldChar w:fldCharType="begin">
                <w:ffData>
                  <w:name w:val=""/>
                  <w:enabled/>
                  <w:calcOnExit w:val="0"/>
                  <w:textInput>
                    <w:default w:val="1"/>
                    <w:maxLength w:val="300"/>
                  </w:textInput>
                </w:ffData>
              </w:fldChar>
            </w:r>
            <w:r w:rsidRPr="00ED6B34">
              <w:rPr>
                <w:b/>
                <w:sz w:val="20"/>
                <w:szCs w:val="20"/>
                <w:lang w:val="fr-FR" w:eastAsia="en-US"/>
              </w:rPr>
              <w:instrText xml:space="preserve"> FORMTEXT </w:instrText>
            </w:r>
            <w:r w:rsidRPr="00ED6B34">
              <w:rPr>
                <w:b/>
                <w:sz w:val="20"/>
                <w:szCs w:val="20"/>
                <w:lang w:val="fr-FR" w:eastAsia="en-US"/>
              </w:rPr>
            </w:r>
            <w:r w:rsidRPr="00ED6B34">
              <w:rPr>
                <w:b/>
                <w:sz w:val="20"/>
                <w:szCs w:val="20"/>
                <w:lang w:val="fr-FR" w:eastAsia="en-US"/>
              </w:rPr>
              <w:fldChar w:fldCharType="separate"/>
            </w:r>
            <w:r w:rsidRPr="00ED6B34">
              <w:rPr>
                <w:b/>
                <w:noProof/>
                <w:sz w:val="20"/>
                <w:szCs w:val="20"/>
                <w:lang w:val="fr-FR" w:eastAsia="en-US"/>
              </w:rPr>
              <w:t>1</w:t>
            </w:r>
            <w:r w:rsidRPr="00ED6B34">
              <w:rPr>
                <w:b/>
                <w:sz w:val="20"/>
                <w:szCs w:val="20"/>
                <w:lang w:val="fr-FR" w:eastAsia="en-US"/>
              </w:rPr>
              <w:fldChar w:fldCharType="end"/>
            </w:r>
          </w:p>
        </w:tc>
        <w:tc>
          <w:tcPr>
            <w:tcW w:w="2070" w:type="dxa"/>
          </w:tcPr>
          <w:p w14:paraId="74F9AC9F" w14:textId="4AB01D44" w:rsidR="00C048FE" w:rsidRPr="00DA3A0D" w:rsidRDefault="0060361B" w:rsidP="00C048FE">
            <w:pPr>
              <w:rPr>
                <w:bCs/>
                <w:sz w:val="20"/>
                <w:szCs w:val="20"/>
                <w:highlight w:val="lightGray"/>
                <w:lang w:val="fr-FR"/>
              </w:rPr>
            </w:pPr>
            <w:r w:rsidRPr="00DA3A0D">
              <w:rPr>
                <w:bCs/>
                <w:sz w:val="20"/>
                <w:szCs w:val="20"/>
                <w:highlight w:val="lightGray"/>
                <w:lang w:val="fr-FR"/>
              </w:rPr>
              <w:t>1</w:t>
            </w:r>
          </w:p>
          <w:p w14:paraId="29605729" w14:textId="77777777" w:rsidR="00C048FE" w:rsidRPr="00DA3A0D" w:rsidRDefault="00C048FE" w:rsidP="00C048FE">
            <w:pPr>
              <w:rPr>
                <w:bCs/>
                <w:sz w:val="20"/>
                <w:szCs w:val="20"/>
                <w:highlight w:val="lightGray"/>
                <w:lang w:val="fr-FR"/>
              </w:rPr>
            </w:pPr>
          </w:p>
          <w:p w14:paraId="5F659CC9" w14:textId="61309B50" w:rsidR="00C048FE" w:rsidRPr="00DA3A0D" w:rsidRDefault="00C048FE" w:rsidP="00C048FE">
            <w:pPr>
              <w:rPr>
                <w:bCs/>
                <w:sz w:val="20"/>
                <w:szCs w:val="20"/>
                <w:highlight w:val="lightGray"/>
                <w:lang w:val="fr-FR"/>
              </w:rPr>
            </w:pPr>
          </w:p>
        </w:tc>
        <w:tc>
          <w:tcPr>
            <w:tcW w:w="4140" w:type="dxa"/>
          </w:tcPr>
          <w:p w14:paraId="583CA588" w14:textId="2CF672C9" w:rsidR="00C048FE" w:rsidRPr="00215769" w:rsidRDefault="0060361B" w:rsidP="00C048FE">
            <w:pPr>
              <w:jc w:val="both"/>
              <w:rPr>
                <w:bCs/>
                <w:sz w:val="20"/>
                <w:szCs w:val="20"/>
                <w:highlight w:val="lightGray"/>
                <w:lang w:val="fr-FR"/>
              </w:rPr>
            </w:pPr>
            <w:r w:rsidRPr="00215769">
              <w:rPr>
                <w:bCs/>
                <w:sz w:val="20"/>
                <w:szCs w:val="20"/>
                <w:highlight w:val="lightGray"/>
                <w:lang w:val="fr-FR" w:eastAsia="en-US"/>
              </w:rPr>
              <w:fldChar w:fldCharType="begin">
                <w:ffData>
                  <w:name w:val=""/>
                  <w:enabled/>
                  <w:calcOnExit w:val="0"/>
                  <w:textInput>
                    <w:default w:val="La cartographie des acteurs a débuté et est complétée continuellement grâce aux missions dans les 6 cercles d’intervention."/>
                    <w:maxLength w:val="300"/>
                  </w:textInput>
                </w:ffData>
              </w:fldChar>
            </w:r>
            <w:r w:rsidRPr="00215769">
              <w:rPr>
                <w:bCs/>
                <w:sz w:val="20"/>
                <w:szCs w:val="20"/>
                <w:highlight w:val="lightGray"/>
                <w:lang w:val="fr-FR" w:eastAsia="en-US"/>
              </w:rPr>
              <w:instrText xml:space="preserve"> FORMTEXT </w:instrText>
            </w:r>
            <w:r w:rsidRPr="00215769">
              <w:rPr>
                <w:bCs/>
                <w:sz w:val="20"/>
                <w:szCs w:val="20"/>
                <w:highlight w:val="lightGray"/>
                <w:lang w:val="fr-FR" w:eastAsia="en-US"/>
              </w:rPr>
            </w:r>
            <w:r w:rsidRPr="00215769">
              <w:rPr>
                <w:bCs/>
                <w:sz w:val="20"/>
                <w:szCs w:val="20"/>
                <w:highlight w:val="lightGray"/>
                <w:lang w:val="fr-FR" w:eastAsia="en-US"/>
              </w:rPr>
              <w:fldChar w:fldCharType="separate"/>
            </w:r>
            <w:r w:rsidRPr="00215769">
              <w:rPr>
                <w:bCs/>
                <w:noProof/>
                <w:sz w:val="20"/>
                <w:szCs w:val="20"/>
                <w:highlight w:val="lightGray"/>
                <w:lang w:val="fr-FR" w:eastAsia="en-US"/>
              </w:rPr>
              <w:t>La cartographie des acteurs a débuté et est complétée continuellement grâce aux missions dans les 6 cercles d’intervention.</w:t>
            </w:r>
            <w:r w:rsidRPr="00215769">
              <w:rPr>
                <w:bCs/>
                <w:sz w:val="20"/>
                <w:szCs w:val="20"/>
                <w:highlight w:val="lightGray"/>
                <w:lang w:val="fr-FR" w:eastAsia="en-US"/>
              </w:rPr>
              <w:fldChar w:fldCharType="end"/>
            </w:r>
          </w:p>
        </w:tc>
      </w:tr>
      <w:tr w:rsidR="008D3486" w:rsidRPr="009740FB" w14:paraId="2DFE5224" w14:textId="77777777" w:rsidTr="681F2457">
        <w:trPr>
          <w:trHeight w:val="512"/>
        </w:trPr>
        <w:tc>
          <w:tcPr>
            <w:tcW w:w="1530" w:type="dxa"/>
            <w:vMerge/>
          </w:tcPr>
          <w:p w14:paraId="0FC622A1" w14:textId="77777777" w:rsidR="008D3486" w:rsidRPr="00ED6B34" w:rsidRDefault="008D3486" w:rsidP="008D3486">
            <w:pPr>
              <w:rPr>
                <w:b/>
                <w:sz w:val="20"/>
                <w:szCs w:val="20"/>
                <w:lang w:val="fr-FR" w:eastAsia="en-US"/>
              </w:rPr>
            </w:pPr>
          </w:p>
        </w:tc>
        <w:tc>
          <w:tcPr>
            <w:tcW w:w="2070" w:type="dxa"/>
            <w:shd w:val="clear" w:color="auto" w:fill="EEECE1"/>
          </w:tcPr>
          <w:p w14:paraId="3F2B25B9" w14:textId="77777777" w:rsidR="008D3486" w:rsidRPr="00ED6B34" w:rsidRDefault="008D3486" w:rsidP="008D3486">
            <w:pPr>
              <w:jc w:val="both"/>
              <w:rPr>
                <w:b/>
                <w:bCs/>
                <w:sz w:val="20"/>
                <w:szCs w:val="20"/>
                <w:lang w:val="fr-FR" w:eastAsia="en-US"/>
              </w:rPr>
            </w:pPr>
            <w:r w:rsidRPr="00ED6B34">
              <w:rPr>
                <w:b/>
                <w:bCs/>
                <w:sz w:val="20"/>
                <w:szCs w:val="20"/>
                <w:lang w:val="fr-FR" w:eastAsia="en-US"/>
              </w:rPr>
              <w:t>Indicateur 1.1.2</w:t>
            </w:r>
          </w:p>
          <w:p w14:paraId="7552FCA0" w14:textId="77777777" w:rsidR="008D3486" w:rsidRPr="00ED6B34" w:rsidRDefault="008D3486" w:rsidP="008D3486">
            <w:pPr>
              <w:jc w:val="both"/>
              <w:rPr>
                <w:bCs/>
                <w:sz w:val="20"/>
                <w:szCs w:val="20"/>
                <w:lang w:val="fr-FR" w:eastAsia="en-US"/>
              </w:rPr>
            </w:pPr>
            <w:r w:rsidRPr="00ED6B34">
              <w:rPr>
                <w:bCs/>
                <w:sz w:val="20"/>
                <w:szCs w:val="20"/>
                <w:lang w:val="fr-FR" w:eastAsia="en-US"/>
              </w:rPr>
              <w:t>Nombre de personnes enquêtées dans le baromètre participatif sur la gouvernance du système de justice.</w:t>
            </w:r>
          </w:p>
        </w:tc>
        <w:tc>
          <w:tcPr>
            <w:tcW w:w="1530" w:type="dxa"/>
            <w:shd w:val="clear" w:color="auto" w:fill="EEECE1"/>
          </w:tcPr>
          <w:p w14:paraId="0BB27ED7" w14:textId="77777777" w:rsidR="008D3486" w:rsidRPr="00ED6B34" w:rsidRDefault="008D3486" w:rsidP="008D3486">
            <w:pPr>
              <w:rPr>
                <w:sz w:val="20"/>
                <w:szCs w:val="20"/>
                <w:lang w:val="fr-FR"/>
              </w:rPr>
            </w:pPr>
            <w:r w:rsidRPr="00ED6B34">
              <w:rPr>
                <w:b/>
                <w:sz w:val="20"/>
                <w:szCs w:val="20"/>
                <w:lang w:val="fr-FR" w:eastAsia="en-US"/>
              </w:rPr>
              <w:t>0</w:t>
            </w:r>
          </w:p>
        </w:tc>
        <w:tc>
          <w:tcPr>
            <w:tcW w:w="1620" w:type="dxa"/>
            <w:shd w:val="clear" w:color="auto" w:fill="EEECE1"/>
          </w:tcPr>
          <w:p w14:paraId="59B8A332" w14:textId="0D5290DE" w:rsidR="008D3486" w:rsidRPr="00ED6B34" w:rsidRDefault="008D3486" w:rsidP="008D3486">
            <w:pPr>
              <w:rPr>
                <w:sz w:val="20"/>
                <w:szCs w:val="20"/>
                <w:lang w:val="fr-FR"/>
              </w:rPr>
            </w:pPr>
            <w:r w:rsidRPr="00ED6B34">
              <w:rPr>
                <w:b/>
                <w:bCs/>
                <w:sz w:val="20"/>
                <w:szCs w:val="20"/>
                <w:lang w:val="fr-FR" w:eastAsia="en-US"/>
              </w:rPr>
              <w:t xml:space="preserve">4000 </w:t>
            </w:r>
            <w:r w:rsidRPr="00ED6B34">
              <w:rPr>
                <w:sz w:val="20"/>
                <w:szCs w:val="20"/>
                <w:lang w:val="fr-FR" w:eastAsia="en-US"/>
              </w:rPr>
              <w:t>(</w:t>
            </w:r>
            <w:r w:rsidRPr="00ED6B34">
              <w:rPr>
                <w:sz w:val="18"/>
                <w:szCs w:val="18"/>
                <w:lang w:val="fr-FR" w:eastAsia="en-US"/>
              </w:rPr>
              <w:t>au moins 50% de femmes ; les pourcentages &amp; des âges seront établis lors de l’élaboration de l’échantillonnage)</w:t>
            </w:r>
          </w:p>
        </w:tc>
        <w:tc>
          <w:tcPr>
            <w:tcW w:w="2070" w:type="dxa"/>
          </w:tcPr>
          <w:p w14:paraId="1B598BA2" w14:textId="77777777" w:rsidR="008D3486" w:rsidRPr="00ED6B34" w:rsidRDefault="008D3486" w:rsidP="008D3486">
            <w:pPr>
              <w:rPr>
                <w:sz w:val="20"/>
                <w:szCs w:val="20"/>
                <w:lang w:val="fr-FR"/>
              </w:rPr>
            </w:pPr>
            <w:r w:rsidRPr="00ED6B34">
              <w:rPr>
                <w:b/>
                <w:sz w:val="20"/>
                <w:szCs w:val="20"/>
                <w:lang w:val="fr-FR" w:eastAsia="en-US"/>
              </w:rPr>
              <w:fldChar w:fldCharType="begin">
                <w:ffData>
                  <w:name w:val=""/>
                  <w:enabled/>
                  <w:calcOnExit w:val="0"/>
                  <w:textInput>
                    <w:default w:val="4000"/>
                    <w:maxLength w:val="300"/>
                  </w:textInput>
                </w:ffData>
              </w:fldChar>
            </w:r>
            <w:r w:rsidRPr="00ED6B34">
              <w:rPr>
                <w:b/>
                <w:sz w:val="20"/>
                <w:szCs w:val="20"/>
                <w:lang w:val="fr-FR" w:eastAsia="en-US"/>
              </w:rPr>
              <w:instrText xml:space="preserve"> FORMTEXT </w:instrText>
            </w:r>
            <w:r w:rsidRPr="00ED6B34">
              <w:rPr>
                <w:b/>
                <w:sz w:val="20"/>
                <w:szCs w:val="20"/>
                <w:lang w:val="fr-FR" w:eastAsia="en-US"/>
              </w:rPr>
            </w:r>
            <w:r w:rsidRPr="00ED6B34">
              <w:rPr>
                <w:b/>
                <w:sz w:val="20"/>
                <w:szCs w:val="20"/>
                <w:lang w:val="fr-FR" w:eastAsia="en-US"/>
              </w:rPr>
              <w:fldChar w:fldCharType="separate"/>
            </w:r>
            <w:r w:rsidRPr="00ED6B34">
              <w:rPr>
                <w:b/>
                <w:noProof/>
                <w:sz w:val="20"/>
                <w:szCs w:val="20"/>
                <w:lang w:val="fr-FR" w:eastAsia="en-US"/>
              </w:rPr>
              <w:t>4000</w:t>
            </w:r>
            <w:r w:rsidRPr="00ED6B34">
              <w:rPr>
                <w:b/>
                <w:sz w:val="20"/>
                <w:szCs w:val="20"/>
                <w:lang w:val="fr-FR" w:eastAsia="en-US"/>
              </w:rPr>
              <w:fldChar w:fldCharType="end"/>
            </w:r>
          </w:p>
        </w:tc>
        <w:tc>
          <w:tcPr>
            <w:tcW w:w="2070" w:type="dxa"/>
          </w:tcPr>
          <w:p w14:paraId="6558474D" w14:textId="77777777" w:rsidR="008D3486" w:rsidRPr="00DA3A0D" w:rsidRDefault="008D3486" w:rsidP="008D3486">
            <w:pPr>
              <w:rPr>
                <w:bCs/>
                <w:sz w:val="20"/>
                <w:szCs w:val="20"/>
                <w:highlight w:val="lightGray"/>
                <w:lang w:val="fr-FR" w:eastAsia="en-US"/>
              </w:rPr>
            </w:pPr>
            <w:r w:rsidRPr="00DA3A0D">
              <w:rPr>
                <w:bCs/>
                <w:sz w:val="20"/>
                <w:szCs w:val="20"/>
                <w:highlight w:val="lightGray"/>
                <w:lang w:val="fr-FR" w:eastAsia="en-US"/>
              </w:rPr>
              <w:fldChar w:fldCharType="begin">
                <w:ffData>
                  <w:name w:val=""/>
                  <w:enabled/>
                  <w:calcOnExit w:val="0"/>
                  <w:textInput>
                    <w:default w:val="2276"/>
                    <w:maxLength w:val="300"/>
                  </w:textInput>
                </w:ffData>
              </w:fldChar>
            </w:r>
            <w:r w:rsidRPr="00DA3A0D">
              <w:rPr>
                <w:bCs/>
                <w:sz w:val="20"/>
                <w:szCs w:val="20"/>
                <w:highlight w:val="lightGray"/>
                <w:lang w:val="fr-FR" w:eastAsia="en-US"/>
              </w:rPr>
              <w:instrText xml:space="preserve"> FORMTEXT </w:instrText>
            </w:r>
            <w:r w:rsidRPr="00DA3A0D">
              <w:rPr>
                <w:bCs/>
                <w:sz w:val="20"/>
                <w:szCs w:val="20"/>
                <w:highlight w:val="lightGray"/>
                <w:lang w:val="fr-FR" w:eastAsia="en-US"/>
              </w:rPr>
            </w:r>
            <w:r w:rsidRPr="00DA3A0D">
              <w:rPr>
                <w:bCs/>
                <w:sz w:val="20"/>
                <w:szCs w:val="20"/>
                <w:highlight w:val="lightGray"/>
                <w:lang w:val="fr-FR" w:eastAsia="en-US"/>
              </w:rPr>
              <w:fldChar w:fldCharType="separate"/>
            </w:r>
            <w:r w:rsidRPr="00DA3A0D">
              <w:rPr>
                <w:bCs/>
                <w:noProof/>
                <w:sz w:val="20"/>
                <w:szCs w:val="20"/>
                <w:highlight w:val="lightGray"/>
                <w:lang w:val="fr-FR" w:eastAsia="en-US"/>
              </w:rPr>
              <w:t>2276</w:t>
            </w:r>
            <w:r w:rsidRPr="00DA3A0D">
              <w:rPr>
                <w:bCs/>
                <w:sz w:val="20"/>
                <w:szCs w:val="20"/>
                <w:highlight w:val="lightGray"/>
                <w:lang w:val="fr-FR" w:eastAsia="en-US"/>
              </w:rPr>
              <w:fldChar w:fldCharType="end"/>
            </w:r>
          </w:p>
          <w:p w14:paraId="06B42FF0" w14:textId="77777777" w:rsidR="008D3486" w:rsidRPr="00DA3A0D" w:rsidRDefault="008D3486" w:rsidP="008D3486">
            <w:pPr>
              <w:jc w:val="both"/>
              <w:rPr>
                <w:bCs/>
                <w:sz w:val="20"/>
                <w:szCs w:val="20"/>
                <w:highlight w:val="lightGray"/>
                <w:lang w:val="fr-FR" w:eastAsia="en-US"/>
              </w:rPr>
            </w:pPr>
            <w:r w:rsidRPr="00DA3A0D">
              <w:rPr>
                <w:bCs/>
                <w:sz w:val="20"/>
                <w:szCs w:val="20"/>
                <w:highlight w:val="lightGray"/>
                <w:lang w:val="fr-FR" w:eastAsia="en-US"/>
              </w:rPr>
              <w:t>(51% femmes et 35% de jeunes)</w:t>
            </w:r>
          </w:p>
          <w:p w14:paraId="2C0EB57F" w14:textId="0883FBF3" w:rsidR="008D3486" w:rsidRPr="00DA3A0D" w:rsidRDefault="008D3486" w:rsidP="008D3486">
            <w:pPr>
              <w:rPr>
                <w:bCs/>
                <w:sz w:val="20"/>
                <w:szCs w:val="20"/>
                <w:highlight w:val="lightGray"/>
                <w:lang w:val="fr-FR"/>
              </w:rPr>
            </w:pPr>
          </w:p>
        </w:tc>
        <w:tc>
          <w:tcPr>
            <w:tcW w:w="4140" w:type="dxa"/>
          </w:tcPr>
          <w:p w14:paraId="4B5599E9" w14:textId="1AC44F75" w:rsidR="008D3486" w:rsidRPr="00215769" w:rsidRDefault="00A4001E" w:rsidP="008D3486">
            <w:pPr>
              <w:jc w:val="both"/>
              <w:rPr>
                <w:bCs/>
                <w:noProof/>
                <w:sz w:val="20"/>
                <w:szCs w:val="20"/>
                <w:highlight w:val="lightGray"/>
                <w:lang w:val="fr-FR" w:eastAsia="en-US"/>
              </w:rPr>
            </w:pPr>
            <w:r w:rsidRPr="00215769">
              <w:rPr>
                <w:bCs/>
                <w:noProof/>
                <w:sz w:val="20"/>
                <w:szCs w:val="20"/>
                <w:highlight w:val="lightGray"/>
                <w:lang w:val="fr-FR" w:eastAsia="en-US"/>
              </w:rPr>
              <w:t>La collecte de données du baromètre a été effectuée de manière statistiquement représentative de la population des 6 cercles de mise en œuvre du projet. Les 4000 personnes à interroger étaient une estimation obtenue auprès des consultants engagés sur ce volet du projet. Après spécification des besoins, l’échantillon a été revu à la baisse</w:t>
            </w:r>
          </w:p>
        </w:tc>
      </w:tr>
      <w:tr w:rsidR="008D3486" w:rsidRPr="009740FB" w14:paraId="70511863" w14:textId="77777777" w:rsidTr="681F2457">
        <w:trPr>
          <w:trHeight w:val="512"/>
        </w:trPr>
        <w:tc>
          <w:tcPr>
            <w:tcW w:w="1530" w:type="dxa"/>
            <w:vMerge/>
          </w:tcPr>
          <w:p w14:paraId="10A20865" w14:textId="77777777" w:rsidR="008D3486" w:rsidRPr="00ED6B34" w:rsidRDefault="008D3486" w:rsidP="008D3486">
            <w:pPr>
              <w:rPr>
                <w:b/>
                <w:sz w:val="20"/>
                <w:szCs w:val="20"/>
                <w:lang w:val="fr-FR" w:eastAsia="en-US"/>
              </w:rPr>
            </w:pPr>
          </w:p>
        </w:tc>
        <w:tc>
          <w:tcPr>
            <w:tcW w:w="2070" w:type="dxa"/>
            <w:shd w:val="clear" w:color="auto" w:fill="EEECE1"/>
          </w:tcPr>
          <w:p w14:paraId="3328D1F3" w14:textId="77777777" w:rsidR="008D3486" w:rsidRPr="00ED6B34" w:rsidRDefault="008D3486" w:rsidP="008D3486">
            <w:pPr>
              <w:jc w:val="both"/>
              <w:rPr>
                <w:b/>
                <w:bCs/>
                <w:sz w:val="20"/>
                <w:szCs w:val="20"/>
                <w:lang w:val="fr-FR" w:eastAsia="en-US"/>
              </w:rPr>
            </w:pPr>
            <w:r w:rsidRPr="00ED6B34">
              <w:rPr>
                <w:b/>
                <w:bCs/>
                <w:sz w:val="20"/>
                <w:szCs w:val="20"/>
                <w:lang w:val="fr-FR" w:eastAsia="en-US"/>
              </w:rPr>
              <w:t>Indicateur 1.1.3</w:t>
            </w:r>
          </w:p>
          <w:p w14:paraId="400B2727" w14:textId="77777777" w:rsidR="008D3486" w:rsidRPr="00ED6B34" w:rsidRDefault="008D3486" w:rsidP="008D3486">
            <w:pPr>
              <w:jc w:val="both"/>
              <w:rPr>
                <w:sz w:val="20"/>
                <w:szCs w:val="20"/>
                <w:lang w:val="fr-FR" w:eastAsia="en-US"/>
              </w:rPr>
            </w:pPr>
            <w:r w:rsidRPr="00ED6B34">
              <w:rPr>
                <w:sz w:val="20"/>
                <w:szCs w:val="20"/>
                <w:lang w:val="fr-FR" w:eastAsia="en-US"/>
              </w:rPr>
              <w:t>Existence d’un baromètre</w:t>
            </w:r>
          </w:p>
        </w:tc>
        <w:tc>
          <w:tcPr>
            <w:tcW w:w="1530" w:type="dxa"/>
            <w:shd w:val="clear" w:color="auto" w:fill="EEECE1"/>
          </w:tcPr>
          <w:p w14:paraId="06E9CEC6" w14:textId="77777777" w:rsidR="008D3486" w:rsidRPr="00ED6B34" w:rsidRDefault="008D3486" w:rsidP="008D3486">
            <w:pPr>
              <w:rPr>
                <w:b/>
                <w:sz w:val="20"/>
                <w:szCs w:val="20"/>
                <w:lang w:val="fr-FR" w:eastAsia="en-US"/>
              </w:rPr>
            </w:pPr>
            <w:r w:rsidRPr="00ED6B34">
              <w:rPr>
                <w:b/>
                <w:sz w:val="20"/>
                <w:szCs w:val="20"/>
                <w:lang w:val="fr-FR" w:eastAsia="en-US"/>
              </w:rPr>
              <w:t>0</w:t>
            </w:r>
          </w:p>
        </w:tc>
        <w:tc>
          <w:tcPr>
            <w:tcW w:w="1620" w:type="dxa"/>
            <w:shd w:val="clear" w:color="auto" w:fill="EEECE1"/>
          </w:tcPr>
          <w:p w14:paraId="52AE3FF8" w14:textId="77777777" w:rsidR="008D3486" w:rsidRPr="00ED6B34" w:rsidRDefault="008D3486" w:rsidP="008D3486">
            <w:pPr>
              <w:rPr>
                <w:b/>
                <w:sz w:val="20"/>
                <w:szCs w:val="20"/>
                <w:lang w:val="fr-FR" w:eastAsia="en-US"/>
              </w:rPr>
            </w:pPr>
            <w:r w:rsidRPr="00ED6B34">
              <w:rPr>
                <w:b/>
                <w:sz w:val="20"/>
                <w:szCs w:val="20"/>
                <w:lang w:val="fr-FR" w:eastAsia="en-US"/>
              </w:rPr>
              <w:t>1</w:t>
            </w:r>
          </w:p>
        </w:tc>
        <w:tc>
          <w:tcPr>
            <w:tcW w:w="2070" w:type="dxa"/>
          </w:tcPr>
          <w:p w14:paraId="01D8F639" w14:textId="77777777" w:rsidR="008D3486" w:rsidRPr="00ED6B34" w:rsidRDefault="008D3486" w:rsidP="008D3486">
            <w:pPr>
              <w:rPr>
                <w:b/>
                <w:sz w:val="20"/>
                <w:szCs w:val="20"/>
                <w:highlight w:val="lightGray"/>
                <w:lang w:val="fr-FR" w:eastAsia="en-US"/>
              </w:rPr>
            </w:pPr>
            <w:r w:rsidRPr="00ED6B34">
              <w:rPr>
                <w:b/>
                <w:sz w:val="20"/>
                <w:szCs w:val="20"/>
                <w:highlight w:val="lightGray"/>
                <w:lang w:val="fr-FR" w:eastAsia="en-US"/>
              </w:rPr>
              <w:t>1</w:t>
            </w:r>
          </w:p>
        </w:tc>
        <w:tc>
          <w:tcPr>
            <w:tcW w:w="2070" w:type="dxa"/>
          </w:tcPr>
          <w:p w14:paraId="4C4DD799" w14:textId="7828F199" w:rsidR="008D3486" w:rsidRPr="00DC6E16" w:rsidRDefault="00256F62" w:rsidP="008D3486">
            <w:pPr>
              <w:rPr>
                <w:bCs/>
                <w:sz w:val="20"/>
                <w:szCs w:val="20"/>
                <w:lang w:val="fr-FR"/>
              </w:rPr>
            </w:pPr>
            <w:r w:rsidRPr="00DC6E16">
              <w:rPr>
                <w:bCs/>
                <w:sz w:val="20"/>
                <w:szCs w:val="20"/>
                <w:lang w:val="fr-FR"/>
              </w:rPr>
              <w:t>1</w:t>
            </w:r>
          </w:p>
          <w:p w14:paraId="6154DEAC" w14:textId="77777777" w:rsidR="008D3486" w:rsidRPr="00DC6E16" w:rsidRDefault="008D3486" w:rsidP="008D3486">
            <w:pPr>
              <w:rPr>
                <w:bCs/>
                <w:sz w:val="20"/>
                <w:szCs w:val="20"/>
                <w:lang w:val="fr-FR"/>
              </w:rPr>
            </w:pPr>
          </w:p>
          <w:p w14:paraId="430DB339" w14:textId="77777777" w:rsidR="008D3486" w:rsidRPr="00DC6E16" w:rsidRDefault="008D3486" w:rsidP="008D3486">
            <w:pPr>
              <w:rPr>
                <w:bCs/>
                <w:sz w:val="20"/>
                <w:szCs w:val="20"/>
                <w:highlight w:val="lightGray"/>
                <w:lang w:val="fr-FR" w:eastAsia="en-US"/>
              </w:rPr>
            </w:pPr>
          </w:p>
        </w:tc>
        <w:tc>
          <w:tcPr>
            <w:tcW w:w="4140" w:type="dxa"/>
          </w:tcPr>
          <w:p w14:paraId="7FA176A2" w14:textId="2E4CF933" w:rsidR="008D3486" w:rsidRPr="00215769" w:rsidRDefault="001F02ED" w:rsidP="008D3486">
            <w:pPr>
              <w:jc w:val="both"/>
              <w:rPr>
                <w:bCs/>
                <w:sz w:val="20"/>
                <w:szCs w:val="20"/>
                <w:highlight w:val="lightGray"/>
                <w:lang w:val="fr-FR" w:eastAsia="en-US"/>
              </w:rPr>
            </w:pPr>
            <w:r w:rsidRPr="00215769">
              <w:rPr>
                <w:bCs/>
                <w:sz w:val="20"/>
                <w:szCs w:val="20"/>
                <w:highlight w:val="lightGray"/>
                <w:lang w:val="fr-FR"/>
              </w:rPr>
              <w:t xml:space="preserve">Le baromètre est en cours de réalisation. Les étapes de conception ont été finalisées ainsi que la collecte </w:t>
            </w:r>
            <w:r w:rsidR="00DC3E43" w:rsidRPr="00215769">
              <w:rPr>
                <w:bCs/>
                <w:sz w:val="20"/>
                <w:szCs w:val="20"/>
                <w:highlight w:val="lightGray"/>
                <w:lang w:val="fr-FR"/>
              </w:rPr>
              <w:t xml:space="preserve">et l’analyse </w:t>
            </w:r>
            <w:r w:rsidRPr="00215769">
              <w:rPr>
                <w:bCs/>
                <w:sz w:val="20"/>
                <w:szCs w:val="20"/>
                <w:highlight w:val="lightGray"/>
                <w:lang w:val="fr-FR"/>
              </w:rPr>
              <w:t>de</w:t>
            </w:r>
            <w:r w:rsidR="00DC3E43" w:rsidRPr="00215769">
              <w:rPr>
                <w:bCs/>
                <w:sz w:val="20"/>
                <w:szCs w:val="20"/>
                <w:highlight w:val="lightGray"/>
                <w:lang w:val="fr-FR"/>
              </w:rPr>
              <w:t>s</w:t>
            </w:r>
            <w:r w:rsidRPr="00215769">
              <w:rPr>
                <w:bCs/>
                <w:sz w:val="20"/>
                <w:szCs w:val="20"/>
                <w:highlight w:val="lightGray"/>
                <w:lang w:val="fr-FR"/>
              </w:rPr>
              <w:t xml:space="preserve"> données</w:t>
            </w:r>
            <w:r w:rsidR="003922B2" w:rsidRPr="00215769">
              <w:rPr>
                <w:bCs/>
                <w:sz w:val="20"/>
                <w:szCs w:val="20"/>
                <w:highlight w:val="lightGray"/>
                <w:lang w:val="fr-FR"/>
              </w:rPr>
              <w:t xml:space="preserve"> </w:t>
            </w:r>
            <w:r w:rsidRPr="00215769">
              <w:rPr>
                <w:bCs/>
                <w:sz w:val="20"/>
                <w:szCs w:val="20"/>
                <w:highlight w:val="lightGray"/>
                <w:lang w:val="fr-FR"/>
              </w:rPr>
              <w:t>La plateforme d’accès aux données, le rapport et les séances de diffusion des résultats auront lieu</w:t>
            </w:r>
            <w:r w:rsidR="00330F9A" w:rsidRPr="00215769">
              <w:rPr>
                <w:bCs/>
                <w:sz w:val="20"/>
                <w:szCs w:val="20"/>
                <w:lang w:val="fr-FR"/>
              </w:rPr>
              <w:t xml:space="preserve"> </w:t>
            </w:r>
            <w:r w:rsidR="00330F9A" w:rsidRPr="00215769">
              <w:rPr>
                <w:bCs/>
                <w:sz w:val="20"/>
                <w:szCs w:val="20"/>
                <w:highlight w:val="lightGray"/>
                <w:lang w:val="fr-FR"/>
              </w:rPr>
              <w:t xml:space="preserve">dans les prochains mois. La finalisation du rapport a pris </w:t>
            </w:r>
            <w:r w:rsidR="00330F9A" w:rsidRPr="00215769">
              <w:rPr>
                <w:bCs/>
                <w:sz w:val="20"/>
                <w:szCs w:val="20"/>
                <w:highlight w:val="lightGray"/>
                <w:lang w:val="fr-FR"/>
              </w:rPr>
              <w:lastRenderedPageBreak/>
              <w:t xml:space="preserve">un peu plus de temps que prévu </w:t>
            </w:r>
            <w:r w:rsidR="00E95A95" w:rsidRPr="00215769">
              <w:rPr>
                <w:bCs/>
                <w:sz w:val="20"/>
                <w:szCs w:val="20"/>
                <w:highlight w:val="lightGray"/>
                <w:lang w:val="fr-FR"/>
              </w:rPr>
              <w:t xml:space="preserve">pour permettre la réadaptation des activités de dialogue et </w:t>
            </w:r>
            <w:r w:rsidR="00E02B80" w:rsidRPr="00215769">
              <w:rPr>
                <w:bCs/>
                <w:sz w:val="20"/>
                <w:szCs w:val="20"/>
                <w:highlight w:val="lightGray"/>
                <w:lang w:val="fr-FR"/>
              </w:rPr>
              <w:t>une réflexion pour le rapport final afin d’éviter des répétitions.</w:t>
            </w:r>
            <w:r w:rsidR="00E02B80" w:rsidRPr="00215769">
              <w:rPr>
                <w:bCs/>
                <w:sz w:val="20"/>
                <w:szCs w:val="20"/>
                <w:lang w:val="fr-FR"/>
              </w:rPr>
              <w:t xml:space="preserve"> </w:t>
            </w:r>
          </w:p>
        </w:tc>
      </w:tr>
      <w:tr w:rsidR="008D3486" w:rsidRPr="00D27CAC" w14:paraId="40A63136" w14:textId="77777777" w:rsidTr="681F2457">
        <w:trPr>
          <w:trHeight w:val="440"/>
        </w:trPr>
        <w:tc>
          <w:tcPr>
            <w:tcW w:w="1530" w:type="dxa"/>
            <w:vMerge w:val="restart"/>
          </w:tcPr>
          <w:p w14:paraId="722191C3" w14:textId="77777777" w:rsidR="008D3486" w:rsidRPr="00ED6B34" w:rsidRDefault="008D3486" w:rsidP="008D3486">
            <w:pPr>
              <w:rPr>
                <w:sz w:val="20"/>
                <w:szCs w:val="20"/>
                <w:lang w:val="fr-FR" w:eastAsia="en-US"/>
              </w:rPr>
            </w:pPr>
            <w:r w:rsidRPr="00ED6B34">
              <w:rPr>
                <w:sz w:val="20"/>
                <w:szCs w:val="20"/>
                <w:lang w:val="fr-FR" w:eastAsia="en-US"/>
              </w:rPr>
              <w:lastRenderedPageBreak/>
              <w:t>Produit 1.2</w:t>
            </w:r>
          </w:p>
          <w:p w14:paraId="0CE1D32A" w14:textId="77777777" w:rsidR="008D3486" w:rsidRPr="00ED6B34" w:rsidRDefault="008D3486" w:rsidP="008D3486">
            <w:pPr>
              <w:rPr>
                <w:sz w:val="20"/>
                <w:szCs w:val="20"/>
                <w:lang w:val="fr-FR" w:eastAsia="en-US"/>
              </w:rPr>
            </w:pPr>
            <w:r w:rsidRPr="00ED6B34">
              <w:rPr>
                <w:sz w:val="20"/>
                <w:szCs w:val="20"/>
                <w:lang w:val="fr-FR"/>
              </w:rPr>
              <w:t>Un dialogue entre communautés et les acteurs de la justice au Centre au Mali est lancé et approprié par les parties prenantes avec la participation d'au moins 960 personnes.</w:t>
            </w:r>
          </w:p>
        </w:tc>
        <w:tc>
          <w:tcPr>
            <w:tcW w:w="2070" w:type="dxa"/>
            <w:shd w:val="clear" w:color="auto" w:fill="EEECE1"/>
          </w:tcPr>
          <w:p w14:paraId="4E6EA655" w14:textId="77777777" w:rsidR="008D3486" w:rsidRPr="00ED6B34" w:rsidRDefault="008D3486" w:rsidP="008D3486">
            <w:pPr>
              <w:jc w:val="both"/>
              <w:rPr>
                <w:b/>
                <w:bCs/>
                <w:sz w:val="20"/>
                <w:szCs w:val="20"/>
                <w:lang w:val="fr-FR" w:eastAsia="en-US"/>
              </w:rPr>
            </w:pPr>
            <w:r w:rsidRPr="00ED6B34">
              <w:rPr>
                <w:b/>
                <w:bCs/>
                <w:sz w:val="20"/>
                <w:szCs w:val="20"/>
                <w:lang w:val="fr-FR" w:eastAsia="en-US"/>
              </w:rPr>
              <w:t>Indicateur 1.2.1</w:t>
            </w:r>
          </w:p>
          <w:p w14:paraId="05EFEDF0" w14:textId="72BD67CA" w:rsidR="008D3486" w:rsidRPr="00ED6B34" w:rsidRDefault="008D3486" w:rsidP="008D3486">
            <w:pPr>
              <w:jc w:val="both"/>
              <w:rPr>
                <w:sz w:val="20"/>
                <w:szCs w:val="20"/>
                <w:lang w:val="fr-FR" w:eastAsia="en-US"/>
              </w:rPr>
            </w:pPr>
            <w:r w:rsidRPr="00ED6B34">
              <w:rPr>
                <w:sz w:val="20"/>
                <w:szCs w:val="20"/>
                <w:lang w:val="fr-FR" w:eastAsia="en-US"/>
              </w:rPr>
              <w:t>Nombre de participants aux focus groupes, séances de dialogue et projections ventilés par sexe et âge.</w:t>
            </w:r>
          </w:p>
        </w:tc>
        <w:tc>
          <w:tcPr>
            <w:tcW w:w="1530" w:type="dxa"/>
            <w:shd w:val="clear" w:color="auto" w:fill="EEECE1"/>
          </w:tcPr>
          <w:p w14:paraId="6087C89B" w14:textId="77777777" w:rsidR="008D3486" w:rsidRPr="00ED6B34" w:rsidRDefault="008D3486" w:rsidP="008D3486">
            <w:pPr>
              <w:rPr>
                <w:sz w:val="20"/>
                <w:szCs w:val="20"/>
                <w:lang w:val="fr-FR"/>
              </w:rPr>
            </w:pPr>
            <w:r w:rsidRPr="00ED6B34">
              <w:rPr>
                <w:b/>
                <w:sz w:val="20"/>
                <w:szCs w:val="20"/>
                <w:lang w:val="fr-FR" w:eastAsia="en-US"/>
              </w:rPr>
              <w:t>0</w:t>
            </w:r>
          </w:p>
        </w:tc>
        <w:tc>
          <w:tcPr>
            <w:tcW w:w="1620" w:type="dxa"/>
            <w:shd w:val="clear" w:color="auto" w:fill="EEECE1"/>
          </w:tcPr>
          <w:p w14:paraId="5427D9E5" w14:textId="77777777" w:rsidR="008D3486" w:rsidRPr="00ED6B34" w:rsidRDefault="008D3486" w:rsidP="008D3486">
            <w:pPr>
              <w:rPr>
                <w:sz w:val="20"/>
                <w:szCs w:val="20"/>
                <w:lang w:val="fr-FR"/>
              </w:rPr>
            </w:pPr>
            <w:r w:rsidRPr="00ED6B34">
              <w:rPr>
                <w:sz w:val="20"/>
                <w:szCs w:val="20"/>
                <w:lang w:val="fr-FR"/>
              </w:rPr>
              <w:t>480</w:t>
            </w:r>
          </w:p>
        </w:tc>
        <w:tc>
          <w:tcPr>
            <w:tcW w:w="2070" w:type="dxa"/>
          </w:tcPr>
          <w:p w14:paraId="17DEFC23" w14:textId="77777777" w:rsidR="008D3486" w:rsidRPr="00ED6B34" w:rsidRDefault="008D3486" w:rsidP="008D3486">
            <w:pPr>
              <w:rPr>
                <w:sz w:val="20"/>
                <w:szCs w:val="20"/>
                <w:lang w:val="fr-FR"/>
              </w:rPr>
            </w:pPr>
            <w:r w:rsidRPr="00ED6B34">
              <w:rPr>
                <w:b/>
                <w:sz w:val="20"/>
                <w:szCs w:val="20"/>
                <w:lang w:val="fr-FR" w:eastAsia="en-US"/>
              </w:rPr>
              <w:t>300</w:t>
            </w:r>
          </w:p>
        </w:tc>
        <w:tc>
          <w:tcPr>
            <w:tcW w:w="2070" w:type="dxa"/>
          </w:tcPr>
          <w:p w14:paraId="29B030DA" w14:textId="65C2C6F4" w:rsidR="008D3486" w:rsidRPr="00DA3A0D" w:rsidRDefault="00CB47B5" w:rsidP="008D3486">
            <w:pPr>
              <w:rPr>
                <w:bCs/>
                <w:sz w:val="20"/>
                <w:szCs w:val="20"/>
                <w:highlight w:val="lightGray"/>
                <w:lang w:val="fr-FR"/>
              </w:rPr>
            </w:pPr>
            <w:r w:rsidRPr="00DA3A0D">
              <w:rPr>
                <w:bCs/>
                <w:sz w:val="20"/>
                <w:szCs w:val="20"/>
                <w:highlight w:val="lightGray"/>
                <w:lang w:val="fr-FR"/>
              </w:rPr>
              <w:t>456</w:t>
            </w:r>
            <w:r w:rsidR="002E133A" w:rsidRPr="00DA3A0D">
              <w:rPr>
                <w:bCs/>
                <w:sz w:val="20"/>
                <w:szCs w:val="20"/>
                <w:highlight w:val="lightGray"/>
                <w:lang w:val="fr-FR"/>
              </w:rPr>
              <w:t xml:space="preserve"> dont 1</w:t>
            </w:r>
            <w:r w:rsidRPr="00DA3A0D">
              <w:rPr>
                <w:bCs/>
                <w:sz w:val="20"/>
                <w:szCs w:val="20"/>
                <w:highlight w:val="lightGray"/>
                <w:lang w:val="fr-FR"/>
              </w:rPr>
              <w:t>5</w:t>
            </w:r>
            <w:r w:rsidR="002E133A" w:rsidRPr="00DA3A0D">
              <w:rPr>
                <w:bCs/>
                <w:sz w:val="20"/>
                <w:szCs w:val="20"/>
                <w:highlight w:val="lightGray"/>
                <w:lang w:val="fr-FR"/>
              </w:rPr>
              <w:t xml:space="preserve">0 femmes soit </w:t>
            </w:r>
            <w:r w:rsidRPr="00DA3A0D">
              <w:rPr>
                <w:bCs/>
                <w:sz w:val="20"/>
                <w:szCs w:val="20"/>
                <w:highlight w:val="lightGray"/>
                <w:lang w:val="fr-FR"/>
              </w:rPr>
              <w:t>3</w:t>
            </w:r>
            <w:r w:rsidR="002E133A" w:rsidRPr="00DA3A0D">
              <w:rPr>
                <w:bCs/>
                <w:sz w:val="20"/>
                <w:szCs w:val="20"/>
                <w:highlight w:val="lightGray"/>
                <w:lang w:val="fr-FR"/>
              </w:rPr>
              <w:t xml:space="preserve">2% et </w:t>
            </w:r>
            <w:r w:rsidR="005D78F9" w:rsidRPr="00DA3A0D">
              <w:rPr>
                <w:bCs/>
                <w:sz w:val="20"/>
                <w:szCs w:val="20"/>
                <w:highlight w:val="lightGray"/>
                <w:lang w:val="fr-FR"/>
              </w:rPr>
              <w:t>146</w:t>
            </w:r>
            <w:r w:rsidR="002E133A" w:rsidRPr="00DA3A0D">
              <w:rPr>
                <w:bCs/>
                <w:sz w:val="20"/>
                <w:szCs w:val="20"/>
                <w:highlight w:val="lightGray"/>
                <w:lang w:val="fr-FR"/>
              </w:rPr>
              <w:t xml:space="preserve"> jeunes de moins de 35 ans soit 3</w:t>
            </w:r>
            <w:r w:rsidR="0073468D" w:rsidRPr="00DA3A0D">
              <w:rPr>
                <w:bCs/>
                <w:sz w:val="20"/>
                <w:szCs w:val="20"/>
                <w:highlight w:val="lightGray"/>
                <w:lang w:val="fr-FR"/>
              </w:rPr>
              <w:t>2</w:t>
            </w:r>
            <w:r w:rsidR="002E133A" w:rsidRPr="00DA3A0D">
              <w:rPr>
                <w:bCs/>
                <w:sz w:val="20"/>
                <w:szCs w:val="20"/>
                <w:highlight w:val="lightGray"/>
                <w:lang w:val="fr-FR"/>
              </w:rPr>
              <w:t>%</w:t>
            </w:r>
          </w:p>
          <w:p w14:paraId="607B8B4D" w14:textId="61083482" w:rsidR="008D3486" w:rsidRPr="00DA3A0D" w:rsidRDefault="008D3486" w:rsidP="008D3486">
            <w:pPr>
              <w:rPr>
                <w:bCs/>
                <w:sz w:val="20"/>
                <w:szCs w:val="20"/>
                <w:highlight w:val="lightGray"/>
                <w:lang w:val="fr-FR"/>
              </w:rPr>
            </w:pPr>
          </w:p>
        </w:tc>
        <w:tc>
          <w:tcPr>
            <w:tcW w:w="4140" w:type="dxa"/>
          </w:tcPr>
          <w:p w14:paraId="42DAFF74" w14:textId="3DA2FD4E" w:rsidR="0073468D" w:rsidRPr="00215769" w:rsidRDefault="00053A2A" w:rsidP="008D3486">
            <w:pPr>
              <w:rPr>
                <w:bCs/>
                <w:sz w:val="20"/>
                <w:szCs w:val="20"/>
                <w:highlight w:val="lightGray"/>
                <w:lang w:val="fr-FR"/>
              </w:rPr>
            </w:pPr>
            <w:r w:rsidRPr="00215769">
              <w:rPr>
                <w:bCs/>
                <w:sz w:val="20"/>
                <w:szCs w:val="20"/>
                <w:highlight w:val="lightGray"/>
                <w:lang w:val="fr-FR"/>
              </w:rPr>
              <w:t>18 focus groupes homogènes ont été tenus représentant les justiciables (hommes, femmes et jeunes interrogés séparément).</w:t>
            </w:r>
          </w:p>
          <w:p w14:paraId="5D92A6F6" w14:textId="3EE1DEEB" w:rsidR="0073468D" w:rsidRPr="00215769" w:rsidRDefault="00DC1ABC" w:rsidP="008D3486">
            <w:pPr>
              <w:rPr>
                <w:bCs/>
                <w:sz w:val="20"/>
                <w:szCs w:val="20"/>
                <w:lang w:val="fr-FR"/>
              </w:rPr>
            </w:pPr>
            <w:r w:rsidRPr="00215769">
              <w:rPr>
                <w:bCs/>
                <w:sz w:val="20"/>
                <w:szCs w:val="20"/>
                <w:highlight w:val="lightGray"/>
                <w:lang w:val="fr-FR"/>
              </w:rPr>
              <w:t>7 ateliers d’analyse ont eu lieu (6 dans les cercles d’intervention et 1 à Bamako)</w:t>
            </w:r>
          </w:p>
          <w:p w14:paraId="7E9BF8D6" w14:textId="7E520E67" w:rsidR="008D3486" w:rsidRPr="00215769" w:rsidRDefault="008D3486" w:rsidP="008D3486">
            <w:pPr>
              <w:rPr>
                <w:bCs/>
                <w:sz w:val="20"/>
                <w:szCs w:val="20"/>
                <w:highlight w:val="lightGray"/>
                <w:lang w:val="fr-FR"/>
              </w:rPr>
            </w:pPr>
          </w:p>
        </w:tc>
      </w:tr>
      <w:tr w:rsidR="008D3486" w:rsidRPr="009740FB" w14:paraId="5ABFEEB0" w14:textId="77777777" w:rsidTr="681F2457">
        <w:trPr>
          <w:trHeight w:val="467"/>
        </w:trPr>
        <w:tc>
          <w:tcPr>
            <w:tcW w:w="1530" w:type="dxa"/>
            <w:vMerge/>
          </w:tcPr>
          <w:p w14:paraId="42BACE0B" w14:textId="77777777" w:rsidR="008D3486" w:rsidRPr="00ED6B34" w:rsidRDefault="008D3486" w:rsidP="008D3486">
            <w:pPr>
              <w:rPr>
                <w:b/>
                <w:sz w:val="20"/>
                <w:szCs w:val="20"/>
                <w:lang w:val="fr-FR" w:eastAsia="en-US"/>
              </w:rPr>
            </w:pPr>
          </w:p>
        </w:tc>
        <w:tc>
          <w:tcPr>
            <w:tcW w:w="2070" w:type="dxa"/>
            <w:shd w:val="clear" w:color="auto" w:fill="EEECE1"/>
          </w:tcPr>
          <w:p w14:paraId="137F4547" w14:textId="77777777" w:rsidR="008D3486" w:rsidRPr="00ED6B34" w:rsidRDefault="008D3486" w:rsidP="008D3486">
            <w:pPr>
              <w:jc w:val="both"/>
              <w:rPr>
                <w:b/>
                <w:bCs/>
                <w:sz w:val="20"/>
                <w:szCs w:val="20"/>
                <w:lang w:val="fr-FR" w:eastAsia="en-US"/>
              </w:rPr>
            </w:pPr>
            <w:r w:rsidRPr="00ED6B34">
              <w:rPr>
                <w:b/>
                <w:bCs/>
                <w:sz w:val="20"/>
                <w:szCs w:val="20"/>
                <w:lang w:val="fr-FR" w:eastAsia="en-US"/>
              </w:rPr>
              <w:t>Indicateur 1.2.2</w:t>
            </w:r>
          </w:p>
          <w:p w14:paraId="149180FF" w14:textId="163535D4" w:rsidR="008D3486" w:rsidRPr="00ED6B34" w:rsidRDefault="008D3486" w:rsidP="008D3486">
            <w:pPr>
              <w:jc w:val="both"/>
              <w:rPr>
                <w:sz w:val="20"/>
                <w:szCs w:val="20"/>
                <w:lang w:val="fr-FR" w:eastAsia="en-US"/>
              </w:rPr>
            </w:pPr>
            <w:r w:rsidRPr="00ED6B34">
              <w:rPr>
                <w:sz w:val="20"/>
                <w:szCs w:val="20"/>
                <w:lang w:val="fr-FR" w:eastAsia="en-US"/>
              </w:rPr>
              <w:t>Nombre de personnes qui écoutent les programmes radio effectués et rapport distribués</w:t>
            </w:r>
          </w:p>
        </w:tc>
        <w:tc>
          <w:tcPr>
            <w:tcW w:w="1530" w:type="dxa"/>
            <w:shd w:val="clear" w:color="auto" w:fill="EEECE1"/>
          </w:tcPr>
          <w:p w14:paraId="2D0E8610" w14:textId="77777777" w:rsidR="008D3486" w:rsidRPr="00ED6B34" w:rsidRDefault="008D3486" w:rsidP="008D3486">
            <w:pPr>
              <w:rPr>
                <w:sz w:val="20"/>
                <w:szCs w:val="20"/>
                <w:lang w:val="fr-FR"/>
              </w:rPr>
            </w:pPr>
            <w:r w:rsidRPr="00ED6B34">
              <w:rPr>
                <w:b/>
                <w:sz w:val="20"/>
                <w:szCs w:val="20"/>
                <w:lang w:val="fr-FR" w:eastAsia="en-US"/>
              </w:rPr>
              <w:t>0</w:t>
            </w:r>
          </w:p>
        </w:tc>
        <w:tc>
          <w:tcPr>
            <w:tcW w:w="1620" w:type="dxa"/>
            <w:shd w:val="clear" w:color="auto" w:fill="EEECE1"/>
          </w:tcPr>
          <w:p w14:paraId="2139DBF8" w14:textId="77777777" w:rsidR="008D3486" w:rsidRPr="00ED6B34" w:rsidRDefault="008D3486" w:rsidP="008D3486">
            <w:pPr>
              <w:rPr>
                <w:sz w:val="20"/>
                <w:szCs w:val="20"/>
                <w:lang w:val="fr-FR"/>
              </w:rPr>
            </w:pPr>
            <w:r w:rsidRPr="00ED6B34">
              <w:rPr>
                <w:b/>
                <w:sz w:val="20"/>
                <w:szCs w:val="20"/>
                <w:lang w:val="fr-FR" w:eastAsia="en-US"/>
              </w:rPr>
              <w:t>12 300</w:t>
            </w:r>
          </w:p>
        </w:tc>
        <w:tc>
          <w:tcPr>
            <w:tcW w:w="2070" w:type="dxa"/>
          </w:tcPr>
          <w:p w14:paraId="43B88FDC" w14:textId="77777777" w:rsidR="008D3486" w:rsidRPr="00ED6B34" w:rsidRDefault="008D3486" w:rsidP="008D3486">
            <w:pPr>
              <w:rPr>
                <w:sz w:val="20"/>
                <w:szCs w:val="20"/>
                <w:highlight w:val="lightGray"/>
                <w:lang w:val="fr-FR"/>
              </w:rPr>
            </w:pPr>
            <w:r w:rsidRPr="00ED6B34">
              <w:rPr>
                <w:b/>
                <w:sz w:val="20"/>
                <w:szCs w:val="20"/>
                <w:highlight w:val="lightGray"/>
                <w:lang w:val="fr-FR" w:eastAsia="en-US"/>
              </w:rPr>
              <w:t>4100</w:t>
            </w:r>
          </w:p>
        </w:tc>
        <w:tc>
          <w:tcPr>
            <w:tcW w:w="2070" w:type="dxa"/>
          </w:tcPr>
          <w:p w14:paraId="39B11119" w14:textId="131BE3F5" w:rsidR="008D3486" w:rsidRPr="00DA3A0D" w:rsidRDefault="007A6A68" w:rsidP="008D3486">
            <w:pPr>
              <w:rPr>
                <w:bCs/>
                <w:sz w:val="20"/>
                <w:szCs w:val="20"/>
                <w:highlight w:val="lightGray"/>
                <w:lang w:val="fr-FR"/>
              </w:rPr>
            </w:pPr>
            <w:r w:rsidRPr="00DA3A0D">
              <w:rPr>
                <w:bCs/>
                <w:sz w:val="20"/>
                <w:szCs w:val="20"/>
                <w:highlight w:val="lightGray"/>
                <w:lang w:val="fr-FR"/>
              </w:rPr>
              <w:t>N/A</w:t>
            </w:r>
          </w:p>
          <w:p w14:paraId="58E9C791" w14:textId="77777777" w:rsidR="008D3486" w:rsidRPr="00DA3A0D" w:rsidRDefault="008D3486" w:rsidP="008D3486">
            <w:pPr>
              <w:rPr>
                <w:bCs/>
                <w:sz w:val="20"/>
                <w:szCs w:val="20"/>
                <w:highlight w:val="lightGray"/>
                <w:lang w:val="fr-FR"/>
              </w:rPr>
            </w:pPr>
          </w:p>
          <w:p w14:paraId="68446802" w14:textId="7704721B" w:rsidR="008D3486" w:rsidRPr="00DA3A0D" w:rsidRDefault="008D3486" w:rsidP="008D3486">
            <w:pPr>
              <w:rPr>
                <w:bCs/>
                <w:sz w:val="20"/>
                <w:szCs w:val="20"/>
                <w:highlight w:val="lightGray"/>
                <w:lang w:val="fr-FR"/>
              </w:rPr>
            </w:pPr>
          </w:p>
        </w:tc>
        <w:tc>
          <w:tcPr>
            <w:tcW w:w="4140" w:type="dxa"/>
          </w:tcPr>
          <w:p w14:paraId="2356F9F5" w14:textId="44BE4F34" w:rsidR="008D3486" w:rsidRPr="00215769" w:rsidRDefault="003B6C3A" w:rsidP="008D3486">
            <w:pPr>
              <w:rPr>
                <w:bCs/>
                <w:sz w:val="20"/>
                <w:szCs w:val="20"/>
                <w:highlight w:val="lightGray"/>
                <w:lang w:val="fr-FR"/>
              </w:rPr>
            </w:pPr>
            <w:r w:rsidRPr="00215769">
              <w:rPr>
                <w:bCs/>
                <w:sz w:val="20"/>
                <w:szCs w:val="20"/>
                <w:highlight w:val="lightGray"/>
                <w:lang w:val="fr-FR"/>
              </w:rPr>
              <w:t xml:space="preserve">L’activité n’a pas encore commencé. Les activités de communication vont commencer dans </w:t>
            </w:r>
            <w:r w:rsidR="00497980" w:rsidRPr="00215769">
              <w:rPr>
                <w:bCs/>
                <w:sz w:val="20"/>
                <w:szCs w:val="20"/>
                <w:highlight w:val="lightGray"/>
                <w:lang w:val="fr-FR"/>
              </w:rPr>
              <w:t xml:space="preserve">la vulgarisation de rapport de Baromètre et dans </w:t>
            </w:r>
            <w:r w:rsidR="000721C6" w:rsidRPr="00215769">
              <w:rPr>
                <w:bCs/>
                <w:sz w:val="20"/>
                <w:szCs w:val="20"/>
                <w:highlight w:val="lightGray"/>
                <w:lang w:val="fr-FR"/>
              </w:rPr>
              <w:t>restitution de toute la phase de recherche</w:t>
            </w:r>
            <w:r w:rsidRPr="00215769">
              <w:rPr>
                <w:bCs/>
                <w:sz w:val="20"/>
                <w:szCs w:val="20"/>
                <w:highlight w:val="lightGray"/>
                <w:lang w:val="fr-FR"/>
              </w:rPr>
              <w:t xml:space="preserve">. Cette activité a connu du retard dans sa mise en œuvre. </w:t>
            </w:r>
          </w:p>
        </w:tc>
      </w:tr>
      <w:tr w:rsidR="008D3486" w:rsidRPr="009740FB" w14:paraId="6A3D0946" w14:textId="77777777" w:rsidTr="681F2457">
        <w:trPr>
          <w:trHeight w:val="467"/>
        </w:trPr>
        <w:tc>
          <w:tcPr>
            <w:tcW w:w="1530" w:type="dxa"/>
            <w:vMerge/>
          </w:tcPr>
          <w:p w14:paraId="1034C91B" w14:textId="77777777" w:rsidR="008D3486" w:rsidRPr="00ED6B34" w:rsidRDefault="008D3486" w:rsidP="008D3486">
            <w:pPr>
              <w:rPr>
                <w:b/>
                <w:sz w:val="20"/>
                <w:szCs w:val="20"/>
                <w:lang w:val="fr-FR" w:eastAsia="en-US"/>
              </w:rPr>
            </w:pPr>
          </w:p>
        </w:tc>
        <w:tc>
          <w:tcPr>
            <w:tcW w:w="2070" w:type="dxa"/>
            <w:shd w:val="clear" w:color="auto" w:fill="EEECE1"/>
          </w:tcPr>
          <w:p w14:paraId="5413CB40" w14:textId="77777777" w:rsidR="008D3486" w:rsidRPr="00ED6B34" w:rsidRDefault="008D3486" w:rsidP="008D3486">
            <w:pPr>
              <w:jc w:val="both"/>
              <w:rPr>
                <w:b/>
                <w:bCs/>
                <w:sz w:val="20"/>
                <w:szCs w:val="20"/>
                <w:lang w:val="fr-FR" w:eastAsia="en-US"/>
              </w:rPr>
            </w:pPr>
            <w:r w:rsidRPr="00ED6B34">
              <w:rPr>
                <w:b/>
                <w:bCs/>
                <w:sz w:val="20"/>
                <w:szCs w:val="20"/>
                <w:lang w:val="fr-FR" w:eastAsia="en-US"/>
              </w:rPr>
              <w:t>Indicateur 1.2.3</w:t>
            </w:r>
          </w:p>
          <w:p w14:paraId="16694A2B" w14:textId="77777777" w:rsidR="008D3486" w:rsidRPr="00ED6B34" w:rsidRDefault="008D3486" w:rsidP="008D3486">
            <w:pPr>
              <w:jc w:val="both"/>
              <w:rPr>
                <w:sz w:val="20"/>
                <w:szCs w:val="20"/>
                <w:lang w:val="fr-FR" w:eastAsia="en-US"/>
              </w:rPr>
            </w:pPr>
            <w:r w:rsidRPr="00ED6B34">
              <w:rPr>
                <w:sz w:val="20"/>
                <w:szCs w:val="20"/>
                <w:lang w:val="fr-FR" w:eastAsia="en-US"/>
              </w:rPr>
              <w:t>Nombre de plan d’action conjoints, inclusifs et sensibles au genre, élaborés et soutenus (en lien avec les R2 et R3)</w:t>
            </w:r>
          </w:p>
        </w:tc>
        <w:tc>
          <w:tcPr>
            <w:tcW w:w="1530" w:type="dxa"/>
            <w:shd w:val="clear" w:color="auto" w:fill="EEECE1"/>
          </w:tcPr>
          <w:p w14:paraId="604F0705" w14:textId="77777777" w:rsidR="008D3486" w:rsidRPr="00ED6B34" w:rsidRDefault="008D3486" w:rsidP="008D3486">
            <w:pPr>
              <w:rPr>
                <w:b/>
                <w:sz w:val="20"/>
                <w:szCs w:val="20"/>
                <w:lang w:val="fr-FR" w:eastAsia="en-US"/>
              </w:rPr>
            </w:pPr>
            <w:r w:rsidRPr="00ED6B34">
              <w:rPr>
                <w:b/>
                <w:sz w:val="20"/>
                <w:szCs w:val="20"/>
                <w:lang w:val="fr-FR" w:eastAsia="en-US"/>
              </w:rPr>
              <w:t>0</w:t>
            </w:r>
          </w:p>
        </w:tc>
        <w:tc>
          <w:tcPr>
            <w:tcW w:w="1620" w:type="dxa"/>
            <w:shd w:val="clear" w:color="auto" w:fill="EEECE1"/>
          </w:tcPr>
          <w:p w14:paraId="52CD3BE2" w14:textId="77777777" w:rsidR="008D3486" w:rsidRPr="00ED6B34" w:rsidRDefault="008D3486" w:rsidP="008D3486">
            <w:pPr>
              <w:rPr>
                <w:b/>
                <w:sz w:val="20"/>
                <w:szCs w:val="20"/>
                <w:lang w:val="fr-FR" w:eastAsia="en-US"/>
              </w:rPr>
            </w:pPr>
            <w:r w:rsidRPr="00ED6B34">
              <w:rPr>
                <w:b/>
                <w:sz w:val="20"/>
                <w:szCs w:val="20"/>
                <w:lang w:val="fr-FR" w:eastAsia="en-US"/>
              </w:rPr>
              <w:t>6</w:t>
            </w:r>
          </w:p>
        </w:tc>
        <w:tc>
          <w:tcPr>
            <w:tcW w:w="2070" w:type="dxa"/>
          </w:tcPr>
          <w:p w14:paraId="267F2A9D" w14:textId="77777777" w:rsidR="008D3486" w:rsidRPr="00ED6B34" w:rsidRDefault="008D3486" w:rsidP="008D3486">
            <w:pPr>
              <w:rPr>
                <w:b/>
                <w:sz w:val="20"/>
                <w:szCs w:val="20"/>
                <w:highlight w:val="lightGray"/>
                <w:lang w:val="fr-FR" w:eastAsia="en-US"/>
              </w:rPr>
            </w:pPr>
            <w:r w:rsidRPr="00ED6B34">
              <w:rPr>
                <w:b/>
                <w:sz w:val="20"/>
                <w:szCs w:val="20"/>
                <w:highlight w:val="lightGray"/>
                <w:lang w:val="fr-FR" w:eastAsia="en-US"/>
              </w:rPr>
              <w:t>3</w:t>
            </w:r>
          </w:p>
        </w:tc>
        <w:tc>
          <w:tcPr>
            <w:tcW w:w="2070" w:type="dxa"/>
          </w:tcPr>
          <w:p w14:paraId="59ED82E7" w14:textId="2D34C832" w:rsidR="008D3486" w:rsidRPr="00DA3A0D" w:rsidRDefault="007A6A68" w:rsidP="008D3486">
            <w:pPr>
              <w:rPr>
                <w:bCs/>
                <w:sz w:val="20"/>
                <w:szCs w:val="20"/>
                <w:highlight w:val="lightGray"/>
                <w:lang w:val="fr-FR"/>
              </w:rPr>
            </w:pPr>
            <w:r w:rsidRPr="00DA3A0D">
              <w:rPr>
                <w:bCs/>
                <w:sz w:val="20"/>
                <w:szCs w:val="20"/>
                <w:highlight w:val="lightGray"/>
                <w:lang w:val="fr-FR"/>
              </w:rPr>
              <w:t>N/A</w:t>
            </w:r>
          </w:p>
          <w:p w14:paraId="4DB351BD" w14:textId="65706103" w:rsidR="008D3486" w:rsidRPr="00DA3A0D" w:rsidRDefault="008D3486" w:rsidP="008D3486">
            <w:pPr>
              <w:rPr>
                <w:bCs/>
                <w:sz w:val="20"/>
                <w:szCs w:val="20"/>
                <w:highlight w:val="lightGray"/>
                <w:lang w:val="fr-FR" w:eastAsia="en-US"/>
              </w:rPr>
            </w:pPr>
          </w:p>
        </w:tc>
        <w:tc>
          <w:tcPr>
            <w:tcW w:w="4140" w:type="dxa"/>
          </w:tcPr>
          <w:p w14:paraId="6EEED073" w14:textId="78182E62" w:rsidR="008D3486" w:rsidRPr="00215769" w:rsidRDefault="004E4887" w:rsidP="00215769">
            <w:pPr>
              <w:jc w:val="both"/>
              <w:rPr>
                <w:bCs/>
                <w:sz w:val="20"/>
                <w:szCs w:val="20"/>
                <w:highlight w:val="lightGray"/>
                <w:lang w:val="fr-FR"/>
              </w:rPr>
            </w:pPr>
            <w:r w:rsidRPr="00215769">
              <w:rPr>
                <w:bCs/>
                <w:sz w:val="20"/>
                <w:szCs w:val="20"/>
                <w:highlight w:val="lightGray"/>
                <w:lang w:val="fr-FR"/>
              </w:rPr>
              <w:t>Les plans d’actions conjoint</w:t>
            </w:r>
            <w:r w:rsidR="004F7D60" w:rsidRPr="00215769">
              <w:rPr>
                <w:bCs/>
                <w:sz w:val="20"/>
                <w:szCs w:val="20"/>
                <w:highlight w:val="lightGray"/>
                <w:lang w:val="fr-FR"/>
              </w:rPr>
              <w:t>s</w:t>
            </w:r>
            <w:r w:rsidRPr="00215769">
              <w:rPr>
                <w:bCs/>
                <w:sz w:val="20"/>
                <w:szCs w:val="20"/>
                <w:highlight w:val="lightGray"/>
                <w:lang w:val="fr-FR"/>
              </w:rPr>
              <w:t xml:space="preserve"> n’ont pas encore été élaboré, ils seront fait</w:t>
            </w:r>
            <w:r w:rsidR="005C5840">
              <w:rPr>
                <w:bCs/>
                <w:sz w:val="20"/>
                <w:szCs w:val="20"/>
                <w:highlight w:val="lightGray"/>
                <w:lang w:val="fr-FR"/>
              </w:rPr>
              <w:t>s</w:t>
            </w:r>
            <w:r w:rsidRPr="00215769">
              <w:rPr>
                <w:bCs/>
                <w:sz w:val="20"/>
                <w:szCs w:val="20"/>
                <w:highlight w:val="lightGray"/>
                <w:lang w:val="fr-FR"/>
              </w:rPr>
              <w:t xml:space="preserve"> après le dialogue entre les acteurs de la justice et les population</w:t>
            </w:r>
            <w:r w:rsidR="00DA3A0D">
              <w:rPr>
                <w:bCs/>
                <w:sz w:val="20"/>
                <w:szCs w:val="20"/>
                <w:highlight w:val="lightGray"/>
                <w:lang w:val="fr-FR"/>
              </w:rPr>
              <w:t>s</w:t>
            </w:r>
            <w:r w:rsidRPr="00215769">
              <w:rPr>
                <w:bCs/>
                <w:sz w:val="20"/>
                <w:szCs w:val="20"/>
                <w:highlight w:val="lightGray"/>
                <w:lang w:val="fr-FR"/>
              </w:rPr>
              <w:t xml:space="preserve">, précisément lors des ateliers de restitutions et de validation. Elle prendra en compte les données du Baromètre et seront élaboré avec tous les partenaires de mise en œuvre. </w:t>
            </w:r>
          </w:p>
          <w:p w14:paraId="42318C98" w14:textId="17DBEEE8" w:rsidR="00216F59" w:rsidRPr="00215769" w:rsidRDefault="00216F59" w:rsidP="00215769">
            <w:pPr>
              <w:jc w:val="both"/>
              <w:rPr>
                <w:bCs/>
                <w:sz w:val="20"/>
                <w:szCs w:val="20"/>
                <w:lang w:val="fr-FR"/>
              </w:rPr>
            </w:pPr>
            <w:r w:rsidRPr="00215769">
              <w:rPr>
                <w:bCs/>
                <w:sz w:val="20"/>
                <w:szCs w:val="20"/>
                <w:highlight w:val="lightGray"/>
                <w:lang w:val="fr-FR"/>
              </w:rPr>
              <w:t xml:space="preserve">Une proposition de reformulation de l’indicateur sera </w:t>
            </w:r>
            <w:proofErr w:type="gramStart"/>
            <w:r w:rsidRPr="00215769">
              <w:rPr>
                <w:bCs/>
                <w:sz w:val="20"/>
                <w:szCs w:val="20"/>
                <w:highlight w:val="lightGray"/>
                <w:lang w:val="fr-FR"/>
              </w:rPr>
              <w:t>soumis</w:t>
            </w:r>
            <w:proofErr w:type="gramEnd"/>
            <w:r w:rsidRPr="00215769">
              <w:rPr>
                <w:bCs/>
                <w:sz w:val="20"/>
                <w:szCs w:val="20"/>
                <w:highlight w:val="lightGray"/>
                <w:lang w:val="fr-FR"/>
              </w:rPr>
              <w:t xml:space="preserve"> au PBF </w:t>
            </w:r>
            <w:r w:rsidR="00A85A28">
              <w:rPr>
                <w:bCs/>
                <w:sz w:val="20"/>
                <w:szCs w:val="20"/>
                <w:highlight w:val="lightGray"/>
                <w:lang w:val="fr-FR"/>
              </w:rPr>
              <w:t xml:space="preserve">à part </w:t>
            </w:r>
            <w:r w:rsidRPr="00215769">
              <w:rPr>
                <w:bCs/>
                <w:sz w:val="20"/>
                <w:szCs w:val="20"/>
                <w:highlight w:val="lightGray"/>
                <w:lang w:val="fr-FR"/>
              </w:rPr>
              <w:t>pour permettre de pouvoir capturer les contributions du projet sur les changements au près des participants.</w:t>
            </w:r>
            <w:r w:rsidRPr="00215769">
              <w:rPr>
                <w:bCs/>
                <w:sz w:val="20"/>
                <w:szCs w:val="20"/>
                <w:lang w:val="fr-FR"/>
              </w:rPr>
              <w:t xml:space="preserve"> </w:t>
            </w:r>
          </w:p>
          <w:p w14:paraId="3808BC6E" w14:textId="77777777" w:rsidR="00216F59" w:rsidRPr="00215769" w:rsidRDefault="00216F59" w:rsidP="008D3486">
            <w:pPr>
              <w:rPr>
                <w:bCs/>
                <w:sz w:val="20"/>
                <w:szCs w:val="20"/>
                <w:lang w:val="fr-FR"/>
              </w:rPr>
            </w:pPr>
          </w:p>
          <w:p w14:paraId="7353A064" w14:textId="6582117B" w:rsidR="008D3486" w:rsidRPr="00215769" w:rsidRDefault="008D3486" w:rsidP="008D3486">
            <w:pPr>
              <w:rPr>
                <w:bCs/>
                <w:sz w:val="20"/>
                <w:szCs w:val="20"/>
                <w:highlight w:val="lightGray"/>
                <w:lang w:val="fr-FR" w:eastAsia="en-US"/>
              </w:rPr>
            </w:pPr>
          </w:p>
        </w:tc>
      </w:tr>
      <w:tr w:rsidR="008D3486" w:rsidRPr="009740FB" w14:paraId="2C2D5AA2" w14:textId="77777777" w:rsidTr="681F2457">
        <w:trPr>
          <w:trHeight w:val="467"/>
        </w:trPr>
        <w:tc>
          <w:tcPr>
            <w:tcW w:w="1530" w:type="dxa"/>
            <w:vMerge/>
          </w:tcPr>
          <w:p w14:paraId="4299A077" w14:textId="77777777" w:rsidR="008D3486" w:rsidRPr="00ED6B34" w:rsidRDefault="008D3486" w:rsidP="008D3486">
            <w:pPr>
              <w:rPr>
                <w:b/>
                <w:sz w:val="20"/>
                <w:szCs w:val="20"/>
                <w:lang w:val="fr-FR" w:eastAsia="en-US"/>
              </w:rPr>
            </w:pPr>
          </w:p>
        </w:tc>
        <w:tc>
          <w:tcPr>
            <w:tcW w:w="2070" w:type="dxa"/>
            <w:shd w:val="clear" w:color="auto" w:fill="EEECE1"/>
          </w:tcPr>
          <w:p w14:paraId="1AADCD80" w14:textId="77777777" w:rsidR="008D3486" w:rsidRPr="00ED6B34" w:rsidRDefault="008D3486" w:rsidP="008D3486">
            <w:pPr>
              <w:jc w:val="both"/>
              <w:rPr>
                <w:b/>
                <w:bCs/>
                <w:sz w:val="20"/>
                <w:szCs w:val="20"/>
                <w:lang w:val="fr-FR" w:eastAsia="en-US"/>
              </w:rPr>
            </w:pPr>
            <w:r w:rsidRPr="00ED6B34">
              <w:rPr>
                <w:b/>
                <w:bCs/>
                <w:sz w:val="20"/>
                <w:szCs w:val="20"/>
                <w:lang w:val="fr-FR" w:eastAsia="en-US"/>
              </w:rPr>
              <w:t>Indicateur 1.2.4</w:t>
            </w:r>
          </w:p>
          <w:p w14:paraId="18B159EE" w14:textId="77777777" w:rsidR="008D3486" w:rsidRPr="00ED6B34" w:rsidRDefault="008D3486" w:rsidP="008D3486">
            <w:pPr>
              <w:jc w:val="both"/>
              <w:rPr>
                <w:sz w:val="20"/>
                <w:szCs w:val="20"/>
                <w:lang w:val="fr-FR" w:eastAsia="en-US"/>
              </w:rPr>
            </w:pPr>
            <w:r w:rsidRPr="00ED6B34">
              <w:rPr>
                <w:sz w:val="20"/>
                <w:szCs w:val="20"/>
                <w:lang w:val="fr-FR" w:eastAsia="en-US"/>
              </w:rPr>
              <w:fldChar w:fldCharType="begin">
                <w:ffData>
                  <w:name w:val=""/>
                  <w:enabled/>
                  <w:calcOnExit w:val="0"/>
                  <w:textInput>
                    <w:default w:val="Lancer une recherche de solutions durables et communes pour répondre aux besoins des parties prenantes (informant ainsi les R2 et R3"/>
                    <w:maxLength w:val="250"/>
                  </w:textInput>
                </w:ffData>
              </w:fldChar>
            </w:r>
            <w:r w:rsidRPr="00ED6B34">
              <w:rPr>
                <w:sz w:val="20"/>
                <w:szCs w:val="20"/>
                <w:lang w:val="fr-FR" w:eastAsia="en-US"/>
              </w:rPr>
              <w:instrText xml:space="preserve"> FORMTEXT </w:instrText>
            </w:r>
            <w:r w:rsidRPr="00ED6B34">
              <w:rPr>
                <w:sz w:val="20"/>
                <w:szCs w:val="20"/>
                <w:lang w:val="fr-FR" w:eastAsia="en-US"/>
              </w:rPr>
            </w:r>
            <w:r w:rsidRPr="00ED6B34">
              <w:rPr>
                <w:sz w:val="20"/>
                <w:szCs w:val="20"/>
                <w:lang w:val="fr-FR" w:eastAsia="en-US"/>
              </w:rPr>
              <w:fldChar w:fldCharType="separate"/>
            </w:r>
            <w:r w:rsidRPr="00ED6B34">
              <w:rPr>
                <w:sz w:val="20"/>
                <w:szCs w:val="20"/>
                <w:lang w:val="fr-FR" w:eastAsia="en-US"/>
              </w:rPr>
              <w:t xml:space="preserve">Lancer une recherche de solutions durables et </w:t>
            </w:r>
            <w:r w:rsidRPr="00ED6B34">
              <w:rPr>
                <w:sz w:val="20"/>
                <w:szCs w:val="20"/>
                <w:lang w:val="fr-FR" w:eastAsia="en-US"/>
              </w:rPr>
              <w:lastRenderedPageBreak/>
              <w:t>communes pour répondre aux besoins des parties prenantes (informant ainsi les R2 et R3</w:t>
            </w:r>
            <w:r w:rsidRPr="00ED6B34">
              <w:rPr>
                <w:sz w:val="20"/>
                <w:szCs w:val="20"/>
                <w:lang w:val="fr-FR" w:eastAsia="en-US"/>
              </w:rPr>
              <w:fldChar w:fldCharType="end"/>
            </w:r>
          </w:p>
        </w:tc>
        <w:tc>
          <w:tcPr>
            <w:tcW w:w="1530" w:type="dxa"/>
            <w:shd w:val="clear" w:color="auto" w:fill="EEECE1"/>
          </w:tcPr>
          <w:p w14:paraId="66D3BC4D" w14:textId="77777777" w:rsidR="008D3486" w:rsidRPr="00ED6B34" w:rsidRDefault="008D3486" w:rsidP="008D3486">
            <w:pPr>
              <w:rPr>
                <w:b/>
                <w:sz w:val="20"/>
                <w:szCs w:val="20"/>
                <w:lang w:val="fr-FR" w:eastAsia="en-US"/>
              </w:rPr>
            </w:pPr>
            <w:r w:rsidRPr="00ED6B34">
              <w:rPr>
                <w:b/>
                <w:sz w:val="20"/>
                <w:szCs w:val="20"/>
                <w:lang w:val="fr-FR" w:eastAsia="en-US"/>
              </w:rPr>
              <w:lastRenderedPageBreak/>
              <w:t>0</w:t>
            </w:r>
          </w:p>
        </w:tc>
        <w:tc>
          <w:tcPr>
            <w:tcW w:w="1620" w:type="dxa"/>
            <w:shd w:val="clear" w:color="auto" w:fill="EEECE1"/>
          </w:tcPr>
          <w:p w14:paraId="63EBC2B1" w14:textId="77777777" w:rsidR="008D3486" w:rsidRPr="00ED6B34" w:rsidRDefault="008D3486" w:rsidP="008D3486">
            <w:pPr>
              <w:rPr>
                <w:b/>
                <w:sz w:val="20"/>
                <w:szCs w:val="20"/>
                <w:lang w:val="fr-FR" w:eastAsia="en-US"/>
              </w:rPr>
            </w:pPr>
            <w:r w:rsidRPr="00ED6B34">
              <w:rPr>
                <w:b/>
                <w:sz w:val="20"/>
                <w:szCs w:val="20"/>
                <w:lang w:val="fr-FR" w:eastAsia="en-US"/>
              </w:rPr>
              <w:t>6</w:t>
            </w:r>
          </w:p>
        </w:tc>
        <w:tc>
          <w:tcPr>
            <w:tcW w:w="2070" w:type="dxa"/>
          </w:tcPr>
          <w:p w14:paraId="6698EFA4" w14:textId="77777777" w:rsidR="008D3486" w:rsidRPr="00ED6B34" w:rsidRDefault="008D3486" w:rsidP="008D3486">
            <w:pPr>
              <w:rPr>
                <w:b/>
                <w:sz w:val="20"/>
                <w:szCs w:val="20"/>
                <w:lang w:val="fr-FR" w:eastAsia="en-US"/>
              </w:rPr>
            </w:pPr>
            <w:r w:rsidRPr="00ED6B34">
              <w:rPr>
                <w:b/>
                <w:sz w:val="20"/>
                <w:szCs w:val="20"/>
                <w:lang w:val="fr-FR" w:eastAsia="en-US"/>
              </w:rPr>
              <w:t>3</w:t>
            </w:r>
          </w:p>
        </w:tc>
        <w:tc>
          <w:tcPr>
            <w:tcW w:w="2070" w:type="dxa"/>
          </w:tcPr>
          <w:p w14:paraId="5D04FDE8" w14:textId="343ED400" w:rsidR="008D3486" w:rsidRPr="00DC6E16" w:rsidRDefault="001C201B" w:rsidP="008D3486">
            <w:pPr>
              <w:rPr>
                <w:bCs/>
                <w:sz w:val="20"/>
                <w:szCs w:val="20"/>
                <w:lang w:val="fr-FR"/>
              </w:rPr>
            </w:pPr>
            <w:r w:rsidRPr="00DA3A0D">
              <w:rPr>
                <w:bCs/>
                <w:sz w:val="20"/>
                <w:szCs w:val="20"/>
                <w:highlight w:val="lightGray"/>
                <w:lang w:val="fr-FR"/>
              </w:rPr>
              <w:t>N/A</w:t>
            </w:r>
          </w:p>
          <w:p w14:paraId="52B11DC2" w14:textId="752F77A6" w:rsidR="008D3486" w:rsidRPr="00DC6E16" w:rsidRDefault="008D3486" w:rsidP="008D3486">
            <w:pPr>
              <w:rPr>
                <w:bCs/>
                <w:sz w:val="20"/>
                <w:szCs w:val="20"/>
                <w:lang w:val="fr-FR" w:eastAsia="en-US"/>
              </w:rPr>
            </w:pPr>
          </w:p>
        </w:tc>
        <w:tc>
          <w:tcPr>
            <w:tcW w:w="4140" w:type="dxa"/>
          </w:tcPr>
          <w:p w14:paraId="3A27E339" w14:textId="1506EBE6" w:rsidR="00216F59" w:rsidRPr="00215769" w:rsidRDefault="009F1765" w:rsidP="00215769">
            <w:pPr>
              <w:jc w:val="both"/>
              <w:rPr>
                <w:bCs/>
                <w:sz w:val="20"/>
                <w:szCs w:val="20"/>
                <w:highlight w:val="lightGray"/>
                <w:lang w:val="fr-FR"/>
              </w:rPr>
            </w:pPr>
            <w:r w:rsidRPr="00215769">
              <w:rPr>
                <w:bCs/>
                <w:sz w:val="20"/>
                <w:szCs w:val="20"/>
                <w:highlight w:val="lightGray"/>
                <w:lang w:val="fr-FR"/>
              </w:rPr>
              <w:t xml:space="preserve">Les solutions sont recueillies au cours des différentes rencontres mais elles seront raffinées </w:t>
            </w:r>
            <w:r w:rsidR="00215289" w:rsidRPr="00215769">
              <w:rPr>
                <w:bCs/>
                <w:sz w:val="20"/>
                <w:szCs w:val="20"/>
                <w:highlight w:val="lightGray"/>
                <w:lang w:val="fr-FR"/>
              </w:rPr>
              <w:t xml:space="preserve">avec les dialogues entres les acteurs de la justice </w:t>
            </w:r>
            <w:r w:rsidR="00215289" w:rsidRPr="00215769">
              <w:rPr>
                <w:bCs/>
                <w:sz w:val="20"/>
                <w:szCs w:val="20"/>
                <w:highlight w:val="lightGray"/>
                <w:lang w:val="fr-FR"/>
              </w:rPr>
              <w:lastRenderedPageBreak/>
              <w:t>et les communaut</w:t>
            </w:r>
            <w:r w:rsidR="00A07DD6" w:rsidRPr="00215769">
              <w:rPr>
                <w:bCs/>
                <w:sz w:val="20"/>
                <w:szCs w:val="20"/>
                <w:highlight w:val="lightGray"/>
                <w:lang w:val="fr-FR"/>
              </w:rPr>
              <w:t>és ainsi que les restitutions</w:t>
            </w:r>
            <w:r w:rsidR="009F7102" w:rsidRPr="00215769">
              <w:rPr>
                <w:bCs/>
                <w:sz w:val="20"/>
                <w:szCs w:val="20"/>
                <w:highlight w:val="lightGray"/>
                <w:lang w:val="fr-FR"/>
              </w:rPr>
              <w:t>. Ces activités débutent en novembre 2021.</w:t>
            </w:r>
          </w:p>
          <w:p w14:paraId="1023F5FE" w14:textId="2B3CB87E" w:rsidR="00216F59" w:rsidRPr="00215769" w:rsidRDefault="00216F59" w:rsidP="00215769">
            <w:pPr>
              <w:jc w:val="both"/>
              <w:rPr>
                <w:bCs/>
                <w:sz w:val="20"/>
                <w:szCs w:val="20"/>
                <w:highlight w:val="lightGray"/>
                <w:lang w:val="fr-FR"/>
              </w:rPr>
            </w:pPr>
            <w:r w:rsidRPr="00215769">
              <w:rPr>
                <w:bCs/>
                <w:sz w:val="20"/>
                <w:szCs w:val="20"/>
                <w:highlight w:val="lightGray"/>
                <w:lang w:val="fr-FR"/>
              </w:rPr>
              <w:t>Une proposition de reformulation de l’indicateur sera soumis</w:t>
            </w:r>
            <w:r w:rsidR="005C5840">
              <w:rPr>
                <w:bCs/>
                <w:sz w:val="20"/>
                <w:szCs w:val="20"/>
                <w:highlight w:val="lightGray"/>
                <w:lang w:val="fr-FR"/>
              </w:rPr>
              <w:t>e</w:t>
            </w:r>
            <w:r w:rsidRPr="00215769">
              <w:rPr>
                <w:bCs/>
                <w:sz w:val="20"/>
                <w:szCs w:val="20"/>
                <w:highlight w:val="lightGray"/>
                <w:lang w:val="fr-FR"/>
              </w:rPr>
              <w:t xml:space="preserve"> au PBF </w:t>
            </w:r>
            <w:r w:rsidR="00A85A28">
              <w:rPr>
                <w:bCs/>
                <w:sz w:val="20"/>
                <w:szCs w:val="20"/>
                <w:highlight w:val="lightGray"/>
                <w:lang w:val="fr-FR"/>
              </w:rPr>
              <w:t xml:space="preserve">à part </w:t>
            </w:r>
            <w:r w:rsidRPr="00215769">
              <w:rPr>
                <w:bCs/>
                <w:sz w:val="20"/>
                <w:szCs w:val="20"/>
                <w:highlight w:val="lightGray"/>
                <w:lang w:val="fr-FR"/>
              </w:rPr>
              <w:t xml:space="preserve">pour permettre de pouvoir capturer les contributions du projet sur les changements au près des participants. </w:t>
            </w:r>
          </w:p>
          <w:p w14:paraId="18DDCD91" w14:textId="77777777" w:rsidR="00216F59" w:rsidRPr="00215769" w:rsidRDefault="00216F59" w:rsidP="008D3486">
            <w:pPr>
              <w:rPr>
                <w:bCs/>
                <w:sz w:val="20"/>
                <w:szCs w:val="20"/>
                <w:highlight w:val="lightGray"/>
                <w:lang w:val="fr-FR"/>
              </w:rPr>
            </w:pPr>
          </w:p>
          <w:p w14:paraId="07B454FE" w14:textId="6B3CB340" w:rsidR="008D3486" w:rsidRPr="00215769" w:rsidRDefault="008D3486" w:rsidP="001C201B">
            <w:pPr>
              <w:rPr>
                <w:bCs/>
                <w:sz w:val="20"/>
                <w:szCs w:val="20"/>
                <w:highlight w:val="lightGray"/>
                <w:lang w:val="fr-FR" w:eastAsia="en-US"/>
              </w:rPr>
            </w:pPr>
          </w:p>
        </w:tc>
      </w:tr>
      <w:tr w:rsidR="008D3486" w:rsidRPr="009740FB" w14:paraId="328D3E35" w14:textId="77777777" w:rsidTr="681F2457">
        <w:trPr>
          <w:trHeight w:val="422"/>
        </w:trPr>
        <w:tc>
          <w:tcPr>
            <w:tcW w:w="1530" w:type="dxa"/>
            <w:vMerge w:val="restart"/>
          </w:tcPr>
          <w:p w14:paraId="62FAC1D4" w14:textId="77777777" w:rsidR="008D3486" w:rsidRPr="00ED6B34" w:rsidRDefault="008D3486" w:rsidP="008D3486">
            <w:pPr>
              <w:rPr>
                <w:sz w:val="20"/>
                <w:szCs w:val="20"/>
                <w:lang w:val="fr-FR" w:eastAsia="en-US"/>
              </w:rPr>
            </w:pPr>
            <w:r w:rsidRPr="00ED6B34">
              <w:rPr>
                <w:sz w:val="20"/>
                <w:szCs w:val="20"/>
                <w:lang w:val="fr-FR" w:eastAsia="en-US"/>
              </w:rPr>
              <w:lastRenderedPageBreak/>
              <w:t>Produit 1.3</w:t>
            </w:r>
          </w:p>
          <w:p w14:paraId="48EADF12" w14:textId="77777777" w:rsidR="008D3486" w:rsidRPr="00ED6B34" w:rsidRDefault="008D3486" w:rsidP="008D3486">
            <w:pPr>
              <w:rPr>
                <w:sz w:val="20"/>
                <w:szCs w:val="20"/>
                <w:lang w:val="fr-FR" w:eastAsia="en-US"/>
              </w:rPr>
            </w:pPr>
            <w:r w:rsidRPr="00ED6B34">
              <w:rPr>
                <w:sz w:val="20"/>
                <w:szCs w:val="20"/>
                <w:lang w:val="fr-FR"/>
              </w:rPr>
              <w:t>360 personnes sont engagées à la recherche de solution locales communes et les acteurs clés de la justice s'engagent à soutenir des changements durables</w:t>
            </w:r>
          </w:p>
        </w:tc>
        <w:tc>
          <w:tcPr>
            <w:tcW w:w="2070" w:type="dxa"/>
            <w:shd w:val="clear" w:color="auto" w:fill="EEECE1"/>
          </w:tcPr>
          <w:p w14:paraId="757C9572" w14:textId="77777777" w:rsidR="008D3486" w:rsidRPr="00ED6B34" w:rsidRDefault="008D3486" w:rsidP="008D3486">
            <w:pPr>
              <w:jc w:val="both"/>
              <w:rPr>
                <w:b/>
                <w:bCs/>
                <w:sz w:val="20"/>
                <w:szCs w:val="20"/>
                <w:lang w:val="fr-FR" w:eastAsia="en-US"/>
              </w:rPr>
            </w:pPr>
            <w:r w:rsidRPr="00ED6B34">
              <w:rPr>
                <w:b/>
                <w:bCs/>
                <w:sz w:val="20"/>
                <w:szCs w:val="20"/>
                <w:lang w:val="fr-FR" w:eastAsia="en-US"/>
              </w:rPr>
              <w:t>Indicateur 1.3.1</w:t>
            </w:r>
          </w:p>
          <w:p w14:paraId="477E236F" w14:textId="77777777" w:rsidR="008D3486" w:rsidRPr="00ED6B34" w:rsidRDefault="008D3486" w:rsidP="008D3486">
            <w:pPr>
              <w:jc w:val="both"/>
              <w:rPr>
                <w:bCs/>
                <w:sz w:val="20"/>
                <w:szCs w:val="20"/>
                <w:lang w:val="fr-FR" w:eastAsia="en-US"/>
              </w:rPr>
            </w:pPr>
            <w:r w:rsidRPr="00ED6B34">
              <w:rPr>
                <w:bCs/>
                <w:sz w:val="20"/>
                <w:szCs w:val="20"/>
                <w:lang w:val="fr-FR" w:eastAsia="en-US"/>
              </w:rPr>
              <w:t>Nombre de personnes participants aux échanges et dialogues sur les rôles et responsabilités des acteurs de la chaine judiciaire.</w:t>
            </w:r>
          </w:p>
        </w:tc>
        <w:tc>
          <w:tcPr>
            <w:tcW w:w="1530" w:type="dxa"/>
            <w:shd w:val="clear" w:color="auto" w:fill="EEECE1"/>
          </w:tcPr>
          <w:p w14:paraId="4D223E41" w14:textId="77777777" w:rsidR="008D3486" w:rsidRPr="00ED6B34" w:rsidRDefault="008D3486" w:rsidP="008D3486">
            <w:pPr>
              <w:rPr>
                <w:sz w:val="20"/>
                <w:szCs w:val="20"/>
                <w:lang w:val="fr-FR"/>
              </w:rPr>
            </w:pPr>
            <w:r w:rsidRPr="00ED6B34">
              <w:rPr>
                <w:b/>
                <w:sz w:val="20"/>
                <w:szCs w:val="20"/>
                <w:lang w:val="fr-FR" w:eastAsia="en-US"/>
              </w:rPr>
              <w:t>0</w:t>
            </w:r>
          </w:p>
        </w:tc>
        <w:tc>
          <w:tcPr>
            <w:tcW w:w="1620" w:type="dxa"/>
            <w:shd w:val="clear" w:color="auto" w:fill="EEECE1"/>
          </w:tcPr>
          <w:p w14:paraId="35BB10CA" w14:textId="77777777" w:rsidR="008D3486" w:rsidRPr="00ED6B34" w:rsidRDefault="008D3486" w:rsidP="008D3486">
            <w:pPr>
              <w:rPr>
                <w:sz w:val="20"/>
                <w:szCs w:val="20"/>
                <w:lang w:val="fr-FR"/>
              </w:rPr>
            </w:pPr>
            <w:r w:rsidRPr="00ED6B34">
              <w:rPr>
                <w:b/>
                <w:sz w:val="20"/>
                <w:szCs w:val="20"/>
                <w:lang w:val="fr-FR" w:eastAsia="en-US"/>
              </w:rPr>
              <w:t>100</w:t>
            </w:r>
          </w:p>
        </w:tc>
        <w:tc>
          <w:tcPr>
            <w:tcW w:w="2070" w:type="dxa"/>
          </w:tcPr>
          <w:p w14:paraId="647FF2AB" w14:textId="77777777" w:rsidR="008D3486" w:rsidRPr="00ED6B34" w:rsidRDefault="008D3486" w:rsidP="008D3486">
            <w:pPr>
              <w:rPr>
                <w:sz w:val="20"/>
                <w:szCs w:val="20"/>
                <w:lang w:val="fr-FR"/>
              </w:rPr>
            </w:pPr>
            <w:r w:rsidRPr="00ED6B34">
              <w:rPr>
                <w:b/>
                <w:sz w:val="20"/>
                <w:szCs w:val="20"/>
                <w:lang w:val="fr-FR" w:eastAsia="en-US"/>
              </w:rPr>
              <w:t>0</w:t>
            </w:r>
          </w:p>
        </w:tc>
        <w:tc>
          <w:tcPr>
            <w:tcW w:w="2070" w:type="dxa"/>
          </w:tcPr>
          <w:p w14:paraId="4951CB9F" w14:textId="33FE4580" w:rsidR="008D3486" w:rsidRPr="00DA3A0D" w:rsidRDefault="007E0C5E" w:rsidP="008D3486">
            <w:pPr>
              <w:rPr>
                <w:bCs/>
                <w:sz w:val="20"/>
                <w:szCs w:val="20"/>
                <w:highlight w:val="lightGray"/>
                <w:lang w:val="fr-FR"/>
              </w:rPr>
            </w:pPr>
            <w:r w:rsidRPr="00DA3A0D">
              <w:rPr>
                <w:bCs/>
                <w:sz w:val="20"/>
                <w:szCs w:val="20"/>
                <w:highlight w:val="lightGray"/>
                <w:lang w:val="fr-FR"/>
              </w:rPr>
              <w:t>N/A</w:t>
            </w:r>
          </w:p>
          <w:p w14:paraId="61FD676E" w14:textId="77777777" w:rsidR="008D3486" w:rsidRPr="00DA3A0D" w:rsidRDefault="008D3486" w:rsidP="008D3486">
            <w:pPr>
              <w:rPr>
                <w:bCs/>
                <w:sz w:val="20"/>
                <w:szCs w:val="20"/>
                <w:highlight w:val="lightGray"/>
                <w:lang w:val="fr-FR"/>
              </w:rPr>
            </w:pPr>
          </w:p>
          <w:p w14:paraId="1B127C9A" w14:textId="107BD694" w:rsidR="008D3486" w:rsidRPr="00DA3A0D" w:rsidRDefault="008D3486" w:rsidP="008D3486">
            <w:pPr>
              <w:rPr>
                <w:bCs/>
                <w:sz w:val="20"/>
                <w:szCs w:val="20"/>
                <w:highlight w:val="lightGray"/>
                <w:lang w:val="fr-FR"/>
              </w:rPr>
            </w:pPr>
          </w:p>
        </w:tc>
        <w:tc>
          <w:tcPr>
            <w:tcW w:w="4140" w:type="dxa"/>
          </w:tcPr>
          <w:p w14:paraId="2EE7F955" w14:textId="1E55A55D" w:rsidR="008D3486" w:rsidRPr="00215769" w:rsidRDefault="007E0C5E" w:rsidP="008D3486">
            <w:pPr>
              <w:rPr>
                <w:bCs/>
                <w:sz w:val="20"/>
                <w:szCs w:val="20"/>
                <w:highlight w:val="lightGray"/>
                <w:lang w:val="fr-FR"/>
              </w:rPr>
            </w:pPr>
            <w:r w:rsidRPr="00215769">
              <w:rPr>
                <w:bCs/>
                <w:sz w:val="20"/>
                <w:szCs w:val="20"/>
                <w:highlight w:val="lightGray"/>
                <w:lang w:val="fr-FR"/>
              </w:rPr>
              <w:t xml:space="preserve">Les activités de dialogue vertical entre les acteurs </w:t>
            </w:r>
            <w:r w:rsidR="009F376A" w:rsidRPr="00215769">
              <w:rPr>
                <w:bCs/>
                <w:sz w:val="20"/>
                <w:szCs w:val="20"/>
                <w:highlight w:val="lightGray"/>
                <w:lang w:val="fr-FR"/>
              </w:rPr>
              <w:t>du système judiciaire, les forum</w:t>
            </w:r>
            <w:r w:rsidR="00215769" w:rsidRPr="00215769">
              <w:rPr>
                <w:bCs/>
                <w:sz w:val="20"/>
                <w:szCs w:val="20"/>
                <w:highlight w:val="lightGray"/>
                <w:lang w:val="fr-FR"/>
              </w:rPr>
              <w:t>s</w:t>
            </w:r>
            <w:r w:rsidR="009F376A" w:rsidRPr="00215769">
              <w:rPr>
                <w:bCs/>
                <w:sz w:val="20"/>
                <w:szCs w:val="20"/>
                <w:highlight w:val="lightGray"/>
                <w:lang w:val="fr-FR"/>
              </w:rPr>
              <w:t xml:space="preserve"> autour</w:t>
            </w:r>
            <w:r w:rsidR="005D23DB" w:rsidRPr="00215769">
              <w:rPr>
                <w:bCs/>
                <w:sz w:val="20"/>
                <w:szCs w:val="20"/>
                <w:highlight w:val="lightGray"/>
                <w:lang w:val="fr-FR"/>
              </w:rPr>
              <w:t>s d’échanges sur les r</w:t>
            </w:r>
            <w:r w:rsidR="00215769" w:rsidRPr="00215769">
              <w:rPr>
                <w:bCs/>
                <w:sz w:val="20"/>
                <w:szCs w:val="20"/>
                <w:highlight w:val="lightGray"/>
                <w:lang w:val="fr-FR"/>
              </w:rPr>
              <w:t>ô</w:t>
            </w:r>
            <w:r w:rsidR="005D23DB" w:rsidRPr="00215769">
              <w:rPr>
                <w:bCs/>
                <w:sz w:val="20"/>
                <w:szCs w:val="20"/>
                <w:highlight w:val="lightGray"/>
                <w:lang w:val="fr-FR"/>
              </w:rPr>
              <w:t>les et responsabilités débute à partir du mois de novembre 2021.</w:t>
            </w:r>
          </w:p>
          <w:p w14:paraId="2F42D90B" w14:textId="59B55AAE" w:rsidR="008D3486" w:rsidRPr="00215769" w:rsidRDefault="008D3486" w:rsidP="008D3486">
            <w:pPr>
              <w:rPr>
                <w:bCs/>
                <w:sz w:val="20"/>
                <w:szCs w:val="20"/>
                <w:highlight w:val="lightGray"/>
                <w:lang w:val="fr-FR"/>
              </w:rPr>
            </w:pPr>
          </w:p>
        </w:tc>
      </w:tr>
      <w:tr w:rsidR="008D3486" w:rsidRPr="00C17A40" w14:paraId="41B0F022" w14:textId="77777777" w:rsidTr="681F2457">
        <w:trPr>
          <w:trHeight w:val="422"/>
        </w:trPr>
        <w:tc>
          <w:tcPr>
            <w:tcW w:w="1530" w:type="dxa"/>
            <w:vMerge/>
          </w:tcPr>
          <w:p w14:paraId="6F984E78" w14:textId="77777777" w:rsidR="008D3486" w:rsidRPr="00ED6B34" w:rsidRDefault="008D3486" w:rsidP="008D3486">
            <w:pPr>
              <w:rPr>
                <w:b/>
                <w:sz w:val="20"/>
                <w:szCs w:val="20"/>
                <w:lang w:val="fr-FR" w:eastAsia="en-US"/>
              </w:rPr>
            </w:pPr>
          </w:p>
        </w:tc>
        <w:tc>
          <w:tcPr>
            <w:tcW w:w="2070" w:type="dxa"/>
            <w:shd w:val="clear" w:color="auto" w:fill="EEECE1"/>
          </w:tcPr>
          <w:p w14:paraId="41073BEB" w14:textId="77777777" w:rsidR="008D3486" w:rsidRPr="00ED6B34" w:rsidRDefault="008D3486" w:rsidP="008D3486">
            <w:pPr>
              <w:jc w:val="both"/>
              <w:rPr>
                <w:b/>
                <w:bCs/>
                <w:sz w:val="20"/>
                <w:szCs w:val="20"/>
                <w:lang w:val="fr-FR" w:eastAsia="en-US"/>
              </w:rPr>
            </w:pPr>
            <w:r w:rsidRPr="00ED6B34">
              <w:rPr>
                <w:b/>
                <w:bCs/>
                <w:sz w:val="20"/>
                <w:szCs w:val="20"/>
                <w:lang w:val="fr-FR" w:eastAsia="en-US"/>
              </w:rPr>
              <w:t>Indicateur 1.3.2</w:t>
            </w:r>
          </w:p>
          <w:p w14:paraId="4D92769E" w14:textId="77777777" w:rsidR="008D3486" w:rsidRPr="00ED6B34" w:rsidRDefault="008D3486" w:rsidP="008D3486">
            <w:pPr>
              <w:jc w:val="both"/>
              <w:rPr>
                <w:sz w:val="20"/>
                <w:szCs w:val="20"/>
                <w:lang w:val="fr-FR" w:eastAsia="en-US"/>
              </w:rPr>
            </w:pPr>
            <w:r w:rsidRPr="00ED6B34">
              <w:rPr>
                <w:bCs/>
                <w:sz w:val="20"/>
                <w:szCs w:val="20"/>
                <w:lang w:val="fr-FR" w:eastAsia="en-US"/>
              </w:rPr>
              <w:t xml:space="preserve">Nombre de cadre de rencontre avec les décideurs et acteurs internationaux sur </w:t>
            </w:r>
            <w:proofErr w:type="gramStart"/>
            <w:r w:rsidRPr="00ED6B34">
              <w:rPr>
                <w:bCs/>
                <w:sz w:val="20"/>
                <w:szCs w:val="20"/>
                <w:lang w:val="fr-FR" w:eastAsia="en-US"/>
              </w:rPr>
              <w:t>la justice créé</w:t>
            </w:r>
            <w:proofErr w:type="gramEnd"/>
            <w:r w:rsidRPr="00ED6B34">
              <w:rPr>
                <w:bCs/>
                <w:sz w:val="20"/>
                <w:szCs w:val="20"/>
                <w:lang w:val="fr-FR" w:eastAsia="en-US"/>
              </w:rPr>
              <w:t>.</w:t>
            </w:r>
          </w:p>
        </w:tc>
        <w:tc>
          <w:tcPr>
            <w:tcW w:w="1530" w:type="dxa"/>
            <w:shd w:val="clear" w:color="auto" w:fill="EEECE1"/>
          </w:tcPr>
          <w:p w14:paraId="06DD79D9" w14:textId="77777777" w:rsidR="008D3486" w:rsidRPr="00ED6B34" w:rsidRDefault="008D3486" w:rsidP="008D3486">
            <w:pPr>
              <w:rPr>
                <w:sz w:val="20"/>
                <w:szCs w:val="20"/>
                <w:lang w:val="fr-FR"/>
              </w:rPr>
            </w:pPr>
            <w:r w:rsidRPr="00ED6B34">
              <w:rPr>
                <w:b/>
                <w:sz w:val="20"/>
                <w:szCs w:val="20"/>
                <w:lang w:val="fr-FR" w:eastAsia="en-US"/>
              </w:rPr>
              <w:t>0</w:t>
            </w:r>
          </w:p>
        </w:tc>
        <w:tc>
          <w:tcPr>
            <w:tcW w:w="1620" w:type="dxa"/>
            <w:shd w:val="clear" w:color="auto" w:fill="EEECE1"/>
          </w:tcPr>
          <w:p w14:paraId="79982344" w14:textId="77777777" w:rsidR="008D3486" w:rsidRPr="00ED6B34" w:rsidRDefault="008D3486" w:rsidP="008D3486">
            <w:pPr>
              <w:rPr>
                <w:sz w:val="20"/>
                <w:szCs w:val="20"/>
                <w:lang w:val="fr-FR"/>
              </w:rPr>
            </w:pPr>
            <w:r w:rsidRPr="00ED6B34">
              <w:rPr>
                <w:b/>
                <w:sz w:val="20"/>
                <w:szCs w:val="20"/>
                <w:lang w:val="fr-FR" w:eastAsia="en-US"/>
              </w:rPr>
              <w:t>14</w:t>
            </w:r>
          </w:p>
        </w:tc>
        <w:tc>
          <w:tcPr>
            <w:tcW w:w="2070" w:type="dxa"/>
          </w:tcPr>
          <w:p w14:paraId="5C8DD2B3" w14:textId="77777777" w:rsidR="008D3486" w:rsidRPr="00ED6B34" w:rsidRDefault="008D3486" w:rsidP="008D3486">
            <w:pPr>
              <w:rPr>
                <w:sz w:val="20"/>
                <w:szCs w:val="20"/>
                <w:lang w:val="fr-FR"/>
              </w:rPr>
            </w:pPr>
            <w:r w:rsidRPr="00ED6B34">
              <w:rPr>
                <w:b/>
                <w:sz w:val="20"/>
                <w:szCs w:val="20"/>
                <w:lang w:val="fr-FR" w:eastAsia="en-US"/>
              </w:rPr>
              <w:t>5</w:t>
            </w:r>
          </w:p>
        </w:tc>
        <w:tc>
          <w:tcPr>
            <w:tcW w:w="2070" w:type="dxa"/>
          </w:tcPr>
          <w:p w14:paraId="1D39F8A1" w14:textId="4AD77B2A" w:rsidR="008D3486" w:rsidRPr="00DA3A0D" w:rsidRDefault="00EF1640" w:rsidP="008D3486">
            <w:pPr>
              <w:rPr>
                <w:bCs/>
                <w:sz w:val="20"/>
                <w:szCs w:val="20"/>
                <w:highlight w:val="lightGray"/>
                <w:lang w:val="fr-FR"/>
              </w:rPr>
            </w:pPr>
            <w:r w:rsidRPr="00DA3A0D">
              <w:rPr>
                <w:bCs/>
                <w:sz w:val="20"/>
                <w:szCs w:val="20"/>
                <w:highlight w:val="lightGray"/>
                <w:lang w:val="fr-FR"/>
              </w:rPr>
              <w:t>1</w:t>
            </w:r>
          </w:p>
          <w:p w14:paraId="54040058" w14:textId="77777777" w:rsidR="008D3486" w:rsidRPr="00DA3A0D" w:rsidRDefault="008D3486" w:rsidP="008D3486">
            <w:pPr>
              <w:rPr>
                <w:bCs/>
                <w:sz w:val="20"/>
                <w:szCs w:val="20"/>
                <w:highlight w:val="lightGray"/>
                <w:lang w:val="fr-FR"/>
              </w:rPr>
            </w:pPr>
          </w:p>
          <w:p w14:paraId="6BB6DAF8" w14:textId="3B418459" w:rsidR="008D3486" w:rsidRPr="00DA3A0D" w:rsidRDefault="008D3486" w:rsidP="008D3486">
            <w:pPr>
              <w:rPr>
                <w:bCs/>
                <w:sz w:val="20"/>
                <w:szCs w:val="20"/>
                <w:highlight w:val="lightGray"/>
                <w:lang w:val="fr-FR"/>
              </w:rPr>
            </w:pPr>
          </w:p>
        </w:tc>
        <w:tc>
          <w:tcPr>
            <w:tcW w:w="4140" w:type="dxa"/>
          </w:tcPr>
          <w:p w14:paraId="44221600" w14:textId="640D84FD" w:rsidR="008D3486" w:rsidRPr="00215769" w:rsidRDefault="00EF1640" w:rsidP="008D3486">
            <w:pPr>
              <w:rPr>
                <w:bCs/>
                <w:sz w:val="20"/>
                <w:szCs w:val="20"/>
                <w:highlight w:val="lightGray"/>
                <w:lang w:val="fr-FR"/>
              </w:rPr>
            </w:pPr>
            <w:r w:rsidRPr="00215769">
              <w:rPr>
                <w:bCs/>
                <w:sz w:val="20"/>
                <w:szCs w:val="20"/>
                <w:highlight w:val="lightGray"/>
                <w:lang w:val="fr-FR"/>
              </w:rPr>
              <w:t>Un cadre d’échange s’est tenu à Bama</w:t>
            </w:r>
            <w:r w:rsidR="009F2B02" w:rsidRPr="00215769">
              <w:rPr>
                <w:bCs/>
                <w:sz w:val="20"/>
                <w:szCs w:val="20"/>
                <w:highlight w:val="lightGray"/>
                <w:lang w:val="fr-FR"/>
              </w:rPr>
              <w:t>ko avec les membre</w:t>
            </w:r>
            <w:r w:rsidR="005C5840">
              <w:rPr>
                <w:bCs/>
                <w:sz w:val="20"/>
                <w:szCs w:val="20"/>
                <w:highlight w:val="lightGray"/>
                <w:lang w:val="fr-FR"/>
              </w:rPr>
              <w:t>s</w:t>
            </w:r>
            <w:r w:rsidR="009F2B02" w:rsidRPr="00215769">
              <w:rPr>
                <w:bCs/>
                <w:sz w:val="20"/>
                <w:szCs w:val="20"/>
                <w:highlight w:val="lightGray"/>
                <w:lang w:val="fr-FR"/>
              </w:rPr>
              <w:t xml:space="preserve"> du comité de pilotage</w:t>
            </w:r>
            <w:r w:rsidR="00577530" w:rsidRPr="00215769">
              <w:rPr>
                <w:bCs/>
                <w:sz w:val="20"/>
                <w:szCs w:val="20"/>
                <w:highlight w:val="lightGray"/>
                <w:lang w:val="fr-FR"/>
              </w:rPr>
              <w:t>.</w:t>
            </w:r>
          </w:p>
          <w:p w14:paraId="25AEE5C1" w14:textId="3FDC604F" w:rsidR="008D3486" w:rsidRPr="00215769" w:rsidRDefault="008D3486" w:rsidP="008D3486">
            <w:pPr>
              <w:pStyle w:val="Kommentartext"/>
              <w:rPr>
                <w:bCs/>
                <w:highlight w:val="lightGray"/>
                <w:lang w:val="fr-FR"/>
              </w:rPr>
            </w:pPr>
          </w:p>
        </w:tc>
      </w:tr>
      <w:tr w:rsidR="008D3486" w:rsidRPr="009740FB" w14:paraId="7BD8B8BE" w14:textId="77777777" w:rsidTr="681F2457">
        <w:trPr>
          <w:trHeight w:val="422"/>
        </w:trPr>
        <w:tc>
          <w:tcPr>
            <w:tcW w:w="1530" w:type="dxa"/>
            <w:vMerge w:val="restart"/>
          </w:tcPr>
          <w:p w14:paraId="3BF92C15" w14:textId="77777777" w:rsidR="008D3486" w:rsidRPr="00DC6E16" w:rsidRDefault="008D3486" w:rsidP="008D3486">
            <w:pPr>
              <w:rPr>
                <w:b/>
                <w:sz w:val="20"/>
                <w:szCs w:val="20"/>
                <w:lang w:val="fr-FR" w:eastAsia="en-US"/>
              </w:rPr>
            </w:pPr>
            <w:r w:rsidRPr="00DC6E16">
              <w:rPr>
                <w:b/>
                <w:sz w:val="20"/>
                <w:szCs w:val="20"/>
                <w:lang w:val="fr-FR" w:eastAsia="en-US"/>
              </w:rPr>
              <w:t>Résultat 2</w:t>
            </w:r>
          </w:p>
          <w:p w14:paraId="611CF266" w14:textId="77777777" w:rsidR="008D3486" w:rsidRPr="00DC6E16" w:rsidRDefault="008D3486" w:rsidP="008D3486">
            <w:pPr>
              <w:rPr>
                <w:b/>
                <w:sz w:val="20"/>
                <w:szCs w:val="20"/>
                <w:lang w:val="fr-FR" w:eastAsia="en-US"/>
              </w:rPr>
            </w:pPr>
            <w:r w:rsidRPr="00DC6E16">
              <w:rPr>
                <w:sz w:val="20"/>
                <w:szCs w:val="20"/>
                <w:lang w:val="fr-FR"/>
              </w:rPr>
              <w:t xml:space="preserve">Les acteurs de la justice formelle et informelle sont plus efficaces et disposent d’une confiance accrue de la part des </w:t>
            </w:r>
            <w:r w:rsidRPr="00DC6E16">
              <w:rPr>
                <w:sz w:val="20"/>
                <w:szCs w:val="20"/>
                <w:lang w:val="fr-FR"/>
              </w:rPr>
              <w:lastRenderedPageBreak/>
              <w:t>populations afin de mieux combattre l’impunité dans les régions de Ségou et Mopti.</w:t>
            </w:r>
          </w:p>
          <w:p w14:paraId="2E8C2BEA" w14:textId="77777777" w:rsidR="008D3486" w:rsidRPr="00DC6E16" w:rsidRDefault="008D3486" w:rsidP="008D3486">
            <w:pPr>
              <w:rPr>
                <w:b/>
                <w:sz w:val="20"/>
                <w:szCs w:val="20"/>
                <w:lang w:val="fr-FR" w:eastAsia="en-US"/>
              </w:rPr>
            </w:pPr>
          </w:p>
        </w:tc>
        <w:tc>
          <w:tcPr>
            <w:tcW w:w="2070" w:type="dxa"/>
            <w:shd w:val="clear" w:color="auto" w:fill="EEECE1"/>
          </w:tcPr>
          <w:p w14:paraId="527D8952" w14:textId="77777777" w:rsidR="008D3486" w:rsidRPr="00DC6E16" w:rsidRDefault="008D3486" w:rsidP="008D3486">
            <w:pPr>
              <w:jc w:val="both"/>
              <w:rPr>
                <w:b/>
                <w:bCs/>
                <w:sz w:val="20"/>
                <w:szCs w:val="20"/>
                <w:lang w:val="fr-FR" w:eastAsia="en-US"/>
              </w:rPr>
            </w:pPr>
            <w:r w:rsidRPr="00DC6E16">
              <w:rPr>
                <w:b/>
                <w:bCs/>
                <w:sz w:val="20"/>
                <w:szCs w:val="20"/>
                <w:lang w:val="fr-FR" w:eastAsia="en-US"/>
              </w:rPr>
              <w:lastRenderedPageBreak/>
              <w:t>Indicateur 2.a</w:t>
            </w:r>
          </w:p>
          <w:p w14:paraId="3509FC69" w14:textId="77777777" w:rsidR="008D3486" w:rsidRPr="00DC6E16" w:rsidRDefault="008D3486" w:rsidP="008D3486">
            <w:pPr>
              <w:jc w:val="both"/>
              <w:rPr>
                <w:bCs/>
                <w:sz w:val="20"/>
                <w:szCs w:val="20"/>
                <w:lang w:val="fr-FR" w:eastAsia="en-US"/>
              </w:rPr>
            </w:pPr>
            <w:r w:rsidRPr="00DC6E16">
              <w:rPr>
                <w:bCs/>
                <w:sz w:val="20"/>
                <w:szCs w:val="20"/>
                <w:lang w:val="fr-FR" w:eastAsia="en-US"/>
              </w:rPr>
              <w:t>Niveau des populations envers les forces de sécurités dans les communes concernées par les CCS (données désagrégées en H, F et jeunes)</w:t>
            </w:r>
          </w:p>
        </w:tc>
        <w:tc>
          <w:tcPr>
            <w:tcW w:w="1530" w:type="dxa"/>
            <w:shd w:val="clear" w:color="auto" w:fill="EEECE1"/>
          </w:tcPr>
          <w:p w14:paraId="5B251804" w14:textId="77777777" w:rsidR="008D3486" w:rsidRPr="00ED6B34" w:rsidRDefault="008D3486" w:rsidP="008D3486">
            <w:pPr>
              <w:rPr>
                <w:sz w:val="20"/>
                <w:szCs w:val="20"/>
                <w:lang w:val="fr-FR"/>
              </w:rPr>
            </w:pPr>
            <w:r w:rsidRPr="00ED6B34">
              <w:rPr>
                <w:b/>
                <w:sz w:val="20"/>
                <w:szCs w:val="20"/>
                <w:lang w:val="fr-FR" w:eastAsia="en-US"/>
              </w:rPr>
              <w:t>TBD-Baromètre</w:t>
            </w:r>
          </w:p>
        </w:tc>
        <w:tc>
          <w:tcPr>
            <w:tcW w:w="1620" w:type="dxa"/>
            <w:shd w:val="clear" w:color="auto" w:fill="EEECE1"/>
          </w:tcPr>
          <w:p w14:paraId="3917436B" w14:textId="77777777" w:rsidR="008D3486" w:rsidRPr="00ED6B34" w:rsidRDefault="008D3486" w:rsidP="008D3486">
            <w:pPr>
              <w:rPr>
                <w:sz w:val="20"/>
                <w:szCs w:val="20"/>
                <w:lang w:val="fr-FR"/>
              </w:rPr>
            </w:pPr>
            <w:r w:rsidRPr="00ED6B34">
              <w:rPr>
                <w:b/>
                <w:sz w:val="20"/>
                <w:szCs w:val="20"/>
                <w:lang w:val="fr-FR" w:eastAsia="en-US"/>
              </w:rPr>
              <w:t>5%</w:t>
            </w:r>
          </w:p>
        </w:tc>
        <w:tc>
          <w:tcPr>
            <w:tcW w:w="2070" w:type="dxa"/>
          </w:tcPr>
          <w:p w14:paraId="4C824446" w14:textId="1236D5A5" w:rsidR="008D3486" w:rsidRPr="00ED6B34" w:rsidRDefault="008D3486" w:rsidP="008D3486">
            <w:pPr>
              <w:rPr>
                <w:sz w:val="20"/>
                <w:szCs w:val="20"/>
                <w:lang w:val="fr-FR"/>
              </w:rPr>
            </w:pPr>
          </w:p>
        </w:tc>
        <w:tc>
          <w:tcPr>
            <w:tcW w:w="2070" w:type="dxa"/>
          </w:tcPr>
          <w:p w14:paraId="4C45251B" w14:textId="77777777" w:rsidR="008D3486" w:rsidRPr="00ED6B34" w:rsidRDefault="008D3486" w:rsidP="008D3486">
            <w:pPr>
              <w:rPr>
                <w:bCs/>
                <w:sz w:val="20"/>
                <w:szCs w:val="20"/>
                <w:lang w:val="fr-FR"/>
              </w:rPr>
            </w:pPr>
          </w:p>
          <w:p w14:paraId="3C821A8E" w14:textId="046793B0" w:rsidR="008D3486" w:rsidRPr="00ED6B34" w:rsidRDefault="008D3486" w:rsidP="008D3486">
            <w:pPr>
              <w:rPr>
                <w:sz w:val="20"/>
                <w:szCs w:val="20"/>
                <w:lang w:val="fr-FR"/>
              </w:rPr>
            </w:pPr>
          </w:p>
        </w:tc>
        <w:tc>
          <w:tcPr>
            <w:tcW w:w="4140" w:type="dxa"/>
          </w:tcPr>
          <w:p w14:paraId="611E0628" w14:textId="468C3798" w:rsidR="008D3486" w:rsidRPr="00215769" w:rsidRDefault="00A85A28" w:rsidP="008D3486">
            <w:pPr>
              <w:rPr>
                <w:bCs/>
                <w:sz w:val="20"/>
                <w:szCs w:val="20"/>
                <w:highlight w:val="lightGray"/>
                <w:lang w:val="fr-FR"/>
              </w:rPr>
            </w:pPr>
            <w:r>
              <w:rPr>
                <w:bCs/>
                <w:sz w:val="20"/>
                <w:szCs w:val="20"/>
                <w:highlight w:val="lightGray"/>
                <w:lang w:val="fr-FR"/>
              </w:rPr>
              <w:t>Une proposition de r</w:t>
            </w:r>
            <w:r w:rsidR="007172DD" w:rsidRPr="00215769">
              <w:rPr>
                <w:bCs/>
                <w:sz w:val="20"/>
                <w:szCs w:val="20"/>
                <w:highlight w:val="lightGray"/>
                <w:lang w:val="fr-FR"/>
              </w:rPr>
              <w:t>eformulation de l’indicateur sera soumis</w:t>
            </w:r>
            <w:r>
              <w:rPr>
                <w:bCs/>
                <w:sz w:val="20"/>
                <w:szCs w:val="20"/>
                <w:highlight w:val="lightGray"/>
                <w:lang w:val="fr-FR"/>
              </w:rPr>
              <w:t>e</w:t>
            </w:r>
            <w:r w:rsidR="007172DD" w:rsidRPr="00215769">
              <w:rPr>
                <w:bCs/>
                <w:sz w:val="20"/>
                <w:szCs w:val="20"/>
                <w:highlight w:val="lightGray"/>
                <w:lang w:val="fr-FR"/>
              </w:rPr>
              <w:t xml:space="preserve"> </w:t>
            </w:r>
            <w:r>
              <w:rPr>
                <w:bCs/>
                <w:sz w:val="20"/>
                <w:szCs w:val="20"/>
                <w:highlight w:val="lightGray"/>
                <w:lang w:val="fr-FR"/>
              </w:rPr>
              <w:t xml:space="preserve">à part </w:t>
            </w:r>
            <w:r w:rsidR="005C5840">
              <w:rPr>
                <w:bCs/>
                <w:sz w:val="20"/>
                <w:szCs w:val="20"/>
                <w:highlight w:val="lightGray"/>
                <w:lang w:val="fr-FR"/>
              </w:rPr>
              <w:t>à</w:t>
            </w:r>
            <w:r w:rsidR="007172DD" w:rsidRPr="00215769">
              <w:rPr>
                <w:bCs/>
                <w:sz w:val="20"/>
                <w:szCs w:val="20"/>
                <w:highlight w:val="lightGray"/>
                <w:lang w:val="fr-FR"/>
              </w:rPr>
              <w:t xml:space="preserve"> l</w:t>
            </w:r>
            <w:r w:rsidR="005C5840">
              <w:rPr>
                <w:bCs/>
                <w:sz w:val="20"/>
                <w:szCs w:val="20"/>
                <w:highlight w:val="lightGray"/>
                <w:lang w:val="fr-FR"/>
              </w:rPr>
              <w:t>’</w:t>
            </w:r>
            <w:r w:rsidR="007172DD" w:rsidRPr="00215769">
              <w:rPr>
                <w:bCs/>
                <w:sz w:val="20"/>
                <w:szCs w:val="20"/>
                <w:highlight w:val="lightGray"/>
                <w:lang w:val="fr-FR"/>
              </w:rPr>
              <w:t>appr</w:t>
            </w:r>
            <w:r w:rsidR="005C5840">
              <w:rPr>
                <w:bCs/>
                <w:sz w:val="20"/>
                <w:szCs w:val="20"/>
                <w:highlight w:val="lightGray"/>
                <w:lang w:val="fr-FR"/>
              </w:rPr>
              <w:t>é</w:t>
            </w:r>
            <w:r w:rsidR="007172DD" w:rsidRPr="00215769">
              <w:rPr>
                <w:bCs/>
                <w:sz w:val="20"/>
                <w:szCs w:val="20"/>
                <w:highlight w:val="lightGray"/>
                <w:lang w:val="fr-FR"/>
              </w:rPr>
              <w:t>ciation du Secr</w:t>
            </w:r>
            <w:r w:rsidR="005C5840">
              <w:rPr>
                <w:bCs/>
                <w:sz w:val="20"/>
                <w:szCs w:val="20"/>
                <w:highlight w:val="lightGray"/>
                <w:lang w:val="fr-FR"/>
              </w:rPr>
              <w:t>é</w:t>
            </w:r>
            <w:r w:rsidR="007172DD" w:rsidRPr="00215769">
              <w:rPr>
                <w:bCs/>
                <w:sz w:val="20"/>
                <w:szCs w:val="20"/>
                <w:highlight w:val="lightGray"/>
                <w:lang w:val="fr-FR"/>
              </w:rPr>
              <w:t>tariat du PBF vu qu’il n’est pas pr</w:t>
            </w:r>
            <w:r w:rsidR="005C5840">
              <w:rPr>
                <w:bCs/>
                <w:sz w:val="20"/>
                <w:szCs w:val="20"/>
                <w:highlight w:val="lightGray"/>
                <w:lang w:val="fr-FR"/>
              </w:rPr>
              <w:t>é</w:t>
            </w:r>
            <w:r w:rsidR="007172DD" w:rsidRPr="00215769">
              <w:rPr>
                <w:bCs/>
                <w:sz w:val="20"/>
                <w:szCs w:val="20"/>
                <w:highlight w:val="lightGray"/>
                <w:lang w:val="fr-FR"/>
              </w:rPr>
              <w:t xml:space="preserve">vu de faire une </w:t>
            </w:r>
            <w:r w:rsidR="00215769" w:rsidRPr="00215769">
              <w:rPr>
                <w:bCs/>
                <w:sz w:val="20"/>
                <w:szCs w:val="20"/>
                <w:highlight w:val="lightGray"/>
                <w:lang w:val="fr-FR"/>
              </w:rPr>
              <w:t>é</w:t>
            </w:r>
            <w:r w:rsidR="007172DD" w:rsidRPr="00215769">
              <w:rPr>
                <w:bCs/>
                <w:sz w:val="20"/>
                <w:szCs w:val="20"/>
                <w:highlight w:val="lightGray"/>
                <w:lang w:val="fr-FR"/>
              </w:rPr>
              <w:t xml:space="preserve">tude de fin de </w:t>
            </w:r>
            <w:r w:rsidR="00215769" w:rsidRPr="00215769">
              <w:rPr>
                <w:bCs/>
                <w:sz w:val="20"/>
                <w:szCs w:val="20"/>
                <w:highlight w:val="lightGray"/>
                <w:lang w:val="fr-FR"/>
              </w:rPr>
              <w:t>à</w:t>
            </w:r>
            <w:r w:rsidR="007172DD" w:rsidRPr="00215769">
              <w:rPr>
                <w:bCs/>
                <w:sz w:val="20"/>
                <w:szCs w:val="20"/>
                <w:highlight w:val="lightGray"/>
                <w:lang w:val="fr-FR"/>
              </w:rPr>
              <w:t xml:space="preserve"> l</w:t>
            </w:r>
            <w:r w:rsidR="00215769" w:rsidRPr="00215769">
              <w:rPr>
                <w:bCs/>
                <w:sz w:val="20"/>
                <w:szCs w:val="20"/>
                <w:highlight w:val="lightGray"/>
                <w:lang w:val="fr-FR"/>
              </w:rPr>
              <w:t>’</w:t>
            </w:r>
            <w:r w:rsidR="005C5840">
              <w:rPr>
                <w:bCs/>
                <w:sz w:val="20"/>
                <w:szCs w:val="20"/>
                <w:highlight w:val="lightGray"/>
                <w:lang w:val="fr-FR"/>
              </w:rPr>
              <w:t>é</w:t>
            </w:r>
            <w:r w:rsidR="007172DD" w:rsidRPr="00215769">
              <w:rPr>
                <w:bCs/>
                <w:sz w:val="20"/>
                <w:szCs w:val="20"/>
                <w:highlight w:val="lightGray"/>
                <w:lang w:val="fr-FR"/>
              </w:rPr>
              <w:t>chelle du barom</w:t>
            </w:r>
            <w:r w:rsidR="005C5840">
              <w:rPr>
                <w:bCs/>
                <w:sz w:val="20"/>
                <w:szCs w:val="20"/>
                <w:highlight w:val="lightGray"/>
                <w:lang w:val="fr-FR"/>
              </w:rPr>
              <w:t>è</w:t>
            </w:r>
            <w:r w:rsidR="007172DD" w:rsidRPr="00215769">
              <w:rPr>
                <w:bCs/>
                <w:sz w:val="20"/>
                <w:szCs w:val="20"/>
                <w:highlight w:val="lightGray"/>
                <w:lang w:val="fr-FR"/>
              </w:rPr>
              <w:t>tre initial</w:t>
            </w:r>
            <w:r w:rsidR="00215769" w:rsidRPr="00215769">
              <w:rPr>
                <w:bCs/>
                <w:sz w:val="20"/>
                <w:szCs w:val="20"/>
                <w:highlight w:val="lightGray"/>
                <w:lang w:val="fr-FR"/>
              </w:rPr>
              <w:t>. On est également en train d’examiner si un autre sondage pourrait être utilisé comme référence.</w:t>
            </w:r>
          </w:p>
          <w:p w14:paraId="66418D5B" w14:textId="615E4AA2" w:rsidR="008D3486" w:rsidRPr="00215769" w:rsidRDefault="008D3486" w:rsidP="008D3486">
            <w:pPr>
              <w:rPr>
                <w:bCs/>
                <w:sz w:val="20"/>
                <w:szCs w:val="20"/>
                <w:highlight w:val="lightGray"/>
                <w:lang w:val="fr-FR"/>
              </w:rPr>
            </w:pPr>
          </w:p>
        </w:tc>
      </w:tr>
      <w:tr w:rsidR="008D3486" w:rsidRPr="009740FB" w14:paraId="073879F1" w14:textId="77777777" w:rsidTr="681F2457">
        <w:trPr>
          <w:trHeight w:val="422"/>
        </w:trPr>
        <w:tc>
          <w:tcPr>
            <w:tcW w:w="1530" w:type="dxa"/>
            <w:vMerge/>
          </w:tcPr>
          <w:p w14:paraId="44344550" w14:textId="77777777" w:rsidR="008D3486" w:rsidRPr="00ED6B34" w:rsidRDefault="008D3486" w:rsidP="008D3486">
            <w:pPr>
              <w:rPr>
                <w:sz w:val="20"/>
                <w:szCs w:val="20"/>
                <w:lang w:val="fr-FR" w:eastAsia="en-US"/>
              </w:rPr>
            </w:pPr>
          </w:p>
        </w:tc>
        <w:tc>
          <w:tcPr>
            <w:tcW w:w="2070" w:type="dxa"/>
            <w:shd w:val="clear" w:color="auto" w:fill="EEECE1"/>
          </w:tcPr>
          <w:p w14:paraId="2453E44F" w14:textId="77777777" w:rsidR="008D3486" w:rsidRPr="00ED6B34" w:rsidRDefault="008D3486" w:rsidP="008D3486">
            <w:pPr>
              <w:jc w:val="both"/>
              <w:rPr>
                <w:b/>
                <w:bCs/>
                <w:sz w:val="20"/>
                <w:szCs w:val="20"/>
                <w:lang w:val="fr-FR" w:eastAsia="en-US"/>
              </w:rPr>
            </w:pPr>
            <w:r w:rsidRPr="00ED6B34">
              <w:rPr>
                <w:b/>
                <w:bCs/>
                <w:sz w:val="20"/>
                <w:szCs w:val="20"/>
                <w:lang w:val="fr-FR" w:eastAsia="en-US"/>
              </w:rPr>
              <w:t>Indicateur 2.b</w:t>
            </w:r>
          </w:p>
          <w:p w14:paraId="416A60CC" w14:textId="77777777" w:rsidR="008D3486" w:rsidRPr="00ED6B34" w:rsidRDefault="008D3486" w:rsidP="008D3486">
            <w:pPr>
              <w:jc w:val="both"/>
              <w:rPr>
                <w:bCs/>
                <w:sz w:val="20"/>
                <w:szCs w:val="20"/>
                <w:lang w:val="fr-FR" w:eastAsia="en-US"/>
              </w:rPr>
            </w:pPr>
            <w:r w:rsidRPr="00ED6B34">
              <w:rPr>
                <w:bCs/>
                <w:sz w:val="20"/>
                <w:szCs w:val="20"/>
                <w:lang w:val="fr-FR" w:eastAsia="en-US"/>
              </w:rPr>
              <w:lastRenderedPageBreak/>
              <w:t>Le niveau de confiance des populations envers les acteurs de la justice formelle (données désagrégées en H, F et jeunes)</w:t>
            </w:r>
          </w:p>
        </w:tc>
        <w:tc>
          <w:tcPr>
            <w:tcW w:w="1530" w:type="dxa"/>
            <w:shd w:val="clear" w:color="auto" w:fill="EEECE1"/>
          </w:tcPr>
          <w:p w14:paraId="50B9CCB9" w14:textId="22013A61" w:rsidR="008D3486" w:rsidRDefault="00E27D14" w:rsidP="008D3486">
            <w:pPr>
              <w:rPr>
                <w:b/>
                <w:sz w:val="20"/>
                <w:szCs w:val="20"/>
                <w:lang w:val="fr-FR" w:eastAsia="en-US"/>
              </w:rPr>
            </w:pPr>
            <w:r>
              <w:rPr>
                <w:b/>
                <w:sz w:val="20"/>
                <w:szCs w:val="20"/>
                <w:lang w:val="fr-FR" w:eastAsia="en-US"/>
              </w:rPr>
              <w:lastRenderedPageBreak/>
              <w:t>9</w:t>
            </w:r>
            <w:r w:rsidR="004E2867">
              <w:rPr>
                <w:b/>
                <w:sz w:val="20"/>
                <w:szCs w:val="20"/>
                <w:lang w:val="fr-FR" w:eastAsia="en-US"/>
              </w:rPr>
              <w:t xml:space="preserve">% des répondants ont </w:t>
            </w:r>
            <w:r w:rsidR="004E2867">
              <w:rPr>
                <w:b/>
                <w:sz w:val="20"/>
                <w:szCs w:val="20"/>
                <w:lang w:val="fr-FR" w:eastAsia="en-US"/>
              </w:rPr>
              <w:lastRenderedPageBreak/>
              <w:t xml:space="preserve">totalement confiance que leurs problèmes seront résolus </w:t>
            </w:r>
            <w:proofErr w:type="spellStart"/>
            <w:r w:rsidR="004E2867">
              <w:rPr>
                <w:b/>
                <w:sz w:val="20"/>
                <w:szCs w:val="20"/>
                <w:lang w:val="fr-FR" w:eastAsia="en-US"/>
              </w:rPr>
              <w:t>au près</w:t>
            </w:r>
            <w:proofErr w:type="spellEnd"/>
            <w:r w:rsidR="004E2867">
              <w:rPr>
                <w:b/>
                <w:sz w:val="20"/>
                <w:szCs w:val="20"/>
                <w:lang w:val="fr-FR" w:eastAsia="en-US"/>
              </w:rPr>
              <w:t xml:space="preserve"> de la justice formelle</w:t>
            </w:r>
            <w:r w:rsidR="00B01EA3">
              <w:rPr>
                <w:b/>
                <w:sz w:val="20"/>
                <w:szCs w:val="20"/>
                <w:lang w:val="fr-FR" w:eastAsia="en-US"/>
              </w:rPr>
              <w:t xml:space="preserve"> (10</w:t>
            </w:r>
            <w:r w:rsidR="00330362">
              <w:rPr>
                <w:b/>
                <w:sz w:val="20"/>
                <w:szCs w:val="20"/>
                <w:lang w:val="fr-FR" w:eastAsia="en-US"/>
              </w:rPr>
              <w:t>,4% chez les femmes et 7,</w:t>
            </w:r>
            <w:r w:rsidR="00B36BF5">
              <w:rPr>
                <w:b/>
                <w:sz w:val="20"/>
                <w:szCs w:val="20"/>
                <w:lang w:val="fr-FR" w:eastAsia="en-US"/>
              </w:rPr>
              <w:t>5% chez les hommes)</w:t>
            </w:r>
            <w:r w:rsidR="00594581">
              <w:rPr>
                <w:b/>
                <w:sz w:val="20"/>
                <w:szCs w:val="20"/>
                <w:lang w:val="fr-FR" w:eastAsia="en-US"/>
              </w:rPr>
              <w:t>,</w:t>
            </w:r>
          </w:p>
          <w:p w14:paraId="73216095" w14:textId="44802B56" w:rsidR="00594581" w:rsidRDefault="00594581" w:rsidP="008D3486">
            <w:pPr>
              <w:rPr>
                <w:b/>
                <w:sz w:val="20"/>
                <w:szCs w:val="20"/>
                <w:lang w:val="fr-FR" w:eastAsia="en-US"/>
              </w:rPr>
            </w:pPr>
            <w:r>
              <w:rPr>
                <w:b/>
                <w:sz w:val="20"/>
                <w:szCs w:val="20"/>
                <w:lang w:val="fr-FR" w:eastAsia="en-US"/>
              </w:rPr>
              <w:t>19,4% ont assez confiance</w:t>
            </w:r>
            <w:r w:rsidR="00B36BF5">
              <w:rPr>
                <w:b/>
                <w:sz w:val="20"/>
                <w:szCs w:val="20"/>
                <w:lang w:val="fr-FR" w:eastAsia="en-US"/>
              </w:rPr>
              <w:t xml:space="preserve"> (21,2% chez les femmes et </w:t>
            </w:r>
            <w:r w:rsidR="00C87575">
              <w:rPr>
                <w:b/>
                <w:sz w:val="20"/>
                <w:szCs w:val="20"/>
                <w:lang w:val="fr-FR" w:eastAsia="en-US"/>
              </w:rPr>
              <w:t>17,5% chez les hommes)</w:t>
            </w:r>
            <w:r>
              <w:rPr>
                <w:b/>
                <w:sz w:val="20"/>
                <w:szCs w:val="20"/>
                <w:lang w:val="fr-FR" w:eastAsia="en-US"/>
              </w:rPr>
              <w:t>,</w:t>
            </w:r>
          </w:p>
          <w:p w14:paraId="1966066C" w14:textId="3E607318" w:rsidR="002C0F13" w:rsidRDefault="002C0F13" w:rsidP="008D3486">
            <w:pPr>
              <w:rPr>
                <w:b/>
                <w:sz w:val="20"/>
                <w:szCs w:val="20"/>
                <w:lang w:val="fr-FR" w:eastAsia="en-US"/>
              </w:rPr>
            </w:pPr>
            <w:r>
              <w:rPr>
                <w:b/>
                <w:sz w:val="20"/>
                <w:szCs w:val="20"/>
                <w:lang w:val="fr-FR" w:eastAsia="en-US"/>
              </w:rPr>
              <w:t>12,5% ont moyennement confiance</w:t>
            </w:r>
            <w:r w:rsidR="006E6D27">
              <w:rPr>
                <w:b/>
                <w:sz w:val="20"/>
                <w:szCs w:val="20"/>
                <w:lang w:val="fr-FR" w:eastAsia="en-US"/>
              </w:rPr>
              <w:t xml:space="preserve"> (11,</w:t>
            </w:r>
            <w:r w:rsidR="00E16E81">
              <w:rPr>
                <w:b/>
                <w:sz w:val="20"/>
                <w:szCs w:val="20"/>
                <w:lang w:val="fr-FR" w:eastAsia="en-US"/>
              </w:rPr>
              <w:t>9% chez les femmes et 13,1% chez les jeunes),</w:t>
            </w:r>
          </w:p>
          <w:p w14:paraId="2910517F" w14:textId="670E744B" w:rsidR="002C0F13" w:rsidRPr="00ED6B34" w:rsidRDefault="002C0F13" w:rsidP="008D3486">
            <w:pPr>
              <w:rPr>
                <w:sz w:val="20"/>
                <w:szCs w:val="20"/>
                <w:lang w:val="fr-FR"/>
              </w:rPr>
            </w:pPr>
            <w:r>
              <w:rPr>
                <w:b/>
                <w:sz w:val="20"/>
                <w:szCs w:val="20"/>
                <w:lang w:val="fr-FR" w:eastAsia="en-US"/>
              </w:rPr>
              <w:t xml:space="preserve">20,3% ont </w:t>
            </w:r>
            <w:r w:rsidR="006E6D27">
              <w:rPr>
                <w:b/>
                <w:sz w:val="20"/>
                <w:szCs w:val="20"/>
                <w:lang w:val="fr-FR" w:eastAsia="en-US"/>
              </w:rPr>
              <w:t>peu</w:t>
            </w:r>
            <w:r w:rsidR="00F904CF">
              <w:rPr>
                <w:b/>
                <w:sz w:val="20"/>
                <w:szCs w:val="20"/>
                <w:lang w:val="fr-FR" w:eastAsia="en-US"/>
              </w:rPr>
              <w:t xml:space="preserve"> confiance</w:t>
            </w:r>
            <w:r w:rsidR="00E16E81">
              <w:rPr>
                <w:b/>
                <w:sz w:val="20"/>
                <w:szCs w:val="20"/>
                <w:lang w:val="fr-FR" w:eastAsia="en-US"/>
              </w:rPr>
              <w:t xml:space="preserve"> (</w:t>
            </w:r>
            <w:r w:rsidR="008E403F">
              <w:rPr>
                <w:b/>
                <w:sz w:val="20"/>
                <w:szCs w:val="20"/>
                <w:lang w:val="fr-FR" w:eastAsia="en-US"/>
              </w:rPr>
              <w:t>21,3%</w:t>
            </w:r>
            <w:r w:rsidR="003F54C2">
              <w:rPr>
                <w:b/>
                <w:sz w:val="20"/>
                <w:szCs w:val="20"/>
                <w:lang w:val="fr-FR" w:eastAsia="en-US"/>
              </w:rPr>
              <w:t xml:space="preserve"> chez les femmes et 19,4% chez les hommes)</w:t>
            </w:r>
          </w:p>
        </w:tc>
        <w:tc>
          <w:tcPr>
            <w:tcW w:w="1620" w:type="dxa"/>
            <w:shd w:val="clear" w:color="auto" w:fill="EEECE1"/>
          </w:tcPr>
          <w:p w14:paraId="72133160" w14:textId="77777777" w:rsidR="008D3486" w:rsidRPr="00ED6B34" w:rsidRDefault="008D3486" w:rsidP="008D3486">
            <w:pPr>
              <w:rPr>
                <w:sz w:val="20"/>
                <w:szCs w:val="20"/>
                <w:lang w:val="fr-FR"/>
              </w:rPr>
            </w:pPr>
            <w:r w:rsidRPr="00ED6B34">
              <w:rPr>
                <w:b/>
                <w:sz w:val="20"/>
                <w:szCs w:val="20"/>
                <w:lang w:val="fr-FR" w:eastAsia="en-US"/>
              </w:rPr>
              <w:lastRenderedPageBreak/>
              <w:t>5%</w:t>
            </w:r>
          </w:p>
        </w:tc>
        <w:tc>
          <w:tcPr>
            <w:tcW w:w="2070" w:type="dxa"/>
          </w:tcPr>
          <w:p w14:paraId="655A3193" w14:textId="5CAEC520" w:rsidR="008D3486" w:rsidRPr="00ED6B34" w:rsidRDefault="008D3486" w:rsidP="008D3486">
            <w:pPr>
              <w:rPr>
                <w:b/>
                <w:bCs/>
                <w:noProof/>
                <w:sz w:val="20"/>
                <w:szCs w:val="20"/>
                <w:lang w:val="fr-FR" w:eastAsia="en-US"/>
              </w:rPr>
            </w:pPr>
          </w:p>
        </w:tc>
        <w:tc>
          <w:tcPr>
            <w:tcW w:w="2070" w:type="dxa"/>
          </w:tcPr>
          <w:p w14:paraId="4E8A08FC" w14:textId="77777777" w:rsidR="008D3486" w:rsidRPr="00ED6B34" w:rsidRDefault="008D3486" w:rsidP="008D3486">
            <w:pPr>
              <w:rPr>
                <w:bCs/>
                <w:sz w:val="20"/>
                <w:szCs w:val="20"/>
                <w:lang w:val="fr-FR"/>
              </w:rPr>
            </w:pPr>
          </w:p>
          <w:p w14:paraId="502CBE6D" w14:textId="796206CF" w:rsidR="008D3486" w:rsidRPr="00ED6B34" w:rsidRDefault="008D3486" w:rsidP="008D3486">
            <w:pPr>
              <w:rPr>
                <w:sz w:val="20"/>
                <w:szCs w:val="20"/>
                <w:lang w:val="fr-FR"/>
              </w:rPr>
            </w:pPr>
          </w:p>
        </w:tc>
        <w:tc>
          <w:tcPr>
            <w:tcW w:w="4140" w:type="dxa"/>
          </w:tcPr>
          <w:p w14:paraId="0AE9AF12" w14:textId="3F8AAFEF" w:rsidR="008D3486" w:rsidRPr="00215769" w:rsidRDefault="00A85A28" w:rsidP="008D3486">
            <w:pPr>
              <w:rPr>
                <w:bCs/>
                <w:sz w:val="20"/>
                <w:szCs w:val="20"/>
                <w:highlight w:val="lightGray"/>
                <w:lang w:val="fr-FR"/>
              </w:rPr>
            </w:pPr>
            <w:r>
              <w:rPr>
                <w:bCs/>
                <w:sz w:val="20"/>
                <w:szCs w:val="20"/>
                <w:highlight w:val="lightGray"/>
                <w:lang w:val="fr-FR"/>
              </w:rPr>
              <w:t>Une proposition de r</w:t>
            </w:r>
            <w:r w:rsidRPr="00215769">
              <w:rPr>
                <w:bCs/>
                <w:sz w:val="20"/>
                <w:szCs w:val="20"/>
                <w:highlight w:val="lightGray"/>
                <w:lang w:val="fr-FR"/>
              </w:rPr>
              <w:t>eformulation de l’indicateur sera soumis</w:t>
            </w:r>
            <w:r>
              <w:rPr>
                <w:bCs/>
                <w:sz w:val="20"/>
                <w:szCs w:val="20"/>
                <w:highlight w:val="lightGray"/>
                <w:lang w:val="fr-FR"/>
              </w:rPr>
              <w:t>e</w:t>
            </w:r>
            <w:r w:rsidRPr="00215769">
              <w:rPr>
                <w:bCs/>
                <w:sz w:val="20"/>
                <w:szCs w:val="20"/>
                <w:highlight w:val="lightGray"/>
                <w:lang w:val="fr-FR"/>
              </w:rPr>
              <w:t xml:space="preserve"> </w:t>
            </w:r>
            <w:r>
              <w:rPr>
                <w:bCs/>
                <w:sz w:val="20"/>
                <w:szCs w:val="20"/>
                <w:highlight w:val="lightGray"/>
                <w:lang w:val="fr-FR"/>
              </w:rPr>
              <w:t xml:space="preserve">à part </w:t>
            </w:r>
            <w:r w:rsidR="007172DD" w:rsidRPr="00215769">
              <w:rPr>
                <w:bCs/>
                <w:sz w:val="20"/>
                <w:szCs w:val="20"/>
                <w:highlight w:val="lightGray"/>
                <w:lang w:val="fr-FR"/>
              </w:rPr>
              <w:t>vu qu’il n’est pas pr</w:t>
            </w:r>
            <w:r w:rsidR="005C5840">
              <w:rPr>
                <w:bCs/>
                <w:sz w:val="20"/>
                <w:szCs w:val="20"/>
                <w:highlight w:val="lightGray"/>
                <w:lang w:val="fr-FR"/>
              </w:rPr>
              <w:t>é</w:t>
            </w:r>
            <w:r w:rsidR="007172DD" w:rsidRPr="00215769">
              <w:rPr>
                <w:bCs/>
                <w:sz w:val="20"/>
                <w:szCs w:val="20"/>
                <w:highlight w:val="lightGray"/>
                <w:lang w:val="fr-FR"/>
              </w:rPr>
              <w:t xml:space="preserve">vu de </w:t>
            </w:r>
            <w:r w:rsidR="007172DD" w:rsidRPr="00215769">
              <w:rPr>
                <w:bCs/>
                <w:sz w:val="20"/>
                <w:szCs w:val="20"/>
                <w:highlight w:val="lightGray"/>
                <w:lang w:val="fr-FR"/>
              </w:rPr>
              <w:lastRenderedPageBreak/>
              <w:t xml:space="preserve">faire une </w:t>
            </w:r>
            <w:r w:rsidR="005C5840">
              <w:rPr>
                <w:bCs/>
                <w:sz w:val="20"/>
                <w:szCs w:val="20"/>
                <w:highlight w:val="lightGray"/>
                <w:lang w:val="fr-FR"/>
              </w:rPr>
              <w:t>é</w:t>
            </w:r>
            <w:r w:rsidR="007172DD" w:rsidRPr="00215769">
              <w:rPr>
                <w:bCs/>
                <w:sz w:val="20"/>
                <w:szCs w:val="20"/>
                <w:highlight w:val="lightGray"/>
                <w:lang w:val="fr-FR"/>
              </w:rPr>
              <w:t xml:space="preserve">tude de fin de </w:t>
            </w:r>
            <w:r w:rsidR="00227E73">
              <w:rPr>
                <w:bCs/>
                <w:sz w:val="20"/>
                <w:szCs w:val="20"/>
                <w:highlight w:val="lightGray"/>
                <w:lang w:val="fr-FR"/>
              </w:rPr>
              <w:t>à</w:t>
            </w:r>
            <w:r w:rsidR="007172DD" w:rsidRPr="00215769">
              <w:rPr>
                <w:bCs/>
                <w:sz w:val="20"/>
                <w:szCs w:val="20"/>
                <w:highlight w:val="lightGray"/>
                <w:lang w:val="fr-FR"/>
              </w:rPr>
              <w:t xml:space="preserve"> l</w:t>
            </w:r>
            <w:r w:rsidR="00227E73">
              <w:rPr>
                <w:bCs/>
                <w:sz w:val="20"/>
                <w:szCs w:val="20"/>
                <w:highlight w:val="lightGray"/>
                <w:lang w:val="fr-FR"/>
              </w:rPr>
              <w:t>’</w:t>
            </w:r>
            <w:r w:rsidR="005C5840">
              <w:rPr>
                <w:bCs/>
                <w:sz w:val="20"/>
                <w:szCs w:val="20"/>
                <w:highlight w:val="lightGray"/>
                <w:lang w:val="fr-FR"/>
              </w:rPr>
              <w:t>é</w:t>
            </w:r>
            <w:r w:rsidR="007172DD" w:rsidRPr="00215769">
              <w:rPr>
                <w:bCs/>
                <w:sz w:val="20"/>
                <w:szCs w:val="20"/>
                <w:highlight w:val="lightGray"/>
                <w:lang w:val="fr-FR"/>
              </w:rPr>
              <w:t>chelle du barom</w:t>
            </w:r>
            <w:r w:rsidR="005C5840">
              <w:rPr>
                <w:bCs/>
                <w:sz w:val="20"/>
                <w:szCs w:val="20"/>
                <w:highlight w:val="lightGray"/>
                <w:lang w:val="fr-FR"/>
              </w:rPr>
              <w:t>è</w:t>
            </w:r>
            <w:r w:rsidR="007172DD" w:rsidRPr="00215769">
              <w:rPr>
                <w:bCs/>
                <w:sz w:val="20"/>
                <w:szCs w:val="20"/>
                <w:highlight w:val="lightGray"/>
                <w:lang w:val="fr-FR"/>
              </w:rPr>
              <w:t>tre initial.</w:t>
            </w:r>
          </w:p>
          <w:p w14:paraId="5F923642" w14:textId="40AC2ADC" w:rsidR="008D3486" w:rsidRPr="00215769" w:rsidRDefault="008D3486" w:rsidP="008D3486">
            <w:pPr>
              <w:rPr>
                <w:bCs/>
                <w:sz w:val="20"/>
                <w:szCs w:val="20"/>
                <w:highlight w:val="lightGray"/>
                <w:lang w:val="fr-FR"/>
              </w:rPr>
            </w:pPr>
          </w:p>
        </w:tc>
      </w:tr>
      <w:tr w:rsidR="008D3486" w:rsidRPr="00ED6B34" w14:paraId="24F3D41B" w14:textId="77777777" w:rsidTr="681F2457">
        <w:trPr>
          <w:trHeight w:val="422"/>
        </w:trPr>
        <w:tc>
          <w:tcPr>
            <w:tcW w:w="1530" w:type="dxa"/>
            <w:vMerge w:val="restart"/>
          </w:tcPr>
          <w:p w14:paraId="1CAABE9C" w14:textId="77777777" w:rsidR="008D3486" w:rsidRPr="00ED6B34" w:rsidRDefault="008D3486" w:rsidP="008D3486">
            <w:pPr>
              <w:rPr>
                <w:sz w:val="20"/>
                <w:szCs w:val="20"/>
                <w:lang w:val="fr-FR" w:eastAsia="en-US"/>
              </w:rPr>
            </w:pPr>
            <w:r w:rsidRPr="00ED6B34">
              <w:rPr>
                <w:sz w:val="20"/>
                <w:szCs w:val="20"/>
                <w:lang w:val="fr-FR" w:eastAsia="en-US"/>
              </w:rPr>
              <w:lastRenderedPageBreak/>
              <w:t>Produit 2.1</w:t>
            </w:r>
          </w:p>
          <w:p w14:paraId="5D5F3904" w14:textId="77777777" w:rsidR="008D3486" w:rsidRPr="00ED6B34" w:rsidRDefault="008D3486" w:rsidP="008D3486">
            <w:pPr>
              <w:rPr>
                <w:bCs/>
                <w:sz w:val="20"/>
                <w:szCs w:val="20"/>
                <w:lang w:val="fr-FR" w:eastAsia="en-US"/>
              </w:rPr>
            </w:pPr>
            <w:r w:rsidRPr="00ED6B34">
              <w:rPr>
                <w:bCs/>
                <w:iCs/>
                <w:sz w:val="20"/>
                <w:szCs w:val="20"/>
                <w:lang w:val="fr-FR"/>
              </w:rPr>
              <w:t>Les capacités des acteurs de la sécurité et de la justice sont renforcées</w:t>
            </w:r>
          </w:p>
          <w:p w14:paraId="291B4032" w14:textId="77777777" w:rsidR="008D3486" w:rsidRPr="00ED6B34" w:rsidRDefault="008D3486" w:rsidP="008D3486">
            <w:pPr>
              <w:rPr>
                <w:b/>
                <w:sz w:val="20"/>
                <w:szCs w:val="20"/>
                <w:lang w:val="fr-FR" w:eastAsia="en-US"/>
              </w:rPr>
            </w:pPr>
          </w:p>
        </w:tc>
        <w:tc>
          <w:tcPr>
            <w:tcW w:w="2070" w:type="dxa"/>
            <w:shd w:val="clear" w:color="auto" w:fill="EEECE1"/>
          </w:tcPr>
          <w:p w14:paraId="157A8DAA" w14:textId="77777777" w:rsidR="008D3486" w:rsidRPr="00ED6B34" w:rsidRDefault="008D3486" w:rsidP="008D3486">
            <w:pPr>
              <w:jc w:val="both"/>
              <w:rPr>
                <w:b/>
                <w:bCs/>
                <w:sz w:val="20"/>
                <w:szCs w:val="20"/>
                <w:lang w:val="fr-FR" w:eastAsia="en-US"/>
              </w:rPr>
            </w:pPr>
            <w:r w:rsidRPr="00ED6B34">
              <w:rPr>
                <w:b/>
                <w:bCs/>
                <w:sz w:val="20"/>
                <w:szCs w:val="20"/>
                <w:lang w:val="fr-FR" w:eastAsia="en-US"/>
              </w:rPr>
              <w:t>Indicateur 2.1.1</w:t>
            </w:r>
          </w:p>
          <w:p w14:paraId="199981E2" w14:textId="30DDFA89" w:rsidR="008D3486" w:rsidRPr="00ED6B34" w:rsidRDefault="008D3486" w:rsidP="008D3486">
            <w:pPr>
              <w:jc w:val="both"/>
              <w:rPr>
                <w:sz w:val="20"/>
                <w:szCs w:val="20"/>
                <w:lang w:val="fr-FR" w:eastAsia="en-US"/>
              </w:rPr>
            </w:pPr>
            <w:r w:rsidRPr="00ED6B34">
              <w:rPr>
                <w:sz w:val="20"/>
                <w:szCs w:val="20"/>
                <w:lang w:val="fr-FR" w:eastAsia="en-US"/>
              </w:rPr>
              <w:t>Nombre d’acteurs de la sécurité et de la justice formés par le projet, désagrégé par sexe et âge</w:t>
            </w:r>
          </w:p>
        </w:tc>
        <w:tc>
          <w:tcPr>
            <w:tcW w:w="1530" w:type="dxa"/>
            <w:shd w:val="clear" w:color="auto" w:fill="EEECE1"/>
          </w:tcPr>
          <w:p w14:paraId="31188DC0" w14:textId="77777777" w:rsidR="008D3486" w:rsidRPr="00ED6B34" w:rsidRDefault="008D3486" w:rsidP="008D3486">
            <w:pPr>
              <w:rPr>
                <w:sz w:val="20"/>
                <w:szCs w:val="20"/>
                <w:lang w:val="fr-FR"/>
              </w:rPr>
            </w:pPr>
            <w:r w:rsidRPr="00ED6B34">
              <w:rPr>
                <w:b/>
                <w:sz w:val="20"/>
                <w:szCs w:val="20"/>
                <w:lang w:val="fr-FR" w:eastAsia="en-US"/>
              </w:rPr>
              <w:t>0</w:t>
            </w:r>
          </w:p>
        </w:tc>
        <w:tc>
          <w:tcPr>
            <w:tcW w:w="1620" w:type="dxa"/>
            <w:shd w:val="clear" w:color="auto" w:fill="EEECE1"/>
          </w:tcPr>
          <w:p w14:paraId="1602BFA4" w14:textId="77777777" w:rsidR="008D3486" w:rsidRPr="00ED6B34" w:rsidRDefault="008D3486" w:rsidP="008D3486">
            <w:pPr>
              <w:rPr>
                <w:sz w:val="20"/>
                <w:szCs w:val="20"/>
                <w:lang w:val="fr-FR"/>
              </w:rPr>
            </w:pPr>
            <w:r w:rsidRPr="00ED6B34">
              <w:rPr>
                <w:sz w:val="20"/>
                <w:szCs w:val="20"/>
                <w:lang w:val="fr-FR"/>
              </w:rPr>
              <w:t>330 dont 30% de femmes</w:t>
            </w:r>
          </w:p>
        </w:tc>
        <w:tc>
          <w:tcPr>
            <w:tcW w:w="2070" w:type="dxa"/>
          </w:tcPr>
          <w:p w14:paraId="65C7E652" w14:textId="27F516E9" w:rsidR="008D3486" w:rsidRPr="00ED6B34" w:rsidRDefault="008D3486" w:rsidP="008D3486">
            <w:pPr>
              <w:rPr>
                <w:b/>
                <w:sz w:val="20"/>
                <w:szCs w:val="20"/>
                <w:lang w:val="fr-FR" w:eastAsia="en-US"/>
              </w:rPr>
            </w:pPr>
            <w:r w:rsidRPr="00ED6B34">
              <w:rPr>
                <w:b/>
                <w:sz w:val="20"/>
                <w:szCs w:val="20"/>
                <w:lang w:val="fr-FR" w:eastAsia="en-US"/>
              </w:rPr>
              <w:t>80 acteurs de la Sécurité et de la Justice dont 30 femmes (soit 37,5%) en 2021</w:t>
            </w:r>
          </w:p>
          <w:p w14:paraId="027EB599" w14:textId="57B02ABB" w:rsidR="008D3486" w:rsidRPr="00ED6B34" w:rsidRDefault="008D3486" w:rsidP="008D3486">
            <w:pPr>
              <w:rPr>
                <w:sz w:val="20"/>
                <w:szCs w:val="20"/>
                <w:lang w:val="fr-FR"/>
              </w:rPr>
            </w:pPr>
          </w:p>
        </w:tc>
        <w:tc>
          <w:tcPr>
            <w:tcW w:w="2070" w:type="dxa"/>
          </w:tcPr>
          <w:p w14:paraId="520958D7" w14:textId="02C15A3F" w:rsidR="008D3486" w:rsidRPr="00DA3A0D" w:rsidRDefault="008D3486" w:rsidP="008D3486">
            <w:pPr>
              <w:rPr>
                <w:sz w:val="20"/>
                <w:szCs w:val="20"/>
                <w:highlight w:val="lightGray"/>
                <w:lang w:val="fr-FR"/>
              </w:rPr>
            </w:pPr>
            <w:r w:rsidRPr="00DA3A0D">
              <w:rPr>
                <w:sz w:val="20"/>
                <w:highlight w:val="lightGray"/>
                <w:lang w:val="fr-FR"/>
              </w:rPr>
              <w:t>230 dont 65 femmes</w:t>
            </w:r>
            <w:r w:rsidRPr="00DA3A0D">
              <w:rPr>
                <w:sz w:val="20"/>
                <w:szCs w:val="20"/>
                <w:highlight w:val="lightGray"/>
                <w:lang w:val="fr-FR" w:eastAsia="en-US"/>
              </w:rPr>
              <w:t xml:space="preserve"> au total (2020 et 2021)</w:t>
            </w:r>
          </w:p>
        </w:tc>
        <w:tc>
          <w:tcPr>
            <w:tcW w:w="4140" w:type="dxa"/>
          </w:tcPr>
          <w:p w14:paraId="4BA21B08" w14:textId="774472C6" w:rsidR="008D3486" w:rsidRPr="00ED6B34" w:rsidRDefault="008D3486" w:rsidP="008D3486">
            <w:pPr>
              <w:rPr>
                <w:b/>
                <w:bCs/>
                <w:noProof/>
                <w:sz w:val="20"/>
                <w:szCs w:val="20"/>
                <w:lang w:val="fr-FR" w:eastAsia="en-US"/>
              </w:rPr>
            </w:pPr>
          </w:p>
        </w:tc>
      </w:tr>
      <w:tr w:rsidR="008D3486" w:rsidRPr="00ED6B34" w14:paraId="018B9073" w14:textId="77777777" w:rsidTr="681F2457">
        <w:trPr>
          <w:trHeight w:val="458"/>
        </w:trPr>
        <w:tc>
          <w:tcPr>
            <w:tcW w:w="1530" w:type="dxa"/>
            <w:vMerge/>
          </w:tcPr>
          <w:p w14:paraId="391CCD40" w14:textId="77777777" w:rsidR="008D3486" w:rsidRPr="00ED6B34" w:rsidRDefault="008D3486" w:rsidP="008D3486">
            <w:pPr>
              <w:rPr>
                <w:b/>
                <w:sz w:val="20"/>
                <w:szCs w:val="20"/>
                <w:lang w:val="fr-FR" w:eastAsia="en-US"/>
              </w:rPr>
            </w:pPr>
          </w:p>
        </w:tc>
        <w:tc>
          <w:tcPr>
            <w:tcW w:w="2070" w:type="dxa"/>
            <w:shd w:val="clear" w:color="auto" w:fill="EEECE1"/>
          </w:tcPr>
          <w:p w14:paraId="20FAE7FE" w14:textId="77777777" w:rsidR="008D3486" w:rsidRPr="005C5840" w:rsidRDefault="008D3486" w:rsidP="008D3486">
            <w:pPr>
              <w:jc w:val="both"/>
              <w:rPr>
                <w:b/>
                <w:bCs/>
                <w:color w:val="000000" w:themeColor="text1"/>
                <w:sz w:val="20"/>
                <w:szCs w:val="20"/>
                <w:lang w:val="fr-FR" w:eastAsia="en-US"/>
              </w:rPr>
            </w:pPr>
            <w:r w:rsidRPr="005C5840">
              <w:rPr>
                <w:b/>
                <w:bCs/>
                <w:color w:val="000000" w:themeColor="text1"/>
                <w:sz w:val="20"/>
                <w:szCs w:val="20"/>
                <w:lang w:val="fr-FR" w:eastAsia="en-US"/>
              </w:rPr>
              <w:t>Indicateur 2.1.2</w:t>
            </w:r>
          </w:p>
          <w:p w14:paraId="54A2C9A6" w14:textId="77777777" w:rsidR="008D3486" w:rsidRPr="005C5840" w:rsidRDefault="008D3486" w:rsidP="008D3486">
            <w:pPr>
              <w:jc w:val="both"/>
              <w:rPr>
                <w:bCs/>
                <w:color w:val="000000" w:themeColor="text1"/>
                <w:sz w:val="20"/>
                <w:szCs w:val="20"/>
                <w:lang w:val="fr-FR" w:eastAsia="en-US"/>
              </w:rPr>
            </w:pPr>
            <w:bookmarkStart w:id="20" w:name="_Hlk86772091"/>
            <w:r w:rsidRPr="005C5840">
              <w:rPr>
                <w:bCs/>
                <w:color w:val="000000" w:themeColor="text1"/>
                <w:sz w:val="20"/>
                <w:szCs w:val="20"/>
                <w:lang w:val="fr-FR" w:eastAsia="en-US"/>
              </w:rPr>
              <w:t>Nbre de personnes sensibilisées sur la lutte contre la corruption et le rôle des acteurs de la sécurité et de la justice dans la lutte contre l’impunité, désagrégé en sexe et âge</w:t>
            </w:r>
            <w:bookmarkEnd w:id="20"/>
          </w:p>
        </w:tc>
        <w:tc>
          <w:tcPr>
            <w:tcW w:w="1530" w:type="dxa"/>
            <w:shd w:val="clear" w:color="auto" w:fill="EEECE1"/>
          </w:tcPr>
          <w:p w14:paraId="041EBEFF" w14:textId="77777777" w:rsidR="008D3486" w:rsidRPr="005C5840" w:rsidRDefault="008D3486" w:rsidP="008D3486">
            <w:pPr>
              <w:rPr>
                <w:color w:val="000000" w:themeColor="text1"/>
                <w:sz w:val="20"/>
                <w:szCs w:val="20"/>
                <w:lang w:val="fr-FR"/>
              </w:rPr>
            </w:pPr>
            <w:r w:rsidRPr="005C5840">
              <w:rPr>
                <w:b/>
                <w:color w:val="000000" w:themeColor="text1"/>
                <w:sz w:val="20"/>
                <w:szCs w:val="20"/>
                <w:lang w:val="fr-FR" w:eastAsia="en-US"/>
              </w:rPr>
              <w:t>0</w:t>
            </w:r>
          </w:p>
        </w:tc>
        <w:tc>
          <w:tcPr>
            <w:tcW w:w="1620" w:type="dxa"/>
            <w:shd w:val="clear" w:color="auto" w:fill="EEECE1"/>
          </w:tcPr>
          <w:p w14:paraId="2A920060" w14:textId="77777777" w:rsidR="008D3486" w:rsidRPr="005C5840" w:rsidRDefault="008D3486" w:rsidP="008D3486">
            <w:pPr>
              <w:rPr>
                <w:color w:val="000000" w:themeColor="text1"/>
                <w:sz w:val="20"/>
                <w:szCs w:val="20"/>
                <w:lang w:val="fr-FR"/>
              </w:rPr>
            </w:pPr>
            <w:r w:rsidRPr="005C5840">
              <w:rPr>
                <w:color w:val="000000" w:themeColor="text1"/>
                <w:sz w:val="20"/>
                <w:szCs w:val="20"/>
                <w:lang w:val="fr-FR"/>
              </w:rPr>
              <w:t>1000 dont 30% de femmes</w:t>
            </w:r>
          </w:p>
        </w:tc>
        <w:tc>
          <w:tcPr>
            <w:tcW w:w="2070" w:type="dxa"/>
          </w:tcPr>
          <w:p w14:paraId="3E251E25" w14:textId="17F40B0C" w:rsidR="008D3486" w:rsidRPr="00C1485F" w:rsidRDefault="008D3486" w:rsidP="009740FB">
            <w:pPr>
              <w:rPr>
                <w:color w:val="FF0000"/>
                <w:sz w:val="20"/>
                <w:szCs w:val="20"/>
                <w:lang w:val="fr-FR"/>
              </w:rPr>
            </w:pPr>
          </w:p>
        </w:tc>
        <w:tc>
          <w:tcPr>
            <w:tcW w:w="2070" w:type="dxa"/>
          </w:tcPr>
          <w:p w14:paraId="5A2CC098" w14:textId="77777777" w:rsidR="009740FB" w:rsidRPr="009740FB" w:rsidRDefault="009740FB" w:rsidP="009740FB">
            <w:pPr>
              <w:rPr>
                <w:color w:val="000000" w:themeColor="text1"/>
              </w:rPr>
            </w:pPr>
            <w:r w:rsidRPr="009740FB">
              <w:rPr>
                <w:rFonts w:ascii="Calibri" w:hAnsi="Calibri" w:cs="Calibri"/>
                <w:color w:val="000000" w:themeColor="text1"/>
                <w:sz w:val="20"/>
                <w:szCs w:val="20"/>
                <w:highlight w:val="lightGray"/>
              </w:rPr>
              <w:t xml:space="preserve">30 </w:t>
            </w:r>
            <w:proofErr w:type="spellStart"/>
            <w:r w:rsidRPr="009740FB">
              <w:rPr>
                <w:rFonts w:ascii="Calibri" w:hAnsi="Calibri" w:cs="Calibri"/>
                <w:color w:val="000000" w:themeColor="text1"/>
                <w:sz w:val="20"/>
                <w:szCs w:val="20"/>
                <w:highlight w:val="lightGray"/>
              </w:rPr>
              <w:t>personnes</w:t>
            </w:r>
            <w:proofErr w:type="spellEnd"/>
            <w:r w:rsidRPr="009740FB">
              <w:rPr>
                <w:rFonts w:ascii="Calibri" w:hAnsi="Calibri" w:cs="Calibri"/>
                <w:color w:val="000000" w:themeColor="text1"/>
                <w:sz w:val="20"/>
                <w:szCs w:val="20"/>
                <w:highlight w:val="lightGray"/>
              </w:rPr>
              <w:t xml:space="preserve"> </w:t>
            </w:r>
            <w:proofErr w:type="spellStart"/>
            <w:r w:rsidRPr="009740FB">
              <w:rPr>
                <w:rFonts w:ascii="Calibri" w:hAnsi="Calibri" w:cs="Calibri"/>
                <w:color w:val="000000" w:themeColor="text1"/>
                <w:sz w:val="20"/>
                <w:szCs w:val="20"/>
                <w:highlight w:val="lightGray"/>
              </w:rPr>
              <w:t>sensibilisées</w:t>
            </w:r>
            <w:proofErr w:type="spellEnd"/>
            <w:r w:rsidRPr="009740FB">
              <w:rPr>
                <w:rFonts w:ascii="Calibri" w:hAnsi="Calibri" w:cs="Calibri"/>
                <w:color w:val="000000" w:themeColor="text1"/>
                <w:sz w:val="20"/>
                <w:szCs w:val="20"/>
                <w:highlight w:val="lightGray"/>
              </w:rPr>
              <w:t xml:space="preserve"> </w:t>
            </w:r>
            <w:proofErr w:type="spellStart"/>
            <w:r w:rsidRPr="009740FB">
              <w:rPr>
                <w:rFonts w:ascii="Calibri" w:hAnsi="Calibri" w:cs="Calibri"/>
                <w:color w:val="000000" w:themeColor="text1"/>
                <w:sz w:val="20"/>
                <w:szCs w:val="20"/>
                <w:highlight w:val="lightGray"/>
              </w:rPr>
              <w:t>dont</w:t>
            </w:r>
            <w:proofErr w:type="spellEnd"/>
            <w:r w:rsidRPr="009740FB">
              <w:rPr>
                <w:rFonts w:ascii="Calibri" w:hAnsi="Calibri" w:cs="Calibri"/>
                <w:color w:val="000000" w:themeColor="text1"/>
                <w:sz w:val="20"/>
                <w:szCs w:val="20"/>
                <w:highlight w:val="lightGray"/>
              </w:rPr>
              <w:t xml:space="preserve"> 14 </w:t>
            </w:r>
            <w:proofErr w:type="spellStart"/>
            <w:r w:rsidRPr="009740FB">
              <w:rPr>
                <w:rFonts w:ascii="Calibri" w:hAnsi="Calibri" w:cs="Calibri"/>
                <w:color w:val="000000" w:themeColor="text1"/>
                <w:sz w:val="20"/>
                <w:szCs w:val="20"/>
                <w:highlight w:val="lightGray"/>
              </w:rPr>
              <w:t>jeunes</w:t>
            </w:r>
            <w:proofErr w:type="spellEnd"/>
            <w:r w:rsidRPr="009740FB">
              <w:rPr>
                <w:rFonts w:ascii="Calibri" w:hAnsi="Calibri" w:cs="Calibri"/>
                <w:color w:val="000000" w:themeColor="text1"/>
                <w:sz w:val="20"/>
                <w:szCs w:val="20"/>
                <w:highlight w:val="lightGray"/>
              </w:rPr>
              <w:t xml:space="preserve"> et </w:t>
            </w:r>
            <w:proofErr w:type="spellStart"/>
            <w:r w:rsidRPr="009740FB">
              <w:rPr>
                <w:rFonts w:ascii="Calibri" w:hAnsi="Calibri" w:cs="Calibri"/>
                <w:color w:val="000000" w:themeColor="text1"/>
                <w:sz w:val="20"/>
                <w:szCs w:val="20"/>
                <w:highlight w:val="lightGray"/>
              </w:rPr>
              <w:t>six</w:t>
            </w:r>
            <w:proofErr w:type="spellEnd"/>
            <w:r w:rsidRPr="009740FB">
              <w:rPr>
                <w:rFonts w:ascii="Calibri" w:hAnsi="Calibri" w:cs="Calibri"/>
                <w:color w:val="000000" w:themeColor="text1"/>
                <w:sz w:val="20"/>
                <w:szCs w:val="20"/>
                <w:highlight w:val="lightGray"/>
              </w:rPr>
              <w:t xml:space="preserve"> </w:t>
            </w:r>
            <w:proofErr w:type="spellStart"/>
            <w:proofErr w:type="gramStart"/>
            <w:r w:rsidRPr="009740FB">
              <w:rPr>
                <w:rFonts w:ascii="Calibri" w:hAnsi="Calibri" w:cs="Calibri"/>
                <w:color w:val="000000" w:themeColor="text1"/>
                <w:sz w:val="20"/>
                <w:szCs w:val="20"/>
                <w:highlight w:val="lightGray"/>
              </w:rPr>
              <w:t>femmes</w:t>
            </w:r>
            <w:proofErr w:type="spellEnd"/>
            <w:r w:rsidRPr="009740FB">
              <w:rPr>
                <w:rFonts w:ascii="Calibri" w:hAnsi="Calibri" w:cs="Calibri"/>
                <w:color w:val="000000" w:themeColor="text1"/>
                <w:sz w:val="20"/>
                <w:szCs w:val="20"/>
                <w:highlight w:val="lightGray"/>
              </w:rPr>
              <w:t xml:space="preserve">( </w:t>
            </w:r>
            <w:proofErr w:type="spellStart"/>
            <w:r w:rsidRPr="009740FB">
              <w:rPr>
                <w:rFonts w:ascii="Calibri" w:hAnsi="Calibri" w:cs="Calibri"/>
                <w:color w:val="000000" w:themeColor="text1"/>
                <w:sz w:val="20"/>
                <w:szCs w:val="20"/>
                <w:highlight w:val="lightGray"/>
              </w:rPr>
              <w:t>soit</w:t>
            </w:r>
            <w:proofErr w:type="spellEnd"/>
            <w:proofErr w:type="gramEnd"/>
            <w:r w:rsidRPr="009740FB">
              <w:rPr>
                <w:rFonts w:ascii="Calibri" w:hAnsi="Calibri" w:cs="Calibri"/>
                <w:color w:val="000000" w:themeColor="text1"/>
                <w:sz w:val="20"/>
                <w:szCs w:val="20"/>
                <w:highlight w:val="lightGray"/>
              </w:rPr>
              <w:t xml:space="preserve"> 20% de </w:t>
            </w:r>
            <w:proofErr w:type="spellStart"/>
            <w:r w:rsidRPr="009740FB">
              <w:rPr>
                <w:rFonts w:ascii="Calibri" w:hAnsi="Calibri" w:cs="Calibri"/>
                <w:color w:val="000000" w:themeColor="text1"/>
                <w:sz w:val="20"/>
                <w:szCs w:val="20"/>
                <w:highlight w:val="lightGray"/>
              </w:rPr>
              <w:t>femmes</w:t>
            </w:r>
            <w:proofErr w:type="spellEnd"/>
            <w:r w:rsidRPr="009740FB">
              <w:rPr>
                <w:rFonts w:ascii="Calibri" w:hAnsi="Calibri" w:cs="Calibri"/>
                <w:color w:val="000000" w:themeColor="text1"/>
                <w:sz w:val="20"/>
                <w:szCs w:val="20"/>
                <w:highlight w:val="lightGray"/>
              </w:rPr>
              <w:t xml:space="preserve"> et46,6% de </w:t>
            </w:r>
            <w:proofErr w:type="spellStart"/>
            <w:r w:rsidRPr="009740FB">
              <w:rPr>
                <w:rFonts w:ascii="Calibri" w:hAnsi="Calibri" w:cs="Calibri"/>
                <w:color w:val="000000" w:themeColor="text1"/>
                <w:sz w:val="20"/>
                <w:szCs w:val="20"/>
                <w:highlight w:val="lightGray"/>
              </w:rPr>
              <w:t>jeunes</w:t>
            </w:r>
            <w:proofErr w:type="spellEnd"/>
            <w:r w:rsidRPr="009740FB">
              <w:rPr>
                <w:rFonts w:ascii="Calibri" w:hAnsi="Calibri" w:cs="Calibri"/>
                <w:color w:val="000000" w:themeColor="text1"/>
                <w:sz w:val="20"/>
                <w:szCs w:val="20"/>
                <w:highlight w:val="lightGray"/>
              </w:rPr>
              <w:t>)</w:t>
            </w:r>
          </w:p>
          <w:p w14:paraId="31023EEB" w14:textId="007CAC16" w:rsidR="008D3486" w:rsidRPr="00DA3A0D" w:rsidRDefault="008D3486" w:rsidP="00215769">
            <w:pPr>
              <w:rPr>
                <w:color w:val="FF0000"/>
                <w:sz w:val="20"/>
                <w:szCs w:val="20"/>
                <w:highlight w:val="lightGray"/>
                <w:lang w:val="fr-FR"/>
              </w:rPr>
            </w:pPr>
          </w:p>
        </w:tc>
        <w:tc>
          <w:tcPr>
            <w:tcW w:w="4140" w:type="dxa"/>
          </w:tcPr>
          <w:p w14:paraId="3E34902B" w14:textId="0DA51EEE" w:rsidR="008D3486" w:rsidRPr="00C1485F" w:rsidRDefault="008D3486" w:rsidP="00215769">
            <w:pPr>
              <w:rPr>
                <w:color w:val="FF0000"/>
                <w:sz w:val="20"/>
                <w:szCs w:val="20"/>
                <w:highlight w:val="magenta"/>
                <w:lang w:val="fr-FR"/>
              </w:rPr>
            </w:pPr>
          </w:p>
        </w:tc>
      </w:tr>
      <w:tr w:rsidR="008D3486" w:rsidRPr="009740FB" w14:paraId="33D192D6" w14:textId="77777777" w:rsidTr="681F2457">
        <w:trPr>
          <w:trHeight w:val="512"/>
        </w:trPr>
        <w:tc>
          <w:tcPr>
            <w:tcW w:w="1530" w:type="dxa"/>
            <w:vMerge w:val="restart"/>
          </w:tcPr>
          <w:p w14:paraId="6231428C" w14:textId="77777777" w:rsidR="008D3486" w:rsidRPr="00ED6B34" w:rsidRDefault="008D3486" w:rsidP="008D3486">
            <w:pPr>
              <w:rPr>
                <w:bCs/>
                <w:sz w:val="20"/>
                <w:szCs w:val="20"/>
                <w:lang w:val="fr-FR" w:eastAsia="en-US"/>
              </w:rPr>
            </w:pPr>
          </w:p>
          <w:p w14:paraId="16D2EC99" w14:textId="77777777" w:rsidR="008D3486" w:rsidRPr="00ED6B34" w:rsidRDefault="008D3486" w:rsidP="008D3486">
            <w:pPr>
              <w:rPr>
                <w:bCs/>
                <w:sz w:val="20"/>
                <w:szCs w:val="20"/>
                <w:lang w:val="fr-FR" w:eastAsia="en-US"/>
              </w:rPr>
            </w:pPr>
            <w:r w:rsidRPr="00ED6B34">
              <w:rPr>
                <w:bCs/>
                <w:sz w:val="20"/>
                <w:szCs w:val="20"/>
                <w:lang w:val="fr-FR" w:eastAsia="en-US"/>
              </w:rPr>
              <w:t>Produit 2.2</w:t>
            </w:r>
          </w:p>
          <w:p w14:paraId="34CB7290" w14:textId="77777777" w:rsidR="008D3486" w:rsidRPr="00ED6B34" w:rsidRDefault="008D3486" w:rsidP="008D3486">
            <w:pPr>
              <w:rPr>
                <w:bCs/>
                <w:sz w:val="20"/>
                <w:szCs w:val="20"/>
                <w:lang w:val="fr-FR" w:eastAsia="en-US"/>
              </w:rPr>
            </w:pPr>
            <w:r w:rsidRPr="00ED6B34">
              <w:rPr>
                <w:bCs/>
                <w:iCs/>
                <w:sz w:val="20"/>
                <w:szCs w:val="20"/>
                <w:lang w:val="fr-FR"/>
              </w:rPr>
              <w:t>Les comités consultatifs de sécurité (CCS) inclusifs sont mise en place dans les communes où sont présents les forces de sécurité</w:t>
            </w:r>
          </w:p>
        </w:tc>
        <w:tc>
          <w:tcPr>
            <w:tcW w:w="2070" w:type="dxa"/>
            <w:shd w:val="clear" w:color="auto" w:fill="EEECE1"/>
          </w:tcPr>
          <w:p w14:paraId="7BF6D500" w14:textId="77777777" w:rsidR="008D3486" w:rsidRPr="00ED6B34" w:rsidRDefault="008D3486" w:rsidP="008D3486">
            <w:pPr>
              <w:jc w:val="both"/>
              <w:rPr>
                <w:b/>
                <w:bCs/>
                <w:sz w:val="20"/>
                <w:szCs w:val="20"/>
                <w:lang w:val="fr-FR" w:eastAsia="en-US"/>
              </w:rPr>
            </w:pPr>
            <w:r w:rsidRPr="00ED6B34">
              <w:rPr>
                <w:b/>
                <w:bCs/>
                <w:sz w:val="20"/>
                <w:szCs w:val="20"/>
                <w:lang w:val="fr-FR" w:eastAsia="en-US"/>
              </w:rPr>
              <w:t>Indicateur 2.2.1</w:t>
            </w:r>
          </w:p>
          <w:p w14:paraId="47566745" w14:textId="77777777" w:rsidR="008D3486" w:rsidRPr="00ED6B34" w:rsidRDefault="008D3486" w:rsidP="008D3486">
            <w:pPr>
              <w:jc w:val="both"/>
              <w:rPr>
                <w:bCs/>
                <w:sz w:val="20"/>
                <w:szCs w:val="20"/>
                <w:lang w:val="fr-FR" w:eastAsia="en-US"/>
              </w:rPr>
            </w:pPr>
            <w:r w:rsidRPr="00ED6B34">
              <w:rPr>
                <w:bCs/>
                <w:sz w:val="20"/>
                <w:szCs w:val="20"/>
                <w:lang w:val="fr-FR" w:eastAsia="en-US"/>
              </w:rPr>
              <w:t>Nbre de CCS opérationnels</w:t>
            </w:r>
          </w:p>
        </w:tc>
        <w:tc>
          <w:tcPr>
            <w:tcW w:w="1530" w:type="dxa"/>
            <w:shd w:val="clear" w:color="auto" w:fill="EEECE1"/>
          </w:tcPr>
          <w:p w14:paraId="58C4AF16" w14:textId="77777777" w:rsidR="008D3486" w:rsidRPr="00ED6B34" w:rsidRDefault="008D3486" w:rsidP="008D3486">
            <w:pPr>
              <w:rPr>
                <w:sz w:val="20"/>
                <w:szCs w:val="20"/>
                <w:lang w:val="fr-FR"/>
              </w:rPr>
            </w:pPr>
            <w:r w:rsidRPr="00ED6B34">
              <w:rPr>
                <w:b/>
                <w:sz w:val="20"/>
                <w:szCs w:val="20"/>
                <w:lang w:val="fr-FR" w:eastAsia="en-US"/>
              </w:rPr>
              <w:t>0</w:t>
            </w:r>
          </w:p>
        </w:tc>
        <w:tc>
          <w:tcPr>
            <w:tcW w:w="1620" w:type="dxa"/>
            <w:shd w:val="clear" w:color="auto" w:fill="EEECE1"/>
          </w:tcPr>
          <w:p w14:paraId="0C7DC3D9" w14:textId="6D4A00BD" w:rsidR="008D3486" w:rsidRPr="00ED6B34" w:rsidRDefault="008D3486" w:rsidP="008D3486">
            <w:pPr>
              <w:rPr>
                <w:sz w:val="20"/>
                <w:szCs w:val="20"/>
                <w:lang w:val="fr-FR"/>
              </w:rPr>
            </w:pPr>
            <w:r w:rsidRPr="00ED6B34">
              <w:rPr>
                <w:b/>
                <w:sz w:val="20"/>
                <w:szCs w:val="20"/>
                <w:lang w:val="fr-FR" w:eastAsia="en-US"/>
              </w:rPr>
              <w:t>7</w:t>
            </w:r>
          </w:p>
        </w:tc>
        <w:tc>
          <w:tcPr>
            <w:tcW w:w="2070" w:type="dxa"/>
          </w:tcPr>
          <w:p w14:paraId="4FCF220A" w14:textId="12A046DD" w:rsidR="008D3486" w:rsidRPr="00ED6B34" w:rsidRDefault="008D3486" w:rsidP="008D3486">
            <w:pPr>
              <w:rPr>
                <w:sz w:val="20"/>
                <w:szCs w:val="20"/>
                <w:lang w:val="fr-FR"/>
              </w:rPr>
            </w:pPr>
            <w:r w:rsidRPr="00ED6B34">
              <w:rPr>
                <w:b/>
                <w:bCs/>
                <w:sz w:val="20"/>
                <w:szCs w:val="20"/>
                <w:lang w:val="fr-FR" w:eastAsia="en-US"/>
              </w:rPr>
              <w:t xml:space="preserve">7 CCS sont opérationnels à </w:t>
            </w:r>
            <w:bookmarkStart w:id="21" w:name="_Hlk86829343"/>
            <w:r w:rsidRPr="00ED6B34">
              <w:rPr>
                <w:b/>
                <w:bCs/>
                <w:sz w:val="20"/>
                <w:szCs w:val="20"/>
                <w:lang w:val="fr-FR" w:eastAsia="en-US"/>
              </w:rPr>
              <w:t xml:space="preserve">Niono, Bla, San, Bandiagara, Djenné, </w:t>
            </w:r>
            <w:proofErr w:type="spellStart"/>
            <w:r w:rsidRPr="00ED6B34">
              <w:rPr>
                <w:b/>
                <w:bCs/>
                <w:sz w:val="20"/>
                <w:szCs w:val="20"/>
                <w:lang w:val="fr-FR" w:eastAsia="en-US"/>
              </w:rPr>
              <w:t>Yasso</w:t>
            </w:r>
            <w:proofErr w:type="spellEnd"/>
            <w:r w:rsidRPr="00ED6B34">
              <w:rPr>
                <w:b/>
                <w:bCs/>
                <w:sz w:val="20"/>
                <w:szCs w:val="20"/>
                <w:lang w:val="fr-FR" w:eastAsia="en-US"/>
              </w:rPr>
              <w:t xml:space="preserve"> et </w:t>
            </w:r>
            <w:proofErr w:type="spellStart"/>
            <w:r w:rsidRPr="00ED6B34">
              <w:rPr>
                <w:b/>
                <w:bCs/>
                <w:sz w:val="20"/>
                <w:szCs w:val="20"/>
                <w:lang w:val="fr-FR" w:eastAsia="en-US"/>
              </w:rPr>
              <w:t>Femaye</w:t>
            </w:r>
            <w:bookmarkEnd w:id="21"/>
            <w:proofErr w:type="spellEnd"/>
          </w:p>
        </w:tc>
        <w:tc>
          <w:tcPr>
            <w:tcW w:w="2070" w:type="dxa"/>
          </w:tcPr>
          <w:p w14:paraId="5859BB0A" w14:textId="0D5ABAF9" w:rsidR="008D3486" w:rsidRPr="00DA3A0D" w:rsidRDefault="008D3486" w:rsidP="008D3486">
            <w:pPr>
              <w:rPr>
                <w:sz w:val="20"/>
                <w:szCs w:val="20"/>
                <w:highlight w:val="lightGray"/>
                <w:lang w:val="fr-FR"/>
              </w:rPr>
            </w:pPr>
            <w:r w:rsidRPr="00DA3A0D">
              <w:rPr>
                <w:sz w:val="20"/>
                <w:szCs w:val="20"/>
                <w:highlight w:val="lightGray"/>
                <w:lang w:val="fr-FR" w:eastAsia="en-US"/>
              </w:rPr>
              <w:t xml:space="preserve">9 CCS sont opérationnels à Mopti, Ségou Niono, Bla, San, Bandiagara, Djenné et </w:t>
            </w:r>
            <w:proofErr w:type="spellStart"/>
            <w:r w:rsidRPr="00DA3A0D">
              <w:rPr>
                <w:sz w:val="20"/>
                <w:szCs w:val="20"/>
                <w:highlight w:val="lightGray"/>
                <w:lang w:val="fr-FR" w:eastAsia="en-US"/>
              </w:rPr>
              <w:t>Femaye</w:t>
            </w:r>
            <w:proofErr w:type="spellEnd"/>
            <w:r w:rsidRPr="00DA3A0D">
              <w:rPr>
                <w:sz w:val="20"/>
                <w:szCs w:val="20"/>
                <w:highlight w:val="lightGray"/>
                <w:lang w:val="fr-FR" w:eastAsia="en-US"/>
              </w:rPr>
              <w:t xml:space="preserve"> (2020 et 2021)</w:t>
            </w:r>
          </w:p>
        </w:tc>
        <w:tc>
          <w:tcPr>
            <w:tcW w:w="4140" w:type="dxa"/>
          </w:tcPr>
          <w:p w14:paraId="05694D92" w14:textId="0C3D9EE9" w:rsidR="008D3486" w:rsidRPr="00ED6B34" w:rsidRDefault="008D3486" w:rsidP="008D3486">
            <w:pPr>
              <w:rPr>
                <w:sz w:val="20"/>
                <w:szCs w:val="20"/>
                <w:lang w:val="fr-FR"/>
              </w:rPr>
            </w:pPr>
            <w:r w:rsidRPr="00227E73">
              <w:rPr>
                <w:bCs/>
                <w:sz w:val="20"/>
                <w:szCs w:val="20"/>
                <w:highlight w:val="lightGray"/>
                <w:lang w:val="fr-FR" w:eastAsia="en-US"/>
              </w:rPr>
              <w:t>Sur 7 CCS prévus à l’origine, 9 sont installés et opérationn</w:t>
            </w:r>
            <w:r w:rsidR="00BD6986" w:rsidRPr="00227E73">
              <w:rPr>
                <w:bCs/>
                <w:sz w:val="20"/>
                <w:szCs w:val="20"/>
                <w:highlight w:val="lightGray"/>
                <w:lang w:val="fr-FR" w:eastAsia="en-US"/>
              </w:rPr>
              <w:t>e</w:t>
            </w:r>
            <w:r w:rsidRPr="00227E73">
              <w:rPr>
                <w:bCs/>
                <w:sz w:val="20"/>
                <w:szCs w:val="20"/>
                <w:highlight w:val="lightGray"/>
                <w:lang w:val="fr-FR" w:eastAsia="en-US"/>
              </w:rPr>
              <w:t>l</w:t>
            </w:r>
            <w:r w:rsidR="00BD6986" w:rsidRPr="00227E73">
              <w:rPr>
                <w:bCs/>
                <w:sz w:val="20"/>
                <w:szCs w:val="20"/>
                <w:highlight w:val="lightGray"/>
                <w:lang w:val="fr-FR" w:eastAsia="en-US"/>
              </w:rPr>
              <w:t>s.</w:t>
            </w:r>
            <w:r w:rsidRPr="00227E73">
              <w:rPr>
                <w:bCs/>
                <w:sz w:val="20"/>
                <w:szCs w:val="20"/>
                <w:highlight w:val="lightGray"/>
                <w:lang w:val="fr-FR" w:eastAsia="en-US"/>
              </w:rPr>
              <w:t xml:space="preserve"> Au début du projet, la Commune de </w:t>
            </w:r>
            <w:proofErr w:type="spellStart"/>
            <w:r w:rsidRPr="00227E73">
              <w:rPr>
                <w:bCs/>
                <w:sz w:val="20"/>
                <w:szCs w:val="20"/>
                <w:highlight w:val="lightGray"/>
                <w:lang w:val="fr-FR" w:eastAsia="en-US"/>
              </w:rPr>
              <w:t>Yasso</w:t>
            </w:r>
            <w:proofErr w:type="spellEnd"/>
            <w:r w:rsidRPr="00227E73">
              <w:rPr>
                <w:bCs/>
                <w:sz w:val="20"/>
                <w:szCs w:val="20"/>
                <w:highlight w:val="lightGray"/>
                <w:lang w:val="fr-FR" w:eastAsia="en-US"/>
              </w:rPr>
              <w:t xml:space="preserve"> (dans le Cercle de </w:t>
            </w:r>
            <w:proofErr w:type="spellStart"/>
            <w:r w:rsidRPr="00227E73">
              <w:rPr>
                <w:bCs/>
                <w:sz w:val="20"/>
                <w:szCs w:val="20"/>
                <w:highlight w:val="lightGray"/>
                <w:lang w:val="fr-FR" w:eastAsia="en-US"/>
              </w:rPr>
              <w:t>Tominian</w:t>
            </w:r>
            <w:proofErr w:type="spellEnd"/>
            <w:r w:rsidRPr="00227E73">
              <w:rPr>
                <w:bCs/>
                <w:sz w:val="20"/>
                <w:szCs w:val="20"/>
                <w:highlight w:val="lightGray"/>
                <w:lang w:val="fr-FR" w:eastAsia="en-US"/>
              </w:rPr>
              <w:t xml:space="preserve">) et la Commune de </w:t>
            </w:r>
            <w:proofErr w:type="spellStart"/>
            <w:r w:rsidRPr="00227E73">
              <w:rPr>
                <w:bCs/>
                <w:sz w:val="20"/>
                <w:szCs w:val="20"/>
                <w:highlight w:val="lightGray"/>
                <w:lang w:val="fr-FR" w:eastAsia="en-US"/>
              </w:rPr>
              <w:t>Femaye</w:t>
            </w:r>
            <w:proofErr w:type="spellEnd"/>
            <w:r w:rsidRPr="00227E73">
              <w:rPr>
                <w:bCs/>
                <w:sz w:val="20"/>
                <w:szCs w:val="20"/>
                <w:highlight w:val="lightGray"/>
                <w:lang w:val="fr-FR" w:eastAsia="en-US"/>
              </w:rPr>
              <w:t xml:space="preserve"> (dans le Cercle de Djenné ne faisaient parties de la planification, elles ont été intégrées pour être des cas pilotes de comparaison en accord avec le Commissariat à la Réforme du Secteur de la Sécurité (CRSS). Cette commune n’abrite pas les FDS contrairement aux autres communes identifiées.</w:t>
            </w:r>
          </w:p>
        </w:tc>
      </w:tr>
      <w:tr w:rsidR="008D3486" w:rsidRPr="00ED6B34" w14:paraId="40F13F3D" w14:textId="77777777" w:rsidTr="681F2457">
        <w:trPr>
          <w:trHeight w:val="458"/>
        </w:trPr>
        <w:tc>
          <w:tcPr>
            <w:tcW w:w="1530" w:type="dxa"/>
            <w:vMerge/>
          </w:tcPr>
          <w:p w14:paraId="09FAE972" w14:textId="77777777" w:rsidR="008D3486" w:rsidRPr="00ED6B34" w:rsidRDefault="008D3486" w:rsidP="008D3486">
            <w:pPr>
              <w:rPr>
                <w:b/>
                <w:sz w:val="20"/>
                <w:szCs w:val="20"/>
                <w:lang w:val="fr-FR" w:eastAsia="en-US"/>
              </w:rPr>
            </w:pPr>
          </w:p>
        </w:tc>
        <w:tc>
          <w:tcPr>
            <w:tcW w:w="2070" w:type="dxa"/>
            <w:shd w:val="clear" w:color="auto" w:fill="EEECE1"/>
          </w:tcPr>
          <w:p w14:paraId="79DA7BC0" w14:textId="77777777" w:rsidR="008D3486" w:rsidRPr="00ED6B34" w:rsidRDefault="008D3486" w:rsidP="008D3486">
            <w:pPr>
              <w:jc w:val="both"/>
              <w:rPr>
                <w:b/>
                <w:bCs/>
                <w:sz w:val="20"/>
                <w:szCs w:val="20"/>
                <w:lang w:val="fr-FR" w:eastAsia="en-US"/>
              </w:rPr>
            </w:pPr>
            <w:r w:rsidRPr="00ED6B34">
              <w:rPr>
                <w:b/>
                <w:bCs/>
                <w:sz w:val="20"/>
                <w:szCs w:val="20"/>
                <w:lang w:val="fr-FR" w:eastAsia="en-US"/>
              </w:rPr>
              <w:t>Indicateur 2.2.2</w:t>
            </w:r>
          </w:p>
          <w:p w14:paraId="4DCA5D93" w14:textId="77777777" w:rsidR="008D3486" w:rsidRPr="00ED6B34" w:rsidRDefault="008D3486" w:rsidP="008D3486">
            <w:pPr>
              <w:jc w:val="both"/>
              <w:rPr>
                <w:bCs/>
                <w:sz w:val="20"/>
                <w:szCs w:val="20"/>
                <w:lang w:val="fr-FR" w:eastAsia="en-US"/>
              </w:rPr>
            </w:pPr>
            <w:r w:rsidRPr="00ED6B34">
              <w:rPr>
                <w:bCs/>
                <w:sz w:val="20"/>
                <w:szCs w:val="20"/>
                <w:lang w:val="fr-FR" w:eastAsia="en-US"/>
              </w:rPr>
              <w:t>Nbre de personnes sensibilisée au rôle des CCS, désagrégé par sexe et âge.</w:t>
            </w:r>
          </w:p>
        </w:tc>
        <w:tc>
          <w:tcPr>
            <w:tcW w:w="1530" w:type="dxa"/>
            <w:shd w:val="clear" w:color="auto" w:fill="EEECE1"/>
          </w:tcPr>
          <w:p w14:paraId="6774AEBC" w14:textId="77777777" w:rsidR="008D3486" w:rsidRPr="00ED6B34" w:rsidRDefault="008D3486" w:rsidP="008D3486">
            <w:pPr>
              <w:rPr>
                <w:sz w:val="20"/>
                <w:szCs w:val="20"/>
                <w:lang w:val="fr-FR"/>
              </w:rPr>
            </w:pPr>
            <w:r w:rsidRPr="00ED6B34">
              <w:rPr>
                <w:sz w:val="20"/>
                <w:szCs w:val="20"/>
                <w:lang w:val="fr-FR"/>
              </w:rPr>
              <w:t>0</w:t>
            </w:r>
          </w:p>
        </w:tc>
        <w:tc>
          <w:tcPr>
            <w:tcW w:w="1620" w:type="dxa"/>
            <w:shd w:val="clear" w:color="auto" w:fill="EEECE1"/>
          </w:tcPr>
          <w:p w14:paraId="02605671" w14:textId="77777777" w:rsidR="008D3486" w:rsidRPr="00ED6B34" w:rsidRDefault="008D3486" w:rsidP="008D3486">
            <w:pPr>
              <w:rPr>
                <w:sz w:val="20"/>
                <w:szCs w:val="20"/>
                <w:lang w:val="fr-FR"/>
              </w:rPr>
            </w:pPr>
            <w:r w:rsidRPr="00ED6B34">
              <w:rPr>
                <w:sz w:val="20"/>
                <w:szCs w:val="20"/>
                <w:lang w:val="fr-FR"/>
              </w:rPr>
              <w:t>1000 dont 30% de femmes</w:t>
            </w:r>
          </w:p>
        </w:tc>
        <w:tc>
          <w:tcPr>
            <w:tcW w:w="2070" w:type="dxa"/>
          </w:tcPr>
          <w:p w14:paraId="44E0CEFE" w14:textId="77777777" w:rsidR="008D3486" w:rsidRPr="00ED6B34" w:rsidRDefault="008D3486" w:rsidP="008D3486">
            <w:pPr>
              <w:rPr>
                <w:sz w:val="20"/>
                <w:szCs w:val="20"/>
                <w:lang w:val="fr-FR"/>
              </w:rPr>
            </w:pPr>
            <w:r w:rsidRPr="00ED6B34">
              <w:rPr>
                <w:sz w:val="20"/>
                <w:lang w:val="fr-FR"/>
              </w:rPr>
              <w:fldChar w:fldCharType="begin">
                <w:ffData>
                  <w:name w:val=""/>
                  <w:enabled/>
                  <w:calcOnExit w:val="0"/>
                  <w:textInput>
                    <w:default w:val="200"/>
                    <w:maxLength w:val="300"/>
                  </w:textInput>
                </w:ffData>
              </w:fldChar>
            </w:r>
            <w:r w:rsidRPr="00ED6B34">
              <w:rPr>
                <w:sz w:val="20"/>
                <w:lang w:val="fr-FR"/>
              </w:rPr>
              <w:instrText xml:space="preserve"> FORMTEXT </w:instrText>
            </w:r>
            <w:r w:rsidRPr="00ED6B34">
              <w:rPr>
                <w:sz w:val="20"/>
                <w:lang w:val="fr-FR"/>
              </w:rPr>
            </w:r>
            <w:r w:rsidRPr="00ED6B34">
              <w:rPr>
                <w:sz w:val="20"/>
                <w:lang w:val="fr-FR"/>
              </w:rPr>
              <w:fldChar w:fldCharType="separate"/>
            </w:r>
            <w:r w:rsidRPr="00ED6B34">
              <w:rPr>
                <w:sz w:val="20"/>
                <w:lang w:val="fr-FR"/>
              </w:rPr>
              <w:t>200</w:t>
            </w:r>
            <w:r w:rsidRPr="00ED6B34">
              <w:rPr>
                <w:sz w:val="20"/>
                <w:lang w:val="fr-FR"/>
              </w:rPr>
              <w:fldChar w:fldCharType="end"/>
            </w:r>
          </w:p>
        </w:tc>
        <w:tc>
          <w:tcPr>
            <w:tcW w:w="2070" w:type="dxa"/>
          </w:tcPr>
          <w:p w14:paraId="7F71CAFA" w14:textId="6CD601C2" w:rsidR="008D3486" w:rsidRPr="00DA3A0D" w:rsidRDefault="008D3486" w:rsidP="008D3486">
            <w:pPr>
              <w:rPr>
                <w:sz w:val="20"/>
                <w:szCs w:val="20"/>
                <w:highlight w:val="lightGray"/>
                <w:lang w:val="fr-FR"/>
              </w:rPr>
            </w:pPr>
            <w:r w:rsidRPr="00DA3A0D">
              <w:rPr>
                <w:sz w:val="22"/>
                <w:szCs w:val="22"/>
                <w:highlight w:val="lightGray"/>
                <w:lang w:val="fr-FR"/>
              </w:rPr>
              <w:t xml:space="preserve">20 000 personnes </w:t>
            </w:r>
            <w:r w:rsidRPr="00DA3A0D">
              <w:rPr>
                <w:sz w:val="22"/>
                <w:szCs w:val="22"/>
                <w:highlight w:val="lightGray"/>
                <w:lang w:val="zh-CN"/>
              </w:rPr>
              <w:t xml:space="preserve">(dont </w:t>
            </w:r>
            <w:r w:rsidRPr="00DA3A0D">
              <w:rPr>
                <w:sz w:val="22"/>
                <w:szCs w:val="22"/>
                <w:highlight w:val="lightGray"/>
                <w:lang w:val="fr-FR"/>
              </w:rPr>
              <w:t xml:space="preserve">9 </w:t>
            </w:r>
            <w:r w:rsidRPr="00DA3A0D">
              <w:rPr>
                <w:sz w:val="22"/>
                <w:szCs w:val="22"/>
                <w:highlight w:val="lightGray"/>
                <w:lang w:val="zh-CN"/>
              </w:rPr>
              <w:t xml:space="preserve">000 femmes)  </w:t>
            </w:r>
          </w:p>
        </w:tc>
        <w:tc>
          <w:tcPr>
            <w:tcW w:w="4140" w:type="dxa"/>
          </w:tcPr>
          <w:p w14:paraId="4B84CE75" w14:textId="08587B3E" w:rsidR="008D3486" w:rsidRPr="00ED6B34" w:rsidRDefault="008D3486" w:rsidP="008D3486">
            <w:pPr>
              <w:rPr>
                <w:b/>
                <w:bCs/>
                <w:noProof/>
                <w:sz w:val="20"/>
                <w:szCs w:val="20"/>
                <w:lang w:val="fr-FR" w:eastAsia="en-US"/>
              </w:rPr>
            </w:pPr>
          </w:p>
        </w:tc>
      </w:tr>
      <w:tr w:rsidR="008D3486" w:rsidRPr="009740FB" w14:paraId="40264F73" w14:textId="77777777" w:rsidTr="681F2457">
        <w:trPr>
          <w:trHeight w:val="458"/>
        </w:trPr>
        <w:tc>
          <w:tcPr>
            <w:tcW w:w="1530" w:type="dxa"/>
          </w:tcPr>
          <w:p w14:paraId="0213CDBF" w14:textId="77777777" w:rsidR="008D3486" w:rsidRPr="00ED6B34" w:rsidRDefault="008D3486" w:rsidP="008D3486">
            <w:pPr>
              <w:rPr>
                <w:b/>
                <w:sz w:val="20"/>
                <w:szCs w:val="20"/>
                <w:lang w:val="fr-FR" w:eastAsia="en-US"/>
              </w:rPr>
            </w:pPr>
          </w:p>
        </w:tc>
        <w:tc>
          <w:tcPr>
            <w:tcW w:w="2070" w:type="dxa"/>
            <w:shd w:val="clear" w:color="auto" w:fill="EEECE1"/>
          </w:tcPr>
          <w:p w14:paraId="4CC8CFE8" w14:textId="58E01B1D" w:rsidR="008D3486" w:rsidRPr="005C5840" w:rsidRDefault="008D3486" w:rsidP="008D3486">
            <w:pPr>
              <w:jc w:val="both"/>
              <w:rPr>
                <w:sz w:val="20"/>
                <w:szCs w:val="20"/>
                <w:lang w:val="fr-FR"/>
              </w:rPr>
            </w:pPr>
            <w:bookmarkStart w:id="22" w:name="_Hlk86772711"/>
            <w:r w:rsidRPr="005C5840">
              <w:rPr>
                <w:sz w:val="20"/>
                <w:szCs w:val="20"/>
                <w:lang w:val="fr-FR"/>
              </w:rPr>
              <w:t>Nombre d’acteurs de la sécurité et des représentants des OSC formés en matière de police de proximité,</w:t>
            </w:r>
            <w:r w:rsidR="005C5840">
              <w:rPr>
                <w:sz w:val="20"/>
                <w:szCs w:val="20"/>
                <w:lang w:val="fr-FR"/>
              </w:rPr>
              <w:t xml:space="preserve"> </w:t>
            </w:r>
            <w:r w:rsidRPr="005C5840">
              <w:rPr>
                <w:sz w:val="20"/>
                <w:szCs w:val="20"/>
                <w:lang w:val="fr-FR"/>
              </w:rPr>
              <w:t>désagrégé par sexe et âge</w:t>
            </w:r>
            <w:bookmarkEnd w:id="22"/>
          </w:p>
        </w:tc>
        <w:tc>
          <w:tcPr>
            <w:tcW w:w="1530" w:type="dxa"/>
            <w:shd w:val="clear" w:color="auto" w:fill="EEECE1"/>
          </w:tcPr>
          <w:p w14:paraId="4EDCE7FA" w14:textId="61A72F25" w:rsidR="008D3486" w:rsidRPr="005C5840" w:rsidRDefault="00AB125E" w:rsidP="008D3486">
            <w:pPr>
              <w:rPr>
                <w:sz w:val="20"/>
                <w:szCs w:val="20"/>
                <w:lang w:val="fr-FR"/>
              </w:rPr>
            </w:pPr>
            <w:r w:rsidRPr="005C5840">
              <w:rPr>
                <w:sz w:val="20"/>
                <w:szCs w:val="20"/>
                <w:lang w:val="fr-FR"/>
              </w:rPr>
              <w:t>72 acteurs de la sécurité</w:t>
            </w:r>
            <w:r w:rsidR="005C5840">
              <w:rPr>
                <w:sz w:val="20"/>
                <w:szCs w:val="20"/>
                <w:lang w:val="fr-FR"/>
              </w:rPr>
              <w:t xml:space="preserve"> </w:t>
            </w:r>
            <w:r w:rsidRPr="005C5840">
              <w:rPr>
                <w:sz w:val="20"/>
                <w:szCs w:val="20"/>
                <w:lang w:val="fr-FR"/>
              </w:rPr>
              <w:t xml:space="preserve">(dont 10 femmes) et 124 représentants des </w:t>
            </w:r>
            <w:proofErr w:type="spellStart"/>
            <w:r w:rsidRPr="005C5840">
              <w:rPr>
                <w:sz w:val="20"/>
                <w:szCs w:val="20"/>
                <w:lang w:val="fr-FR"/>
              </w:rPr>
              <w:t>OSCs</w:t>
            </w:r>
            <w:proofErr w:type="spellEnd"/>
            <w:r w:rsidRPr="005C5840">
              <w:rPr>
                <w:sz w:val="20"/>
                <w:szCs w:val="20"/>
                <w:lang w:val="fr-FR"/>
              </w:rPr>
              <w:t xml:space="preserve"> (dont 53 femmes</w:t>
            </w:r>
            <w:r w:rsidR="00635159" w:rsidRPr="005C5840">
              <w:rPr>
                <w:sz w:val="20"/>
                <w:szCs w:val="20"/>
                <w:lang w:val="fr-FR"/>
              </w:rPr>
              <w:t>, soit 42,7%</w:t>
            </w:r>
            <w:r w:rsidRPr="005C5840">
              <w:rPr>
                <w:sz w:val="20"/>
                <w:szCs w:val="20"/>
                <w:lang w:val="fr-FR"/>
              </w:rPr>
              <w:t>et 24 jeunes</w:t>
            </w:r>
            <w:r w:rsidR="00635159" w:rsidRPr="005C5840">
              <w:rPr>
                <w:sz w:val="20"/>
                <w:szCs w:val="20"/>
                <w:lang w:val="fr-FR"/>
              </w:rPr>
              <w:t>, soit 19,3%</w:t>
            </w:r>
            <w:r w:rsidRPr="005C5840">
              <w:rPr>
                <w:sz w:val="20"/>
                <w:szCs w:val="20"/>
                <w:lang w:val="fr-FR"/>
              </w:rPr>
              <w:t>)</w:t>
            </w:r>
          </w:p>
        </w:tc>
        <w:tc>
          <w:tcPr>
            <w:tcW w:w="1620" w:type="dxa"/>
            <w:shd w:val="clear" w:color="auto" w:fill="EEECE1"/>
          </w:tcPr>
          <w:p w14:paraId="0BBC337F" w14:textId="25472D5F" w:rsidR="008D3486" w:rsidRPr="005C5840" w:rsidRDefault="00AB125E" w:rsidP="008D3486">
            <w:pPr>
              <w:rPr>
                <w:sz w:val="20"/>
                <w:szCs w:val="20"/>
                <w:lang w:val="fr-FR"/>
              </w:rPr>
            </w:pPr>
            <w:r w:rsidRPr="005C5840">
              <w:rPr>
                <w:sz w:val="20"/>
                <w:szCs w:val="20"/>
                <w:lang w:val="fr-FR"/>
              </w:rPr>
              <w:t>300</w:t>
            </w:r>
          </w:p>
        </w:tc>
        <w:tc>
          <w:tcPr>
            <w:tcW w:w="2070" w:type="dxa"/>
          </w:tcPr>
          <w:p w14:paraId="4E10422A" w14:textId="2B01CE2A" w:rsidR="008D3486" w:rsidRPr="005C5840" w:rsidRDefault="00AB125E" w:rsidP="008D3486">
            <w:pPr>
              <w:rPr>
                <w:b/>
                <w:sz w:val="20"/>
                <w:szCs w:val="20"/>
                <w:lang w:val="fr-FR" w:eastAsia="en-US"/>
              </w:rPr>
            </w:pPr>
            <w:r w:rsidRPr="005C5840">
              <w:rPr>
                <w:b/>
                <w:sz w:val="20"/>
                <w:szCs w:val="20"/>
                <w:lang w:val="fr-FR" w:eastAsia="en-US"/>
              </w:rPr>
              <w:t xml:space="preserve">150 </w:t>
            </w:r>
          </w:p>
        </w:tc>
        <w:tc>
          <w:tcPr>
            <w:tcW w:w="2070" w:type="dxa"/>
          </w:tcPr>
          <w:p w14:paraId="60C7137B" w14:textId="287D154F" w:rsidR="008D3486" w:rsidRPr="00DA3A0D" w:rsidRDefault="00AB125E" w:rsidP="00215769">
            <w:pPr>
              <w:rPr>
                <w:bCs/>
                <w:sz w:val="20"/>
                <w:szCs w:val="20"/>
                <w:lang w:val="fr-FR" w:eastAsia="en-US"/>
              </w:rPr>
            </w:pPr>
            <w:r w:rsidRPr="00DA3A0D">
              <w:rPr>
                <w:bCs/>
                <w:sz w:val="20"/>
                <w:szCs w:val="20"/>
                <w:highlight w:val="lightGray"/>
                <w:lang w:val="fr-FR" w:eastAsia="en-US"/>
              </w:rPr>
              <w:t xml:space="preserve">196 acteurs de sécurité </w:t>
            </w:r>
            <w:r w:rsidR="00A14BAE" w:rsidRPr="00DA3A0D">
              <w:rPr>
                <w:bCs/>
                <w:sz w:val="20"/>
                <w:szCs w:val="20"/>
                <w:highlight w:val="lightGray"/>
                <w:lang w:val="fr-FR" w:eastAsia="en-US"/>
              </w:rPr>
              <w:t>e</w:t>
            </w:r>
            <w:r w:rsidRPr="00DA3A0D">
              <w:rPr>
                <w:bCs/>
                <w:sz w:val="20"/>
                <w:szCs w:val="20"/>
                <w:highlight w:val="lightGray"/>
                <w:lang w:val="fr-FR" w:eastAsia="en-US"/>
              </w:rPr>
              <w:t>t représentants d’OSC confondus</w:t>
            </w:r>
          </w:p>
        </w:tc>
        <w:tc>
          <w:tcPr>
            <w:tcW w:w="4140" w:type="dxa"/>
          </w:tcPr>
          <w:p w14:paraId="504347CC" w14:textId="65C8882A" w:rsidR="008D3486" w:rsidRPr="005C5840" w:rsidRDefault="00757A58" w:rsidP="008D3486">
            <w:pPr>
              <w:rPr>
                <w:sz w:val="20"/>
                <w:lang w:val="fr-FR"/>
              </w:rPr>
            </w:pPr>
            <w:r w:rsidRPr="00DA3A0D">
              <w:rPr>
                <w:sz w:val="20"/>
                <w:highlight w:val="lightGray"/>
                <w:lang w:val="fr-FR"/>
              </w:rPr>
              <w:t>Les désagrégations par âge n’ont pas été rigoureu</w:t>
            </w:r>
            <w:r w:rsidR="005C5840" w:rsidRPr="00DA3A0D">
              <w:rPr>
                <w:sz w:val="20"/>
                <w:highlight w:val="lightGray"/>
                <w:lang w:val="fr-FR"/>
              </w:rPr>
              <w:t>s</w:t>
            </w:r>
            <w:r w:rsidRPr="00DA3A0D">
              <w:rPr>
                <w:sz w:val="20"/>
                <w:highlight w:val="lightGray"/>
                <w:lang w:val="fr-FR"/>
              </w:rPr>
              <w:t>ement suivi</w:t>
            </w:r>
            <w:r w:rsidR="00366631" w:rsidRPr="00DA3A0D">
              <w:rPr>
                <w:sz w:val="20"/>
                <w:highlight w:val="lightGray"/>
                <w:lang w:val="fr-FR"/>
              </w:rPr>
              <w:t>es</w:t>
            </w:r>
            <w:r w:rsidRPr="00DA3A0D">
              <w:rPr>
                <w:sz w:val="20"/>
                <w:highlight w:val="lightGray"/>
                <w:lang w:val="fr-FR"/>
              </w:rPr>
              <w:t xml:space="preserve">. La remarque sera </w:t>
            </w:r>
            <w:r w:rsidR="00C1485F" w:rsidRPr="00DA3A0D">
              <w:rPr>
                <w:sz w:val="20"/>
                <w:highlight w:val="lightGray"/>
                <w:lang w:val="fr-FR"/>
              </w:rPr>
              <w:t xml:space="preserve">faite et suivie </w:t>
            </w:r>
            <w:r w:rsidR="00401E3E" w:rsidRPr="00DA3A0D">
              <w:rPr>
                <w:sz w:val="20"/>
                <w:highlight w:val="lightGray"/>
                <w:lang w:val="fr-FR"/>
              </w:rPr>
              <w:t>durant l’exécutions des</w:t>
            </w:r>
            <w:r w:rsidRPr="00DA3A0D">
              <w:rPr>
                <w:sz w:val="20"/>
                <w:highlight w:val="lightGray"/>
                <w:lang w:val="fr-FR"/>
              </w:rPr>
              <w:t xml:space="preserve"> prochaines ac</w:t>
            </w:r>
            <w:r w:rsidR="005C5840" w:rsidRPr="00DA3A0D">
              <w:rPr>
                <w:sz w:val="20"/>
                <w:highlight w:val="lightGray"/>
                <w:lang w:val="fr-FR"/>
              </w:rPr>
              <w:t>t</w:t>
            </w:r>
            <w:r w:rsidRPr="00DA3A0D">
              <w:rPr>
                <w:sz w:val="20"/>
                <w:highlight w:val="lightGray"/>
                <w:lang w:val="fr-FR"/>
              </w:rPr>
              <w:t>ivités</w:t>
            </w:r>
            <w:r w:rsidRPr="005C5840">
              <w:rPr>
                <w:sz w:val="20"/>
                <w:lang w:val="fr-FR"/>
              </w:rPr>
              <w:t xml:space="preserve"> </w:t>
            </w:r>
          </w:p>
        </w:tc>
      </w:tr>
      <w:tr w:rsidR="008D3486" w:rsidRPr="009740FB" w14:paraId="26067F20" w14:textId="77777777" w:rsidTr="681F2457">
        <w:trPr>
          <w:trHeight w:val="458"/>
        </w:trPr>
        <w:tc>
          <w:tcPr>
            <w:tcW w:w="1530" w:type="dxa"/>
            <w:vMerge w:val="restart"/>
          </w:tcPr>
          <w:p w14:paraId="18C2CFAA" w14:textId="77777777" w:rsidR="008D3486" w:rsidRPr="00ED6B34" w:rsidRDefault="008D3486" w:rsidP="008D3486">
            <w:pPr>
              <w:rPr>
                <w:bCs/>
                <w:sz w:val="20"/>
                <w:szCs w:val="20"/>
                <w:lang w:val="fr-FR" w:eastAsia="en-US"/>
              </w:rPr>
            </w:pPr>
          </w:p>
          <w:p w14:paraId="04A55AEB" w14:textId="77777777" w:rsidR="008D3486" w:rsidRPr="00ED6B34" w:rsidRDefault="008D3486" w:rsidP="008D3486">
            <w:pPr>
              <w:rPr>
                <w:bCs/>
                <w:sz w:val="20"/>
                <w:szCs w:val="20"/>
                <w:lang w:val="fr-FR" w:eastAsia="en-US"/>
              </w:rPr>
            </w:pPr>
            <w:r w:rsidRPr="00ED6B34">
              <w:rPr>
                <w:bCs/>
                <w:sz w:val="20"/>
                <w:szCs w:val="20"/>
                <w:lang w:val="fr-FR" w:eastAsia="en-US"/>
              </w:rPr>
              <w:t>Produit 2.3</w:t>
            </w:r>
          </w:p>
          <w:p w14:paraId="569D98A6" w14:textId="77777777" w:rsidR="008D3486" w:rsidRPr="00ED6B34" w:rsidRDefault="008D3486" w:rsidP="008D3486">
            <w:pPr>
              <w:rPr>
                <w:bCs/>
                <w:sz w:val="20"/>
                <w:szCs w:val="20"/>
                <w:lang w:val="fr-FR" w:eastAsia="en-US"/>
              </w:rPr>
            </w:pPr>
            <w:r w:rsidRPr="00ED6B34">
              <w:rPr>
                <w:bCs/>
                <w:iCs/>
                <w:sz w:val="20"/>
                <w:szCs w:val="20"/>
                <w:lang w:val="fr-FR"/>
              </w:rPr>
              <w:t>Les mécanismes formels et informels de gestions des conflits sont renforcés afin de prévenir les conflits intercommunautaires</w:t>
            </w:r>
          </w:p>
        </w:tc>
        <w:tc>
          <w:tcPr>
            <w:tcW w:w="2070" w:type="dxa"/>
            <w:shd w:val="clear" w:color="auto" w:fill="EEECE1"/>
          </w:tcPr>
          <w:p w14:paraId="76F609BE" w14:textId="77777777" w:rsidR="008D3486" w:rsidRPr="00ED6B34" w:rsidRDefault="008D3486" w:rsidP="008D3486">
            <w:pPr>
              <w:jc w:val="both"/>
              <w:rPr>
                <w:b/>
                <w:bCs/>
                <w:sz w:val="20"/>
                <w:szCs w:val="20"/>
                <w:lang w:val="fr-FR" w:eastAsia="en-US"/>
              </w:rPr>
            </w:pPr>
            <w:r w:rsidRPr="00ED6B34">
              <w:rPr>
                <w:b/>
                <w:bCs/>
                <w:sz w:val="20"/>
                <w:szCs w:val="20"/>
                <w:lang w:val="fr-FR" w:eastAsia="en-US"/>
              </w:rPr>
              <w:t>Indicateur 2.3.1</w:t>
            </w:r>
          </w:p>
          <w:p w14:paraId="57E0BE60" w14:textId="77777777" w:rsidR="008D3486" w:rsidRPr="00ED6B34" w:rsidRDefault="008D3486" w:rsidP="008D3486">
            <w:pPr>
              <w:jc w:val="both"/>
              <w:rPr>
                <w:bCs/>
                <w:sz w:val="20"/>
                <w:szCs w:val="20"/>
                <w:lang w:val="fr-FR" w:eastAsia="en-US"/>
              </w:rPr>
            </w:pPr>
            <w:r w:rsidRPr="00ED6B34">
              <w:rPr>
                <w:bCs/>
                <w:sz w:val="20"/>
                <w:szCs w:val="20"/>
                <w:lang w:val="fr-FR" w:eastAsia="en-US"/>
              </w:rPr>
              <w:t>Nombre de commissions foncières redynamisées</w:t>
            </w:r>
          </w:p>
        </w:tc>
        <w:tc>
          <w:tcPr>
            <w:tcW w:w="1530" w:type="dxa"/>
            <w:shd w:val="clear" w:color="auto" w:fill="EEECE1"/>
          </w:tcPr>
          <w:p w14:paraId="63F4488E" w14:textId="77777777" w:rsidR="008D3486" w:rsidRPr="00ED6B34" w:rsidRDefault="008D3486" w:rsidP="008D3486">
            <w:pPr>
              <w:rPr>
                <w:sz w:val="20"/>
                <w:szCs w:val="20"/>
                <w:lang w:val="fr-FR"/>
              </w:rPr>
            </w:pPr>
            <w:r w:rsidRPr="00ED6B34">
              <w:rPr>
                <w:sz w:val="20"/>
                <w:szCs w:val="20"/>
                <w:lang w:val="fr-FR"/>
              </w:rPr>
              <w:t>0</w:t>
            </w:r>
          </w:p>
        </w:tc>
        <w:tc>
          <w:tcPr>
            <w:tcW w:w="1620" w:type="dxa"/>
            <w:shd w:val="clear" w:color="auto" w:fill="EEECE1"/>
          </w:tcPr>
          <w:p w14:paraId="2D906E11" w14:textId="77777777" w:rsidR="008D3486" w:rsidRPr="00ED6B34" w:rsidRDefault="008D3486" w:rsidP="008D3486">
            <w:pPr>
              <w:rPr>
                <w:sz w:val="20"/>
                <w:szCs w:val="20"/>
                <w:lang w:val="fr-FR"/>
              </w:rPr>
            </w:pPr>
            <w:r w:rsidRPr="00ED6B34">
              <w:rPr>
                <w:sz w:val="20"/>
                <w:szCs w:val="20"/>
                <w:lang w:val="fr-FR"/>
              </w:rPr>
              <w:t>115 commissions (une par commune)</w:t>
            </w:r>
          </w:p>
        </w:tc>
        <w:tc>
          <w:tcPr>
            <w:tcW w:w="2070" w:type="dxa"/>
          </w:tcPr>
          <w:p w14:paraId="18DB4D08" w14:textId="56AA7C97" w:rsidR="008D3486" w:rsidRPr="00ED6B34" w:rsidRDefault="008D3486" w:rsidP="008D3486">
            <w:pPr>
              <w:rPr>
                <w:sz w:val="20"/>
                <w:szCs w:val="20"/>
                <w:lang w:val="fr-FR"/>
              </w:rPr>
            </w:pPr>
            <w:r w:rsidRPr="00ED6B34">
              <w:rPr>
                <w:sz w:val="20"/>
                <w:szCs w:val="20"/>
                <w:lang w:val="fr-FR"/>
              </w:rPr>
              <w:t>115 commissions redynamisées</w:t>
            </w:r>
          </w:p>
        </w:tc>
        <w:tc>
          <w:tcPr>
            <w:tcW w:w="2070" w:type="dxa"/>
          </w:tcPr>
          <w:p w14:paraId="3026F0FE" w14:textId="51E7763E" w:rsidR="008D3486" w:rsidRPr="00DA3A0D" w:rsidRDefault="008D3486" w:rsidP="008D3486">
            <w:pPr>
              <w:rPr>
                <w:bCs/>
                <w:sz w:val="20"/>
                <w:szCs w:val="20"/>
                <w:highlight w:val="lightGray"/>
                <w:lang w:val="fr-FR"/>
              </w:rPr>
            </w:pPr>
            <w:r w:rsidRPr="00DA3A0D">
              <w:rPr>
                <w:bCs/>
                <w:sz w:val="20"/>
                <w:szCs w:val="20"/>
                <w:highlight w:val="lightGray"/>
                <w:lang w:val="fr-FR" w:eastAsia="en-US"/>
              </w:rPr>
              <w:t xml:space="preserve">100 </w:t>
            </w:r>
            <w:r w:rsidRPr="00DA3A0D">
              <w:rPr>
                <w:bCs/>
                <w:sz w:val="20"/>
                <w:szCs w:val="20"/>
                <w:highlight w:val="lightGray"/>
                <w:lang w:val="fr-FR"/>
              </w:rPr>
              <w:t>commissions redynamisées</w:t>
            </w:r>
          </w:p>
        </w:tc>
        <w:tc>
          <w:tcPr>
            <w:tcW w:w="4140" w:type="dxa"/>
          </w:tcPr>
          <w:p w14:paraId="60F805E1" w14:textId="591C9869" w:rsidR="008D3486" w:rsidRPr="00227E73" w:rsidRDefault="008D3486" w:rsidP="008D3486">
            <w:pPr>
              <w:rPr>
                <w:bCs/>
                <w:noProof/>
                <w:sz w:val="20"/>
                <w:szCs w:val="20"/>
                <w:highlight w:val="lightGray"/>
                <w:lang w:val="fr-FR" w:eastAsia="en-US"/>
              </w:rPr>
            </w:pPr>
            <w:r w:rsidRPr="00227E73">
              <w:rPr>
                <w:bCs/>
                <w:sz w:val="20"/>
                <w:szCs w:val="20"/>
                <w:highlight w:val="lightGray"/>
                <w:lang w:val="fr-FR" w:eastAsia="en-US"/>
              </w:rPr>
              <w:t xml:space="preserve">Les </w:t>
            </w:r>
            <w:proofErr w:type="spellStart"/>
            <w:r w:rsidRPr="00227E73">
              <w:rPr>
                <w:bCs/>
                <w:sz w:val="20"/>
                <w:szCs w:val="20"/>
                <w:highlight w:val="lightGray"/>
                <w:lang w:val="fr-FR" w:eastAsia="en-US"/>
              </w:rPr>
              <w:t>CoFos</w:t>
            </w:r>
            <w:proofErr w:type="spellEnd"/>
            <w:r w:rsidRPr="00227E73">
              <w:rPr>
                <w:bCs/>
                <w:sz w:val="20"/>
                <w:szCs w:val="20"/>
                <w:highlight w:val="lightGray"/>
                <w:lang w:val="fr-FR" w:eastAsia="en-US"/>
              </w:rPr>
              <w:t xml:space="preserve"> dans le Cercle de Niono n’ont pas pu être redynamisées à cause l’ag</w:t>
            </w:r>
            <w:r w:rsidR="005C5840">
              <w:rPr>
                <w:bCs/>
                <w:sz w:val="20"/>
                <w:szCs w:val="20"/>
                <w:highlight w:val="lightGray"/>
                <w:lang w:val="fr-FR" w:eastAsia="en-US"/>
              </w:rPr>
              <w:t>g</w:t>
            </w:r>
            <w:r w:rsidRPr="00227E73">
              <w:rPr>
                <w:bCs/>
                <w:sz w:val="20"/>
                <w:szCs w:val="20"/>
                <w:highlight w:val="lightGray"/>
                <w:lang w:val="fr-FR" w:eastAsia="en-US"/>
              </w:rPr>
              <w:t>ravation de la situation sécu</w:t>
            </w:r>
            <w:r w:rsidR="00C050B4">
              <w:rPr>
                <w:bCs/>
                <w:sz w:val="20"/>
                <w:szCs w:val="20"/>
                <w:highlight w:val="lightGray"/>
                <w:lang w:val="fr-FR" w:eastAsia="en-US"/>
              </w:rPr>
              <w:t>r</w:t>
            </w:r>
            <w:r w:rsidRPr="00227E73">
              <w:rPr>
                <w:bCs/>
                <w:sz w:val="20"/>
                <w:szCs w:val="20"/>
                <w:highlight w:val="lightGray"/>
                <w:lang w:val="fr-FR" w:eastAsia="en-US"/>
              </w:rPr>
              <w:t>itaire.</w:t>
            </w:r>
          </w:p>
        </w:tc>
      </w:tr>
      <w:tr w:rsidR="008D3486" w:rsidRPr="00ED6B34" w14:paraId="4FA5EAFB" w14:textId="77777777" w:rsidTr="681F2457">
        <w:trPr>
          <w:trHeight w:val="458"/>
        </w:trPr>
        <w:tc>
          <w:tcPr>
            <w:tcW w:w="1530" w:type="dxa"/>
            <w:vMerge/>
          </w:tcPr>
          <w:p w14:paraId="6247C82A" w14:textId="77777777" w:rsidR="008D3486" w:rsidRPr="00ED6B34" w:rsidRDefault="008D3486" w:rsidP="008D3486">
            <w:pPr>
              <w:rPr>
                <w:b/>
                <w:sz w:val="20"/>
                <w:szCs w:val="20"/>
                <w:lang w:val="fr-FR" w:eastAsia="en-US"/>
              </w:rPr>
            </w:pPr>
          </w:p>
        </w:tc>
        <w:tc>
          <w:tcPr>
            <w:tcW w:w="2070" w:type="dxa"/>
            <w:shd w:val="clear" w:color="auto" w:fill="EEECE1"/>
          </w:tcPr>
          <w:p w14:paraId="76D6CF6B" w14:textId="77777777" w:rsidR="008D3486" w:rsidRPr="00ED6B34" w:rsidRDefault="008D3486" w:rsidP="008D3486">
            <w:pPr>
              <w:jc w:val="both"/>
              <w:rPr>
                <w:b/>
                <w:bCs/>
                <w:sz w:val="20"/>
                <w:szCs w:val="20"/>
                <w:lang w:val="fr-FR" w:eastAsia="en-US"/>
              </w:rPr>
            </w:pPr>
            <w:r w:rsidRPr="00ED6B34">
              <w:rPr>
                <w:b/>
                <w:bCs/>
                <w:sz w:val="20"/>
                <w:szCs w:val="20"/>
                <w:lang w:val="fr-FR" w:eastAsia="en-US"/>
              </w:rPr>
              <w:t>Indicateur 2.3.2</w:t>
            </w:r>
          </w:p>
          <w:p w14:paraId="29E025BF" w14:textId="77777777" w:rsidR="008D3486" w:rsidRPr="00ED6B34" w:rsidRDefault="008D3486" w:rsidP="008D3486">
            <w:pPr>
              <w:jc w:val="both"/>
              <w:rPr>
                <w:bCs/>
                <w:sz w:val="20"/>
                <w:szCs w:val="20"/>
                <w:lang w:val="fr-FR" w:eastAsia="en-US"/>
              </w:rPr>
            </w:pPr>
            <w:r w:rsidRPr="00ED6B34">
              <w:rPr>
                <w:bCs/>
                <w:sz w:val="20"/>
                <w:szCs w:val="20"/>
                <w:lang w:val="fr-FR" w:eastAsia="en-US"/>
              </w:rPr>
              <w:t>Nbre de personnes sensibilisées par le projet sur les mécanismes formels et informels de gestion des conflits fonciers, désagrégé par sexe et âge.</w:t>
            </w:r>
          </w:p>
        </w:tc>
        <w:tc>
          <w:tcPr>
            <w:tcW w:w="1530" w:type="dxa"/>
            <w:shd w:val="clear" w:color="auto" w:fill="EEECE1"/>
          </w:tcPr>
          <w:p w14:paraId="1714DD31" w14:textId="77777777" w:rsidR="008D3486" w:rsidRPr="00ED6B34" w:rsidRDefault="008D3486" w:rsidP="008D3486">
            <w:pPr>
              <w:rPr>
                <w:sz w:val="20"/>
                <w:szCs w:val="20"/>
                <w:lang w:val="fr-FR"/>
              </w:rPr>
            </w:pPr>
            <w:r w:rsidRPr="00ED6B34">
              <w:rPr>
                <w:sz w:val="20"/>
                <w:szCs w:val="20"/>
                <w:lang w:val="fr-FR"/>
              </w:rPr>
              <w:t>0</w:t>
            </w:r>
          </w:p>
        </w:tc>
        <w:tc>
          <w:tcPr>
            <w:tcW w:w="1620" w:type="dxa"/>
            <w:shd w:val="clear" w:color="auto" w:fill="EEECE1"/>
          </w:tcPr>
          <w:p w14:paraId="16765B3F" w14:textId="77777777" w:rsidR="008D3486" w:rsidRPr="00ED6B34" w:rsidRDefault="008D3486" w:rsidP="008D3486">
            <w:pPr>
              <w:rPr>
                <w:sz w:val="20"/>
                <w:szCs w:val="20"/>
                <w:lang w:val="fr-FR"/>
              </w:rPr>
            </w:pPr>
            <w:r w:rsidRPr="00ED6B34">
              <w:rPr>
                <w:sz w:val="20"/>
                <w:szCs w:val="20"/>
                <w:lang w:val="fr-FR"/>
              </w:rPr>
              <w:t>1000 dont 30% de femmes</w:t>
            </w:r>
          </w:p>
        </w:tc>
        <w:tc>
          <w:tcPr>
            <w:tcW w:w="2070" w:type="dxa"/>
          </w:tcPr>
          <w:p w14:paraId="55974D70" w14:textId="3F5F684A" w:rsidR="008D3486" w:rsidRPr="00ED6B34" w:rsidRDefault="008D3486" w:rsidP="008D3486">
            <w:pPr>
              <w:rPr>
                <w:sz w:val="20"/>
                <w:szCs w:val="20"/>
                <w:lang w:val="fr-FR"/>
              </w:rPr>
            </w:pPr>
          </w:p>
        </w:tc>
        <w:tc>
          <w:tcPr>
            <w:tcW w:w="2070" w:type="dxa"/>
          </w:tcPr>
          <w:p w14:paraId="28829B74" w14:textId="70F7AA83" w:rsidR="008D3486" w:rsidRPr="00DA3A0D" w:rsidRDefault="008D3486" w:rsidP="008D3486">
            <w:pPr>
              <w:rPr>
                <w:sz w:val="20"/>
                <w:szCs w:val="20"/>
                <w:highlight w:val="lightGray"/>
                <w:lang w:val="fr-FR"/>
              </w:rPr>
            </w:pPr>
            <w:r w:rsidRPr="00DA3A0D">
              <w:rPr>
                <w:bCs/>
                <w:iCs/>
                <w:sz w:val="20"/>
                <w:szCs w:val="20"/>
                <w:highlight w:val="lightGray"/>
                <w:lang w:val="fr-FR"/>
              </w:rPr>
              <w:t>8478 dont 3248 femmes (38,31%)</w:t>
            </w:r>
          </w:p>
        </w:tc>
        <w:tc>
          <w:tcPr>
            <w:tcW w:w="4140" w:type="dxa"/>
          </w:tcPr>
          <w:p w14:paraId="35927BD8" w14:textId="379E65F6" w:rsidR="008D3486" w:rsidRPr="00227E73" w:rsidRDefault="008D3486" w:rsidP="008D3486">
            <w:pPr>
              <w:rPr>
                <w:b/>
                <w:bCs/>
                <w:noProof/>
                <w:highlight w:val="lightGray"/>
                <w:lang w:val="fr-FR" w:eastAsia="en-US"/>
              </w:rPr>
            </w:pPr>
            <w:r w:rsidRPr="00227E73">
              <w:rPr>
                <w:b/>
                <w:bCs/>
                <w:noProof/>
                <w:sz w:val="20"/>
                <w:szCs w:val="20"/>
                <w:highlight w:val="lightGray"/>
                <w:lang w:val="fr-FR" w:eastAsia="en-US"/>
              </w:rPr>
              <w:t xml:space="preserve"> </w:t>
            </w:r>
          </w:p>
        </w:tc>
      </w:tr>
      <w:tr w:rsidR="008D3486" w:rsidRPr="009740FB" w14:paraId="41419A6E" w14:textId="77777777" w:rsidTr="681F2457">
        <w:trPr>
          <w:trHeight w:val="458"/>
        </w:trPr>
        <w:tc>
          <w:tcPr>
            <w:tcW w:w="1530" w:type="dxa"/>
            <w:vMerge w:val="restart"/>
          </w:tcPr>
          <w:p w14:paraId="2B346D09" w14:textId="77777777" w:rsidR="008D3486" w:rsidRPr="00ED6B34" w:rsidRDefault="008D3486" w:rsidP="008D3486">
            <w:pPr>
              <w:rPr>
                <w:b/>
                <w:sz w:val="20"/>
                <w:szCs w:val="20"/>
                <w:lang w:val="fr-FR" w:eastAsia="en-US"/>
              </w:rPr>
            </w:pPr>
            <w:r w:rsidRPr="00ED6B34">
              <w:rPr>
                <w:b/>
                <w:sz w:val="20"/>
                <w:szCs w:val="20"/>
                <w:lang w:val="fr-FR" w:eastAsia="en-US"/>
              </w:rPr>
              <w:t>Résultat 3</w:t>
            </w:r>
          </w:p>
          <w:p w14:paraId="1547C18C" w14:textId="77777777" w:rsidR="008D3486" w:rsidRPr="00ED6B34" w:rsidRDefault="008D3486" w:rsidP="008D3486">
            <w:pPr>
              <w:rPr>
                <w:b/>
                <w:bCs/>
                <w:sz w:val="20"/>
                <w:szCs w:val="20"/>
                <w:lang w:val="fr-FR" w:eastAsia="en-US"/>
              </w:rPr>
            </w:pPr>
            <w:r w:rsidRPr="00ED6B34">
              <w:rPr>
                <w:b/>
                <w:bCs/>
                <w:sz w:val="20"/>
                <w:szCs w:val="20"/>
                <w:lang w:val="fr-FR"/>
              </w:rPr>
              <w:t xml:space="preserve">L’accès à la justice des populations du centre du Mali est facilité et la protection des victimes saisissant les </w:t>
            </w:r>
            <w:r w:rsidRPr="00ED6B34">
              <w:rPr>
                <w:b/>
                <w:bCs/>
                <w:sz w:val="20"/>
                <w:szCs w:val="20"/>
                <w:lang w:val="fr-FR"/>
              </w:rPr>
              <w:lastRenderedPageBreak/>
              <w:t>acteurs en charge de la lutte contre l’impunité est assurée</w:t>
            </w:r>
            <w:r w:rsidRPr="00ED6B34">
              <w:rPr>
                <w:b/>
                <w:bCs/>
                <w:iCs/>
                <w:sz w:val="20"/>
                <w:szCs w:val="20"/>
                <w:lang w:val="fr-FR"/>
              </w:rPr>
              <w:t>.</w:t>
            </w:r>
          </w:p>
        </w:tc>
        <w:tc>
          <w:tcPr>
            <w:tcW w:w="2070" w:type="dxa"/>
            <w:shd w:val="clear" w:color="auto" w:fill="EEECE1"/>
          </w:tcPr>
          <w:p w14:paraId="7CD8D213" w14:textId="77777777" w:rsidR="008D3486" w:rsidRPr="00ED6B34" w:rsidRDefault="008D3486" w:rsidP="008D3486">
            <w:pPr>
              <w:jc w:val="both"/>
              <w:rPr>
                <w:b/>
                <w:bCs/>
                <w:sz w:val="20"/>
                <w:szCs w:val="20"/>
                <w:lang w:val="fr-FR" w:eastAsia="en-US"/>
              </w:rPr>
            </w:pPr>
            <w:r w:rsidRPr="00ED6B34">
              <w:rPr>
                <w:b/>
                <w:bCs/>
                <w:sz w:val="20"/>
                <w:szCs w:val="20"/>
                <w:lang w:val="fr-FR" w:eastAsia="en-US"/>
              </w:rPr>
              <w:lastRenderedPageBreak/>
              <w:t>Indicateur 3.a</w:t>
            </w:r>
          </w:p>
          <w:p w14:paraId="25002847" w14:textId="77777777" w:rsidR="008D3486" w:rsidRPr="00ED6B34" w:rsidRDefault="008D3486" w:rsidP="008D3486">
            <w:pPr>
              <w:jc w:val="both"/>
              <w:rPr>
                <w:bCs/>
                <w:sz w:val="20"/>
                <w:szCs w:val="20"/>
                <w:lang w:val="fr-FR" w:eastAsia="en-US"/>
              </w:rPr>
            </w:pPr>
            <w:r w:rsidRPr="00ED6B34">
              <w:rPr>
                <w:bCs/>
                <w:sz w:val="20"/>
                <w:szCs w:val="20"/>
                <w:lang w:val="fr-FR" w:eastAsia="en-US"/>
              </w:rPr>
              <w:t>Existence d’une stratégie d’aide aux victimes</w:t>
            </w:r>
          </w:p>
        </w:tc>
        <w:tc>
          <w:tcPr>
            <w:tcW w:w="1530" w:type="dxa"/>
            <w:shd w:val="clear" w:color="auto" w:fill="EEECE1"/>
          </w:tcPr>
          <w:p w14:paraId="1215EB8F" w14:textId="77777777" w:rsidR="008D3486" w:rsidRPr="00ED6B34" w:rsidRDefault="008D3486" w:rsidP="008D3486">
            <w:pPr>
              <w:rPr>
                <w:sz w:val="20"/>
                <w:szCs w:val="20"/>
                <w:lang w:val="fr-FR"/>
              </w:rPr>
            </w:pPr>
            <w:r w:rsidRPr="00ED6B34">
              <w:rPr>
                <w:b/>
                <w:sz w:val="20"/>
                <w:szCs w:val="20"/>
                <w:lang w:val="fr-FR" w:eastAsia="en-US"/>
              </w:rPr>
              <w:t>0</w:t>
            </w:r>
          </w:p>
        </w:tc>
        <w:tc>
          <w:tcPr>
            <w:tcW w:w="1620" w:type="dxa"/>
            <w:shd w:val="clear" w:color="auto" w:fill="EEECE1"/>
          </w:tcPr>
          <w:p w14:paraId="6DFA9687" w14:textId="77777777" w:rsidR="008D3486" w:rsidRPr="00ED6B34" w:rsidRDefault="008D3486" w:rsidP="008D3486">
            <w:pPr>
              <w:rPr>
                <w:sz w:val="20"/>
                <w:szCs w:val="20"/>
                <w:lang w:val="fr-FR"/>
              </w:rPr>
            </w:pPr>
            <w:r w:rsidRPr="00ED6B34">
              <w:rPr>
                <w:sz w:val="20"/>
                <w:szCs w:val="20"/>
                <w:lang w:val="fr-FR"/>
              </w:rPr>
              <w:t>1</w:t>
            </w:r>
          </w:p>
        </w:tc>
        <w:tc>
          <w:tcPr>
            <w:tcW w:w="2070" w:type="dxa"/>
          </w:tcPr>
          <w:p w14:paraId="416DA11E" w14:textId="4FDA8D95" w:rsidR="008D3486" w:rsidRPr="00ED6B34" w:rsidRDefault="008D3486" w:rsidP="008D3486">
            <w:pPr>
              <w:rPr>
                <w:lang w:val="fr-FR"/>
              </w:rPr>
            </w:pPr>
            <w:r w:rsidRPr="00ED6B34">
              <w:rPr>
                <w:b/>
                <w:bCs/>
                <w:sz w:val="20"/>
                <w:szCs w:val="20"/>
                <w:lang w:val="fr-FR" w:eastAsia="en-US"/>
              </w:rPr>
              <w:t>1</w:t>
            </w:r>
          </w:p>
        </w:tc>
        <w:tc>
          <w:tcPr>
            <w:tcW w:w="2070" w:type="dxa"/>
          </w:tcPr>
          <w:p w14:paraId="25CAE147" w14:textId="0433DC60" w:rsidR="008D3486" w:rsidRPr="00DA3A0D" w:rsidRDefault="008D3486" w:rsidP="008D3486">
            <w:pPr>
              <w:rPr>
                <w:sz w:val="20"/>
                <w:szCs w:val="20"/>
                <w:highlight w:val="lightGray"/>
                <w:lang w:val="fr-FR" w:eastAsia="en-US"/>
              </w:rPr>
            </w:pPr>
            <w:r w:rsidRPr="00DA3A0D">
              <w:rPr>
                <w:sz w:val="20"/>
                <w:szCs w:val="20"/>
                <w:highlight w:val="lightGray"/>
                <w:lang w:val="fr-FR" w:eastAsia="en-US"/>
              </w:rPr>
              <w:t>Activité en cours</w:t>
            </w:r>
            <w:r w:rsidR="00041997" w:rsidRPr="00DA3A0D">
              <w:rPr>
                <w:sz w:val="20"/>
                <w:szCs w:val="20"/>
                <w:highlight w:val="lightGray"/>
                <w:lang w:val="fr-FR" w:eastAsia="en-US"/>
              </w:rPr>
              <w:t xml:space="preserve"> de réalisation</w:t>
            </w:r>
          </w:p>
        </w:tc>
        <w:tc>
          <w:tcPr>
            <w:tcW w:w="4140" w:type="dxa"/>
          </w:tcPr>
          <w:p w14:paraId="7331316A" w14:textId="0FD00394" w:rsidR="008D3486" w:rsidRPr="00227E73" w:rsidRDefault="00227E73" w:rsidP="008D3486">
            <w:pPr>
              <w:rPr>
                <w:noProof/>
                <w:sz w:val="20"/>
                <w:szCs w:val="20"/>
                <w:highlight w:val="lightGray"/>
                <w:lang w:val="fr-FR" w:eastAsia="en-US"/>
              </w:rPr>
            </w:pPr>
            <w:r w:rsidRPr="00227E73">
              <w:rPr>
                <w:sz w:val="20"/>
                <w:szCs w:val="20"/>
                <w:highlight w:val="lightGray"/>
                <w:lang w:val="fr-FR" w:eastAsia="en-US"/>
              </w:rPr>
              <w:t>Les appels à candidatures ont dû être republiés à cause de l’indisponibilité des candidats sélectionnés et</w:t>
            </w:r>
            <w:r>
              <w:rPr>
                <w:sz w:val="20"/>
                <w:szCs w:val="20"/>
                <w:highlight w:val="lightGray"/>
                <w:lang w:val="fr-FR" w:eastAsia="en-US"/>
              </w:rPr>
              <w:t>/ou</w:t>
            </w:r>
            <w:r w:rsidRPr="00227E73">
              <w:rPr>
                <w:sz w:val="20"/>
                <w:szCs w:val="20"/>
                <w:highlight w:val="lightGray"/>
                <w:lang w:val="fr-FR" w:eastAsia="en-US"/>
              </w:rPr>
              <w:t xml:space="preserve"> pour manque de candidatures adéquates.</w:t>
            </w:r>
          </w:p>
        </w:tc>
      </w:tr>
      <w:tr w:rsidR="00227E73" w:rsidRPr="009740FB" w14:paraId="37601F32" w14:textId="77777777" w:rsidTr="681F2457">
        <w:trPr>
          <w:trHeight w:val="458"/>
        </w:trPr>
        <w:tc>
          <w:tcPr>
            <w:tcW w:w="1530" w:type="dxa"/>
            <w:vMerge/>
          </w:tcPr>
          <w:p w14:paraId="0CCE4F99" w14:textId="77777777" w:rsidR="00227E73" w:rsidRPr="00ED6B34" w:rsidRDefault="00227E73" w:rsidP="00227E73">
            <w:pPr>
              <w:rPr>
                <w:sz w:val="20"/>
                <w:szCs w:val="20"/>
                <w:lang w:val="fr-FR" w:eastAsia="en-US"/>
              </w:rPr>
            </w:pPr>
          </w:p>
        </w:tc>
        <w:tc>
          <w:tcPr>
            <w:tcW w:w="2070" w:type="dxa"/>
            <w:shd w:val="clear" w:color="auto" w:fill="EEECE1"/>
          </w:tcPr>
          <w:p w14:paraId="61D047B1" w14:textId="77777777" w:rsidR="00227E73" w:rsidRPr="00ED6B34" w:rsidRDefault="00227E73" w:rsidP="00227E73">
            <w:pPr>
              <w:jc w:val="both"/>
              <w:rPr>
                <w:b/>
                <w:bCs/>
                <w:sz w:val="20"/>
                <w:szCs w:val="20"/>
                <w:lang w:val="fr-FR" w:eastAsia="en-US"/>
              </w:rPr>
            </w:pPr>
            <w:r w:rsidRPr="00ED6B34">
              <w:rPr>
                <w:b/>
                <w:bCs/>
                <w:sz w:val="20"/>
                <w:szCs w:val="20"/>
                <w:lang w:val="fr-FR" w:eastAsia="en-US"/>
              </w:rPr>
              <w:t>Indicateur 3.b</w:t>
            </w:r>
          </w:p>
          <w:p w14:paraId="0E5B4A77" w14:textId="77777777" w:rsidR="00227E73" w:rsidRPr="00ED6B34" w:rsidRDefault="00227E73" w:rsidP="00227E73">
            <w:pPr>
              <w:jc w:val="both"/>
              <w:rPr>
                <w:bCs/>
                <w:sz w:val="20"/>
                <w:szCs w:val="20"/>
                <w:lang w:val="fr-FR" w:eastAsia="en-US"/>
              </w:rPr>
            </w:pPr>
            <w:r w:rsidRPr="00ED6B34">
              <w:rPr>
                <w:bCs/>
                <w:sz w:val="20"/>
                <w:szCs w:val="20"/>
                <w:lang w:val="fr-FR" w:eastAsia="en-US"/>
              </w:rPr>
              <w:t xml:space="preserve">Nbre de personnes touchées par les informations </w:t>
            </w:r>
            <w:r w:rsidRPr="00ED6B34">
              <w:rPr>
                <w:bCs/>
                <w:sz w:val="20"/>
                <w:szCs w:val="20"/>
                <w:lang w:val="fr-FR" w:eastAsia="en-US"/>
              </w:rPr>
              <w:lastRenderedPageBreak/>
              <w:t>disséminées, désagrégé par sexe et âge.</w:t>
            </w:r>
          </w:p>
        </w:tc>
        <w:tc>
          <w:tcPr>
            <w:tcW w:w="1530" w:type="dxa"/>
            <w:shd w:val="clear" w:color="auto" w:fill="EEECE1"/>
          </w:tcPr>
          <w:p w14:paraId="5F445FB1" w14:textId="77777777" w:rsidR="00227E73" w:rsidRPr="00ED6B34" w:rsidRDefault="00227E73" w:rsidP="00227E73">
            <w:pPr>
              <w:rPr>
                <w:sz w:val="20"/>
                <w:szCs w:val="20"/>
                <w:lang w:val="fr-FR"/>
              </w:rPr>
            </w:pPr>
            <w:r w:rsidRPr="00ED6B34">
              <w:rPr>
                <w:sz w:val="20"/>
                <w:szCs w:val="20"/>
                <w:lang w:val="fr-FR"/>
              </w:rPr>
              <w:lastRenderedPageBreak/>
              <w:t>0</w:t>
            </w:r>
          </w:p>
        </w:tc>
        <w:tc>
          <w:tcPr>
            <w:tcW w:w="1620" w:type="dxa"/>
            <w:shd w:val="clear" w:color="auto" w:fill="EEECE1"/>
          </w:tcPr>
          <w:p w14:paraId="5D17E66F" w14:textId="77777777" w:rsidR="00227E73" w:rsidRPr="00ED6B34" w:rsidRDefault="00227E73" w:rsidP="00227E73">
            <w:pPr>
              <w:rPr>
                <w:sz w:val="20"/>
                <w:szCs w:val="20"/>
                <w:lang w:val="fr-FR"/>
              </w:rPr>
            </w:pPr>
            <w:r w:rsidRPr="00ED6B34">
              <w:rPr>
                <w:sz w:val="20"/>
                <w:szCs w:val="20"/>
                <w:lang w:val="fr-FR"/>
              </w:rPr>
              <w:t>32 300</w:t>
            </w:r>
          </w:p>
        </w:tc>
        <w:tc>
          <w:tcPr>
            <w:tcW w:w="2070" w:type="dxa"/>
          </w:tcPr>
          <w:p w14:paraId="78F0280E" w14:textId="77777777" w:rsidR="00227E73" w:rsidRPr="00ED6B34" w:rsidRDefault="00227E73" w:rsidP="00227E73">
            <w:pPr>
              <w:rPr>
                <w:sz w:val="20"/>
                <w:szCs w:val="20"/>
                <w:lang w:val="fr-FR"/>
              </w:rPr>
            </w:pPr>
            <w:r w:rsidRPr="00ED6B34">
              <w:rPr>
                <w:b/>
                <w:sz w:val="20"/>
                <w:szCs w:val="20"/>
                <w:lang w:val="fr-FR" w:eastAsia="en-US"/>
              </w:rPr>
              <w:fldChar w:fldCharType="begin">
                <w:ffData>
                  <w:name w:val=""/>
                  <w:enabled/>
                  <w:calcOnExit w:val="0"/>
                  <w:textInput>
                    <w:default w:val="16000"/>
                    <w:maxLength w:val="300"/>
                  </w:textInput>
                </w:ffData>
              </w:fldChar>
            </w:r>
            <w:r w:rsidRPr="00ED6B34">
              <w:rPr>
                <w:b/>
                <w:sz w:val="20"/>
                <w:szCs w:val="20"/>
                <w:lang w:val="fr-FR" w:eastAsia="en-US"/>
              </w:rPr>
              <w:instrText xml:space="preserve"> FORMTEXT </w:instrText>
            </w:r>
            <w:r w:rsidRPr="00ED6B34">
              <w:rPr>
                <w:b/>
                <w:sz w:val="20"/>
                <w:szCs w:val="20"/>
                <w:lang w:val="fr-FR" w:eastAsia="en-US"/>
              </w:rPr>
            </w:r>
            <w:r w:rsidRPr="00ED6B34">
              <w:rPr>
                <w:b/>
                <w:sz w:val="20"/>
                <w:szCs w:val="20"/>
                <w:lang w:val="fr-FR" w:eastAsia="en-US"/>
              </w:rPr>
              <w:fldChar w:fldCharType="separate"/>
            </w:r>
            <w:r w:rsidRPr="00ED6B34">
              <w:rPr>
                <w:b/>
                <w:noProof/>
                <w:sz w:val="20"/>
                <w:szCs w:val="20"/>
                <w:lang w:val="fr-FR" w:eastAsia="en-US"/>
              </w:rPr>
              <w:t>16000</w:t>
            </w:r>
            <w:r w:rsidRPr="00ED6B34">
              <w:rPr>
                <w:b/>
                <w:sz w:val="20"/>
                <w:szCs w:val="20"/>
                <w:lang w:val="fr-FR" w:eastAsia="en-US"/>
              </w:rPr>
              <w:fldChar w:fldCharType="end"/>
            </w:r>
          </w:p>
        </w:tc>
        <w:tc>
          <w:tcPr>
            <w:tcW w:w="2070" w:type="dxa"/>
          </w:tcPr>
          <w:p w14:paraId="303DAB54" w14:textId="175F12D4" w:rsidR="00227E73" w:rsidRPr="00DA3A0D" w:rsidRDefault="00227E73" w:rsidP="00227E73">
            <w:pPr>
              <w:rPr>
                <w:sz w:val="20"/>
                <w:szCs w:val="20"/>
                <w:highlight w:val="lightGray"/>
                <w:lang w:val="fr-FR"/>
              </w:rPr>
            </w:pPr>
            <w:r w:rsidRPr="00DA3A0D">
              <w:rPr>
                <w:sz w:val="20"/>
                <w:szCs w:val="20"/>
                <w:highlight w:val="lightGray"/>
                <w:lang w:val="fr-FR" w:eastAsia="en-US"/>
              </w:rPr>
              <w:t>Activité en cours de réalisation</w:t>
            </w:r>
          </w:p>
        </w:tc>
        <w:tc>
          <w:tcPr>
            <w:tcW w:w="4140" w:type="dxa"/>
          </w:tcPr>
          <w:p w14:paraId="48E2944D" w14:textId="1A7EB395" w:rsidR="00227E73" w:rsidRPr="00227E73" w:rsidRDefault="00227E73" w:rsidP="00227E73">
            <w:pPr>
              <w:rPr>
                <w:sz w:val="20"/>
                <w:szCs w:val="20"/>
                <w:highlight w:val="lightGray"/>
                <w:lang w:val="fr-FR"/>
              </w:rPr>
            </w:pPr>
            <w:r w:rsidRPr="00227E73">
              <w:rPr>
                <w:sz w:val="20"/>
                <w:szCs w:val="20"/>
                <w:highlight w:val="lightGray"/>
                <w:lang w:val="fr-FR" w:eastAsia="en-US"/>
              </w:rPr>
              <w:t xml:space="preserve">Le recrutement de l’entreprise de communication est </w:t>
            </w:r>
            <w:r w:rsidR="005C5840" w:rsidRPr="00227E73">
              <w:rPr>
                <w:sz w:val="20"/>
                <w:szCs w:val="20"/>
                <w:highlight w:val="lightGray"/>
                <w:lang w:val="fr-FR" w:eastAsia="en-US"/>
              </w:rPr>
              <w:t>terminé</w:t>
            </w:r>
            <w:r>
              <w:rPr>
                <w:sz w:val="20"/>
                <w:szCs w:val="20"/>
                <w:highlight w:val="lightGray"/>
                <w:lang w:val="fr-FR" w:eastAsia="en-US"/>
              </w:rPr>
              <w:t xml:space="preserve"> ayant</w:t>
            </w:r>
            <w:r w:rsidRPr="00227E73">
              <w:rPr>
                <w:sz w:val="20"/>
                <w:szCs w:val="20"/>
                <w:highlight w:val="lightGray"/>
                <w:lang w:val="fr-FR" w:eastAsia="en-US"/>
              </w:rPr>
              <w:t xml:space="preserve"> pris du retard car le HCDH Mali ne gère pas le processus administratif </w:t>
            </w:r>
            <w:r>
              <w:rPr>
                <w:sz w:val="20"/>
                <w:szCs w:val="20"/>
                <w:highlight w:val="lightGray"/>
                <w:lang w:val="fr-FR" w:eastAsia="en-US"/>
              </w:rPr>
              <w:t>directement (agence non-résidente)</w:t>
            </w:r>
            <w:r w:rsidRPr="00227E73">
              <w:rPr>
                <w:sz w:val="20"/>
                <w:szCs w:val="20"/>
                <w:highlight w:val="lightGray"/>
                <w:lang w:val="fr-FR" w:eastAsia="en-US"/>
              </w:rPr>
              <w:t>.</w:t>
            </w:r>
          </w:p>
        </w:tc>
      </w:tr>
      <w:tr w:rsidR="00227E73" w:rsidRPr="009740FB" w14:paraId="7DA4A4F7" w14:textId="77777777" w:rsidTr="681F2457">
        <w:trPr>
          <w:trHeight w:val="458"/>
        </w:trPr>
        <w:tc>
          <w:tcPr>
            <w:tcW w:w="1530" w:type="dxa"/>
            <w:vMerge/>
          </w:tcPr>
          <w:p w14:paraId="7D99971A" w14:textId="77777777" w:rsidR="00227E73" w:rsidRPr="00ED6B34" w:rsidRDefault="00227E73" w:rsidP="00227E73">
            <w:pPr>
              <w:rPr>
                <w:sz w:val="20"/>
                <w:szCs w:val="20"/>
                <w:lang w:val="fr-FR" w:eastAsia="en-US"/>
              </w:rPr>
            </w:pPr>
          </w:p>
        </w:tc>
        <w:tc>
          <w:tcPr>
            <w:tcW w:w="2070" w:type="dxa"/>
            <w:shd w:val="clear" w:color="auto" w:fill="EEECE1"/>
          </w:tcPr>
          <w:p w14:paraId="0846CDC4" w14:textId="77777777" w:rsidR="00227E73" w:rsidRPr="00ED6B34" w:rsidRDefault="00227E73" w:rsidP="00227E73">
            <w:pPr>
              <w:jc w:val="both"/>
              <w:rPr>
                <w:b/>
                <w:bCs/>
                <w:sz w:val="20"/>
                <w:szCs w:val="20"/>
                <w:lang w:val="fr-FR" w:eastAsia="en-US"/>
              </w:rPr>
            </w:pPr>
            <w:r w:rsidRPr="00ED6B34">
              <w:rPr>
                <w:b/>
                <w:bCs/>
                <w:sz w:val="20"/>
                <w:szCs w:val="20"/>
                <w:lang w:val="fr-FR" w:eastAsia="en-US"/>
              </w:rPr>
              <w:t>Indicateur 3.c</w:t>
            </w:r>
          </w:p>
          <w:p w14:paraId="1F507B7F" w14:textId="77777777" w:rsidR="00227E73" w:rsidRPr="00ED6B34" w:rsidRDefault="00227E73" w:rsidP="00227E73">
            <w:pPr>
              <w:jc w:val="both"/>
              <w:rPr>
                <w:bCs/>
                <w:sz w:val="20"/>
                <w:szCs w:val="20"/>
                <w:lang w:val="fr-FR" w:eastAsia="en-US"/>
              </w:rPr>
            </w:pPr>
            <w:r w:rsidRPr="00ED6B34">
              <w:rPr>
                <w:bCs/>
                <w:sz w:val="20"/>
                <w:szCs w:val="20"/>
                <w:lang w:val="fr-FR" w:eastAsia="en-US"/>
              </w:rPr>
              <w:t>Nbre de dossiers soumis à la CNDH et traités par les autorités judiciaires concernées</w:t>
            </w:r>
          </w:p>
        </w:tc>
        <w:tc>
          <w:tcPr>
            <w:tcW w:w="1530" w:type="dxa"/>
            <w:shd w:val="clear" w:color="auto" w:fill="EEECE1"/>
          </w:tcPr>
          <w:p w14:paraId="6D9E7FD1" w14:textId="77777777" w:rsidR="00227E73" w:rsidRPr="00ED6B34" w:rsidRDefault="00227E73" w:rsidP="00227E73">
            <w:pPr>
              <w:rPr>
                <w:sz w:val="20"/>
                <w:szCs w:val="20"/>
                <w:lang w:val="fr-FR"/>
              </w:rPr>
            </w:pPr>
            <w:r w:rsidRPr="00ED6B34">
              <w:rPr>
                <w:sz w:val="20"/>
                <w:szCs w:val="20"/>
                <w:lang w:val="fr-FR"/>
              </w:rPr>
              <w:t>0</w:t>
            </w:r>
          </w:p>
        </w:tc>
        <w:tc>
          <w:tcPr>
            <w:tcW w:w="1620" w:type="dxa"/>
            <w:shd w:val="clear" w:color="auto" w:fill="EEECE1"/>
          </w:tcPr>
          <w:p w14:paraId="749A561B" w14:textId="77777777" w:rsidR="00227E73" w:rsidRPr="00ED6B34" w:rsidRDefault="00227E73" w:rsidP="00227E73">
            <w:pPr>
              <w:rPr>
                <w:sz w:val="20"/>
                <w:szCs w:val="20"/>
                <w:lang w:val="fr-FR"/>
              </w:rPr>
            </w:pPr>
            <w:r w:rsidRPr="00ED6B34">
              <w:rPr>
                <w:sz w:val="20"/>
                <w:szCs w:val="20"/>
                <w:lang w:val="fr-FR"/>
              </w:rPr>
              <w:t>50</w:t>
            </w:r>
          </w:p>
        </w:tc>
        <w:tc>
          <w:tcPr>
            <w:tcW w:w="2070" w:type="dxa"/>
          </w:tcPr>
          <w:p w14:paraId="5FE63A46" w14:textId="77777777" w:rsidR="00227E73" w:rsidRPr="00ED6B34" w:rsidRDefault="00227E73" w:rsidP="00227E73">
            <w:pPr>
              <w:rPr>
                <w:sz w:val="20"/>
                <w:szCs w:val="20"/>
                <w:lang w:val="fr-FR"/>
              </w:rPr>
            </w:pPr>
            <w:r w:rsidRPr="00ED6B34">
              <w:rPr>
                <w:b/>
                <w:sz w:val="20"/>
                <w:szCs w:val="20"/>
                <w:lang w:val="fr-FR" w:eastAsia="en-US"/>
              </w:rPr>
              <w:fldChar w:fldCharType="begin">
                <w:ffData>
                  <w:name w:val=""/>
                  <w:enabled/>
                  <w:calcOnExit w:val="0"/>
                  <w:textInput>
                    <w:default w:val="30"/>
                    <w:maxLength w:val="300"/>
                  </w:textInput>
                </w:ffData>
              </w:fldChar>
            </w:r>
            <w:r w:rsidRPr="00ED6B34">
              <w:rPr>
                <w:b/>
                <w:sz w:val="20"/>
                <w:szCs w:val="20"/>
                <w:lang w:val="fr-FR" w:eastAsia="en-US"/>
              </w:rPr>
              <w:instrText xml:space="preserve"> FORMTEXT </w:instrText>
            </w:r>
            <w:r w:rsidRPr="00ED6B34">
              <w:rPr>
                <w:b/>
                <w:sz w:val="20"/>
                <w:szCs w:val="20"/>
                <w:lang w:val="fr-FR" w:eastAsia="en-US"/>
              </w:rPr>
            </w:r>
            <w:r w:rsidRPr="00ED6B34">
              <w:rPr>
                <w:b/>
                <w:sz w:val="20"/>
                <w:szCs w:val="20"/>
                <w:lang w:val="fr-FR" w:eastAsia="en-US"/>
              </w:rPr>
              <w:fldChar w:fldCharType="separate"/>
            </w:r>
            <w:r w:rsidRPr="00ED6B34">
              <w:rPr>
                <w:b/>
                <w:noProof/>
                <w:sz w:val="20"/>
                <w:szCs w:val="20"/>
                <w:lang w:val="fr-FR" w:eastAsia="en-US"/>
              </w:rPr>
              <w:t>30</w:t>
            </w:r>
            <w:r w:rsidRPr="00ED6B34">
              <w:rPr>
                <w:b/>
                <w:sz w:val="20"/>
                <w:szCs w:val="20"/>
                <w:lang w:val="fr-FR" w:eastAsia="en-US"/>
              </w:rPr>
              <w:fldChar w:fldCharType="end"/>
            </w:r>
          </w:p>
        </w:tc>
        <w:tc>
          <w:tcPr>
            <w:tcW w:w="2070" w:type="dxa"/>
          </w:tcPr>
          <w:p w14:paraId="1E5681FF" w14:textId="21885E30" w:rsidR="00227E73" w:rsidRPr="00DA3A0D" w:rsidRDefault="00227E73" w:rsidP="00227E73">
            <w:pPr>
              <w:rPr>
                <w:sz w:val="20"/>
                <w:szCs w:val="20"/>
                <w:highlight w:val="lightGray"/>
                <w:lang w:val="fr-FR"/>
              </w:rPr>
            </w:pPr>
            <w:r w:rsidRPr="00DA3A0D">
              <w:rPr>
                <w:sz w:val="20"/>
                <w:szCs w:val="20"/>
                <w:highlight w:val="lightGray"/>
                <w:lang w:val="fr-FR" w:eastAsia="en-US"/>
              </w:rPr>
              <w:t>Activité en cours de réalisation</w:t>
            </w:r>
          </w:p>
        </w:tc>
        <w:tc>
          <w:tcPr>
            <w:tcW w:w="4140" w:type="dxa"/>
          </w:tcPr>
          <w:p w14:paraId="77C5E30F" w14:textId="079215C8" w:rsidR="00227E73" w:rsidRPr="00227E73" w:rsidRDefault="00227E73" w:rsidP="00227E73">
            <w:pPr>
              <w:rPr>
                <w:sz w:val="20"/>
                <w:szCs w:val="20"/>
                <w:highlight w:val="lightGray"/>
                <w:lang w:val="fr-FR"/>
              </w:rPr>
            </w:pPr>
            <w:r w:rsidRPr="00227E73">
              <w:rPr>
                <w:sz w:val="20"/>
                <w:szCs w:val="20"/>
                <w:highlight w:val="lightGray"/>
                <w:lang w:val="fr-FR" w:eastAsia="en-US"/>
              </w:rPr>
              <w:t xml:space="preserve">Le cadre de concertation a été lancé et la transmission des dossiers ne saura pas tarder. </w:t>
            </w:r>
          </w:p>
        </w:tc>
      </w:tr>
      <w:tr w:rsidR="00227E73" w:rsidRPr="009740FB" w14:paraId="13599990" w14:textId="77777777" w:rsidTr="681F2457">
        <w:trPr>
          <w:trHeight w:val="458"/>
        </w:trPr>
        <w:tc>
          <w:tcPr>
            <w:tcW w:w="1530" w:type="dxa"/>
            <w:vMerge w:val="restart"/>
          </w:tcPr>
          <w:p w14:paraId="305994F0" w14:textId="77777777" w:rsidR="00227E73" w:rsidRPr="00215769" w:rsidRDefault="00227E73" w:rsidP="00227E73">
            <w:pPr>
              <w:rPr>
                <w:sz w:val="20"/>
                <w:szCs w:val="20"/>
                <w:lang w:val="fr-FR" w:eastAsia="en-US"/>
              </w:rPr>
            </w:pPr>
            <w:r w:rsidRPr="00215769">
              <w:rPr>
                <w:sz w:val="20"/>
                <w:szCs w:val="20"/>
                <w:lang w:val="fr-FR" w:eastAsia="en-US"/>
              </w:rPr>
              <w:t>Produit 3.1</w:t>
            </w:r>
          </w:p>
          <w:p w14:paraId="77B382BE" w14:textId="77777777" w:rsidR="00227E73" w:rsidRPr="00215769" w:rsidRDefault="00227E73" w:rsidP="00227E73">
            <w:pPr>
              <w:rPr>
                <w:sz w:val="20"/>
                <w:szCs w:val="20"/>
                <w:lang w:val="fr-FR" w:eastAsia="en-US"/>
              </w:rPr>
            </w:pPr>
            <w:r w:rsidRPr="00215769">
              <w:rPr>
                <w:sz w:val="20"/>
                <w:szCs w:val="20"/>
                <w:lang w:val="fr-FR"/>
              </w:rPr>
              <w:t>Une stratégie d'aide aux victimes de violation des droits de l'homme visant à assurer qu'elles reçoivent des informations, un soutien et une protection adéquats en vue de garantir leurs droits est élaborée et mise en œuvre</w:t>
            </w:r>
          </w:p>
        </w:tc>
        <w:tc>
          <w:tcPr>
            <w:tcW w:w="2070" w:type="dxa"/>
            <w:shd w:val="clear" w:color="auto" w:fill="EEECE1"/>
          </w:tcPr>
          <w:p w14:paraId="3CAB9EC5" w14:textId="77777777" w:rsidR="00227E73" w:rsidRPr="00215769" w:rsidRDefault="00227E73" w:rsidP="00227E73">
            <w:pPr>
              <w:jc w:val="both"/>
              <w:rPr>
                <w:b/>
                <w:bCs/>
                <w:sz w:val="20"/>
                <w:szCs w:val="20"/>
                <w:lang w:val="fr-FR" w:eastAsia="en-US"/>
              </w:rPr>
            </w:pPr>
            <w:r w:rsidRPr="00215769">
              <w:rPr>
                <w:b/>
                <w:bCs/>
                <w:sz w:val="20"/>
                <w:szCs w:val="20"/>
                <w:lang w:val="fr-FR" w:eastAsia="en-US"/>
              </w:rPr>
              <w:t>Indicateur 3.1.1</w:t>
            </w:r>
          </w:p>
          <w:p w14:paraId="1EF6CD33" w14:textId="77777777" w:rsidR="00227E73" w:rsidRPr="00215769" w:rsidRDefault="00227E73" w:rsidP="00227E73">
            <w:pPr>
              <w:jc w:val="both"/>
              <w:rPr>
                <w:bCs/>
                <w:sz w:val="20"/>
                <w:szCs w:val="20"/>
                <w:lang w:val="fr-FR" w:eastAsia="en-US"/>
              </w:rPr>
            </w:pPr>
            <w:r w:rsidRPr="00215769">
              <w:rPr>
                <w:bCs/>
                <w:sz w:val="20"/>
                <w:szCs w:val="20"/>
                <w:lang w:val="fr-FR" w:eastAsia="en-US"/>
              </w:rPr>
              <w:t>Nbre de personnes ayant bénéficiées d’une assistance par rapport au nombre de personnes recensées</w:t>
            </w:r>
          </w:p>
        </w:tc>
        <w:tc>
          <w:tcPr>
            <w:tcW w:w="1530" w:type="dxa"/>
            <w:shd w:val="clear" w:color="auto" w:fill="EEECE1"/>
          </w:tcPr>
          <w:p w14:paraId="7D2AEB00" w14:textId="77777777" w:rsidR="00227E73" w:rsidRPr="00215769" w:rsidRDefault="00227E73" w:rsidP="00227E73">
            <w:pPr>
              <w:rPr>
                <w:sz w:val="20"/>
                <w:szCs w:val="20"/>
                <w:lang w:val="fr-FR"/>
              </w:rPr>
            </w:pPr>
            <w:r w:rsidRPr="00215769">
              <w:rPr>
                <w:sz w:val="20"/>
                <w:szCs w:val="20"/>
                <w:lang w:val="fr-FR"/>
              </w:rPr>
              <w:t>0</w:t>
            </w:r>
          </w:p>
        </w:tc>
        <w:tc>
          <w:tcPr>
            <w:tcW w:w="1620" w:type="dxa"/>
            <w:shd w:val="clear" w:color="auto" w:fill="EEECE1"/>
          </w:tcPr>
          <w:p w14:paraId="72865828" w14:textId="77777777" w:rsidR="00227E73" w:rsidRPr="00215769" w:rsidRDefault="00227E73" w:rsidP="00227E73">
            <w:pPr>
              <w:rPr>
                <w:sz w:val="20"/>
                <w:szCs w:val="20"/>
                <w:lang w:val="fr-FR"/>
              </w:rPr>
            </w:pPr>
            <w:r w:rsidRPr="00215769">
              <w:rPr>
                <w:sz w:val="20"/>
                <w:szCs w:val="20"/>
                <w:lang w:val="fr-FR"/>
              </w:rPr>
              <w:t>350 dont 150 femmes</w:t>
            </w:r>
          </w:p>
        </w:tc>
        <w:tc>
          <w:tcPr>
            <w:tcW w:w="2070" w:type="dxa"/>
          </w:tcPr>
          <w:p w14:paraId="26F0EBCC" w14:textId="0F8ED764" w:rsidR="00227E73" w:rsidRPr="00215769" w:rsidRDefault="00227E73" w:rsidP="00227E73">
            <w:pPr>
              <w:rPr>
                <w:sz w:val="20"/>
                <w:szCs w:val="20"/>
                <w:lang w:val="fr-FR"/>
              </w:rPr>
            </w:pPr>
          </w:p>
        </w:tc>
        <w:tc>
          <w:tcPr>
            <w:tcW w:w="2070" w:type="dxa"/>
          </w:tcPr>
          <w:p w14:paraId="0392AEEE" w14:textId="12C3292F" w:rsidR="00227E73" w:rsidRPr="00DA3A0D" w:rsidRDefault="00A85A28" w:rsidP="00227E73">
            <w:pPr>
              <w:rPr>
                <w:bCs/>
                <w:sz w:val="20"/>
                <w:szCs w:val="20"/>
                <w:highlight w:val="lightGray"/>
                <w:lang w:val="fr-FR"/>
              </w:rPr>
            </w:pPr>
            <w:r w:rsidRPr="00215769">
              <w:rPr>
                <w:sz w:val="20"/>
                <w:szCs w:val="20"/>
                <w:lang w:val="fr-FR"/>
              </w:rPr>
              <w:t xml:space="preserve">327 victimes directes et les familles de 54 personnes portées disparues et de 97 personnes </w:t>
            </w:r>
            <w:proofErr w:type="spellStart"/>
            <w:proofErr w:type="gramStart"/>
            <w:r w:rsidRPr="00215769">
              <w:rPr>
                <w:sz w:val="20"/>
                <w:szCs w:val="20"/>
                <w:lang w:val="fr-FR"/>
              </w:rPr>
              <w:t>tuées,ajouter</w:t>
            </w:r>
            <w:proofErr w:type="spellEnd"/>
            <w:proofErr w:type="gramEnd"/>
            <w:r w:rsidRPr="00215769">
              <w:rPr>
                <w:sz w:val="20"/>
                <w:szCs w:val="20"/>
                <w:lang w:val="fr-FR"/>
              </w:rPr>
              <w:t>.</w:t>
            </w:r>
          </w:p>
        </w:tc>
        <w:tc>
          <w:tcPr>
            <w:tcW w:w="4140" w:type="dxa"/>
          </w:tcPr>
          <w:p w14:paraId="2D4D8E52" w14:textId="609DB143" w:rsidR="00227E73" w:rsidRPr="00227E73" w:rsidRDefault="00227E73" w:rsidP="00227E73">
            <w:pPr>
              <w:jc w:val="both"/>
              <w:rPr>
                <w:bCs/>
                <w:sz w:val="20"/>
                <w:szCs w:val="20"/>
                <w:highlight w:val="lightGray"/>
                <w:lang w:val="fr-FR"/>
              </w:rPr>
            </w:pPr>
            <w:r w:rsidRPr="00227E73">
              <w:rPr>
                <w:bCs/>
                <w:sz w:val="20"/>
                <w:szCs w:val="20"/>
                <w:highlight w:val="lightGray"/>
                <w:lang w:val="fr-FR"/>
              </w:rPr>
              <w:t>Le Barreau a été choisi comme ‘barrière protectrice’ pour les avocats intervena</w:t>
            </w:r>
            <w:r w:rsidR="005C5840">
              <w:rPr>
                <w:bCs/>
                <w:sz w:val="20"/>
                <w:szCs w:val="20"/>
                <w:highlight w:val="lightGray"/>
                <w:lang w:val="fr-FR"/>
              </w:rPr>
              <w:t>n</w:t>
            </w:r>
            <w:r w:rsidRPr="00227E73">
              <w:rPr>
                <w:bCs/>
                <w:sz w:val="20"/>
                <w:szCs w:val="20"/>
                <w:highlight w:val="lightGray"/>
                <w:lang w:val="fr-FR"/>
              </w:rPr>
              <w:t>ts dans les dossiers, en particulier les dossiers ayant comme auteurs présumés des Forces de Défense et de Sécurité maliennes. L’</w:t>
            </w:r>
            <w:r w:rsidR="005C5840" w:rsidRPr="00227E73">
              <w:rPr>
                <w:bCs/>
                <w:sz w:val="20"/>
                <w:szCs w:val="20"/>
                <w:highlight w:val="lightGray"/>
                <w:lang w:val="fr-FR"/>
              </w:rPr>
              <w:t>élaboration</w:t>
            </w:r>
            <w:r w:rsidRPr="00227E73">
              <w:rPr>
                <w:bCs/>
                <w:sz w:val="20"/>
                <w:szCs w:val="20"/>
                <w:highlight w:val="lightGray"/>
                <w:lang w:val="fr-FR"/>
              </w:rPr>
              <w:t xml:space="preserve"> des termes de la collaboration a pris du temps (examen des dossiers, propositions des montants des honoraires forfaitaires, forfait</w:t>
            </w:r>
            <w:r>
              <w:rPr>
                <w:bCs/>
                <w:sz w:val="20"/>
                <w:szCs w:val="20"/>
                <w:highlight w:val="lightGray"/>
                <w:lang w:val="fr-FR"/>
              </w:rPr>
              <w:t>s</w:t>
            </w:r>
            <w:r w:rsidRPr="00227E73">
              <w:rPr>
                <w:bCs/>
                <w:sz w:val="20"/>
                <w:szCs w:val="20"/>
                <w:highlight w:val="lightGray"/>
                <w:lang w:val="fr-FR"/>
              </w:rPr>
              <w:t xml:space="preserve"> pour la constitution des actes extrajudiciaires etc.</w:t>
            </w:r>
            <w:r w:rsidR="005C5840">
              <w:rPr>
                <w:bCs/>
                <w:sz w:val="20"/>
                <w:szCs w:val="20"/>
                <w:highlight w:val="lightGray"/>
                <w:lang w:val="fr-FR"/>
              </w:rPr>
              <w:t>)</w:t>
            </w:r>
            <w:r w:rsidRPr="00227E73">
              <w:rPr>
                <w:bCs/>
                <w:sz w:val="20"/>
                <w:szCs w:val="20"/>
                <w:highlight w:val="lightGray"/>
                <w:lang w:val="fr-FR"/>
              </w:rPr>
              <w:t xml:space="preserve"> car le Barreau n’est pas encore très habitué à ce type de collaboration</w:t>
            </w:r>
            <w:r>
              <w:rPr>
                <w:bCs/>
                <w:sz w:val="20"/>
                <w:szCs w:val="20"/>
                <w:highlight w:val="lightGray"/>
                <w:lang w:val="fr-FR"/>
              </w:rPr>
              <w:t xml:space="preserve"> et quelques dossiers regroupent plusieurs incidents similaires</w:t>
            </w:r>
            <w:r w:rsidRPr="00227E73">
              <w:rPr>
                <w:bCs/>
                <w:sz w:val="20"/>
                <w:szCs w:val="20"/>
                <w:highlight w:val="lightGray"/>
                <w:lang w:val="fr-FR"/>
              </w:rPr>
              <w:t xml:space="preserve">). </w:t>
            </w:r>
          </w:p>
        </w:tc>
      </w:tr>
      <w:tr w:rsidR="00227E73" w:rsidRPr="009740FB" w14:paraId="7A6E54D6" w14:textId="77777777" w:rsidTr="00215769">
        <w:trPr>
          <w:trHeight w:val="458"/>
        </w:trPr>
        <w:tc>
          <w:tcPr>
            <w:tcW w:w="1530" w:type="dxa"/>
            <w:vMerge/>
          </w:tcPr>
          <w:p w14:paraId="6F64DE82" w14:textId="77777777" w:rsidR="00227E73" w:rsidRPr="00ED6B34" w:rsidRDefault="00227E73" w:rsidP="00227E73">
            <w:pPr>
              <w:rPr>
                <w:sz w:val="20"/>
                <w:szCs w:val="20"/>
                <w:lang w:val="fr-FR" w:eastAsia="en-US"/>
              </w:rPr>
            </w:pPr>
          </w:p>
        </w:tc>
        <w:tc>
          <w:tcPr>
            <w:tcW w:w="2070" w:type="dxa"/>
            <w:shd w:val="clear" w:color="auto" w:fill="EEECE1"/>
          </w:tcPr>
          <w:p w14:paraId="0BB92015" w14:textId="77777777" w:rsidR="00227E73" w:rsidRPr="00ED6B34" w:rsidRDefault="00227E73" w:rsidP="00227E73">
            <w:pPr>
              <w:jc w:val="both"/>
              <w:rPr>
                <w:b/>
                <w:bCs/>
                <w:sz w:val="20"/>
                <w:szCs w:val="20"/>
                <w:lang w:val="fr-FR" w:eastAsia="en-US"/>
              </w:rPr>
            </w:pPr>
            <w:r w:rsidRPr="00ED6B34">
              <w:rPr>
                <w:b/>
                <w:bCs/>
                <w:sz w:val="20"/>
                <w:szCs w:val="20"/>
                <w:lang w:val="fr-FR" w:eastAsia="en-US"/>
              </w:rPr>
              <w:t>Indicateur 3.1.2</w:t>
            </w:r>
          </w:p>
          <w:p w14:paraId="58108D09" w14:textId="77777777" w:rsidR="00227E73" w:rsidRPr="00ED6B34" w:rsidRDefault="00227E73" w:rsidP="00227E73">
            <w:pPr>
              <w:jc w:val="both"/>
              <w:rPr>
                <w:bCs/>
                <w:sz w:val="20"/>
                <w:szCs w:val="20"/>
                <w:lang w:val="fr-FR" w:eastAsia="en-US"/>
              </w:rPr>
            </w:pPr>
            <w:r w:rsidRPr="00ED6B34">
              <w:rPr>
                <w:bCs/>
                <w:sz w:val="20"/>
                <w:szCs w:val="20"/>
                <w:lang w:val="fr-FR" w:eastAsia="en-US"/>
              </w:rPr>
              <w:t>Nbre de réunions /plaidoyers portant sur le développement d’une stratégie nationale de protection des victimes et des témoins</w:t>
            </w:r>
          </w:p>
        </w:tc>
        <w:tc>
          <w:tcPr>
            <w:tcW w:w="1530" w:type="dxa"/>
            <w:shd w:val="clear" w:color="auto" w:fill="EEECE1"/>
          </w:tcPr>
          <w:p w14:paraId="0DFF7015" w14:textId="77777777" w:rsidR="00227E73" w:rsidRPr="00ED6B34" w:rsidRDefault="00227E73" w:rsidP="00227E73">
            <w:pPr>
              <w:rPr>
                <w:sz w:val="20"/>
                <w:szCs w:val="20"/>
                <w:lang w:val="fr-FR"/>
              </w:rPr>
            </w:pPr>
            <w:r w:rsidRPr="00ED6B34">
              <w:rPr>
                <w:sz w:val="20"/>
                <w:szCs w:val="20"/>
                <w:lang w:val="fr-FR"/>
              </w:rPr>
              <w:t>0</w:t>
            </w:r>
          </w:p>
        </w:tc>
        <w:tc>
          <w:tcPr>
            <w:tcW w:w="1620" w:type="dxa"/>
            <w:shd w:val="clear" w:color="auto" w:fill="EEECE1"/>
          </w:tcPr>
          <w:p w14:paraId="1B7B98FE" w14:textId="77777777" w:rsidR="00227E73" w:rsidRPr="00ED6B34" w:rsidRDefault="00227E73" w:rsidP="00227E73">
            <w:pPr>
              <w:rPr>
                <w:sz w:val="20"/>
                <w:szCs w:val="20"/>
                <w:lang w:val="fr-FR"/>
              </w:rPr>
            </w:pPr>
            <w:r w:rsidRPr="00ED6B34">
              <w:rPr>
                <w:sz w:val="20"/>
                <w:szCs w:val="20"/>
                <w:lang w:val="fr-FR"/>
              </w:rPr>
              <w:t>1</w:t>
            </w:r>
          </w:p>
        </w:tc>
        <w:tc>
          <w:tcPr>
            <w:tcW w:w="2070" w:type="dxa"/>
            <w:shd w:val="clear" w:color="auto" w:fill="auto"/>
          </w:tcPr>
          <w:p w14:paraId="6FA90710" w14:textId="48AB96C1" w:rsidR="00227E73" w:rsidRPr="00DB42BE" w:rsidRDefault="00227E73" w:rsidP="00227E73">
            <w:pPr>
              <w:rPr>
                <w:sz w:val="20"/>
                <w:szCs w:val="20"/>
                <w:highlight w:val="yellow"/>
                <w:lang w:val="fr-FR"/>
              </w:rPr>
            </w:pPr>
          </w:p>
        </w:tc>
        <w:tc>
          <w:tcPr>
            <w:tcW w:w="2070" w:type="dxa"/>
            <w:shd w:val="clear" w:color="auto" w:fill="auto"/>
          </w:tcPr>
          <w:p w14:paraId="4280D2E5" w14:textId="144D5A3F" w:rsidR="00227E73" w:rsidRPr="00DA3A0D" w:rsidRDefault="00227E73" w:rsidP="00227E73">
            <w:pPr>
              <w:rPr>
                <w:sz w:val="20"/>
                <w:szCs w:val="20"/>
                <w:highlight w:val="lightGray"/>
                <w:lang w:val="fr-FR"/>
              </w:rPr>
            </w:pPr>
            <w:r w:rsidRPr="00DA3A0D">
              <w:rPr>
                <w:sz w:val="20"/>
                <w:szCs w:val="20"/>
                <w:highlight w:val="lightGray"/>
                <w:lang w:val="fr-FR" w:eastAsia="en-US"/>
              </w:rPr>
              <w:t>Activité en cours de réalisation</w:t>
            </w:r>
          </w:p>
        </w:tc>
        <w:tc>
          <w:tcPr>
            <w:tcW w:w="4140" w:type="dxa"/>
          </w:tcPr>
          <w:p w14:paraId="63276C30" w14:textId="13A7AE56" w:rsidR="00227E73" w:rsidRPr="00227E73" w:rsidRDefault="00227E73" w:rsidP="00227E73">
            <w:pPr>
              <w:rPr>
                <w:sz w:val="20"/>
                <w:szCs w:val="20"/>
                <w:highlight w:val="lightGray"/>
                <w:lang w:val="fr-FR"/>
              </w:rPr>
            </w:pPr>
            <w:r w:rsidRPr="00227E73">
              <w:rPr>
                <w:sz w:val="20"/>
                <w:szCs w:val="20"/>
                <w:highlight w:val="lightGray"/>
                <w:lang w:val="fr-FR" w:eastAsia="en-US"/>
              </w:rPr>
              <w:t>Les appels à candidatures ont dû être republiés à cause de l’indisponibilité des candidats sélectionnés et</w:t>
            </w:r>
            <w:r>
              <w:rPr>
                <w:sz w:val="20"/>
                <w:szCs w:val="20"/>
                <w:highlight w:val="lightGray"/>
                <w:lang w:val="fr-FR" w:eastAsia="en-US"/>
              </w:rPr>
              <w:t xml:space="preserve">/ou </w:t>
            </w:r>
            <w:r w:rsidRPr="00227E73">
              <w:rPr>
                <w:sz w:val="20"/>
                <w:szCs w:val="20"/>
                <w:highlight w:val="lightGray"/>
                <w:lang w:val="fr-FR" w:eastAsia="en-US"/>
              </w:rPr>
              <w:t>pour manque de candidatures adéquates.</w:t>
            </w:r>
          </w:p>
        </w:tc>
      </w:tr>
      <w:tr w:rsidR="00227E73" w:rsidRPr="00C17A40" w14:paraId="6F696CCA" w14:textId="77777777" w:rsidTr="681F2457">
        <w:trPr>
          <w:trHeight w:val="458"/>
        </w:trPr>
        <w:tc>
          <w:tcPr>
            <w:tcW w:w="1530" w:type="dxa"/>
            <w:vMerge w:val="restart"/>
          </w:tcPr>
          <w:p w14:paraId="75B9890E" w14:textId="77777777" w:rsidR="00227E73" w:rsidRPr="00ED6B34" w:rsidRDefault="00227E73" w:rsidP="00227E73">
            <w:pPr>
              <w:rPr>
                <w:sz w:val="20"/>
                <w:szCs w:val="20"/>
                <w:lang w:val="fr-FR" w:eastAsia="en-US"/>
              </w:rPr>
            </w:pPr>
            <w:r w:rsidRPr="00ED6B34">
              <w:rPr>
                <w:sz w:val="20"/>
                <w:szCs w:val="20"/>
                <w:lang w:val="fr-FR" w:eastAsia="en-US"/>
              </w:rPr>
              <w:t>Produit 3.2</w:t>
            </w:r>
          </w:p>
          <w:p w14:paraId="69CBCCE7" w14:textId="77777777" w:rsidR="00227E73" w:rsidRPr="00ED6B34" w:rsidRDefault="00227E73" w:rsidP="00227E73">
            <w:pPr>
              <w:rPr>
                <w:sz w:val="20"/>
                <w:szCs w:val="20"/>
                <w:lang w:val="fr-FR" w:eastAsia="en-US"/>
              </w:rPr>
            </w:pPr>
            <w:r w:rsidRPr="00ED6B34">
              <w:rPr>
                <w:sz w:val="20"/>
                <w:szCs w:val="20"/>
                <w:lang w:val="fr-FR" w:eastAsia="en-US"/>
              </w:rPr>
              <w:t xml:space="preserve">Les OSC, y compris les organisations de </w:t>
            </w:r>
            <w:r w:rsidRPr="00ED6B34">
              <w:rPr>
                <w:sz w:val="20"/>
                <w:szCs w:val="20"/>
                <w:lang w:val="fr-FR" w:eastAsia="en-US"/>
              </w:rPr>
              <w:lastRenderedPageBreak/>
              <w:t>femmes et de jeunes, le public en général et les médias sont mieux informés sur les droits relatifs à l'accès à la justice et aux procédures judiciaires</w:t>
            </w:r>
          </w:p>
        </w:tc>
        <w:tc>
          <w:tcPr>
            <w:tcW w:w="2070" w:type="dxa"/>
            <w:shd w:val="clear" w:color="auto" w:fill="EEECE1"/>
          </w:tcPr>
          <w:p w14:paraId="4A80ACA2" w14:textId="77777777" w:rsidR="00227E73" w:rsidRPr="00ED6B34" w:rsidRDefault="00227E73" w:rsidP="00227E73">
            <w:pPr>
              <w:jc w:val="both"/>
              <w:rPr>
                <w:b/>
                <w:bCs/>
                <w:sz w:val="20"/>
                <w:szCs w:val="20"/>
                <w:lang w:val="fr-FR" w:eastAsia="en-US"/>
              </w:rPr>
            </w:pPr>
            <w:r w:rsidRPr="00ED6B34">
              <w:rPr>
                <w:b/>
                <w:bCs/>
                <w:sz w:val="20"/>
                <w:szCs w:val="20"/>
                <w:lang w:val="fr-FR" w:eastAsia="en-US"/>
              </w:rPr>
              <w:lastRenderedPageBreak/>
              <w:t>Indicateur 3.2.1</w:t>
            </w:r>
          </w:p>
          <w:p w14:paraId="456BA036" w14:textId="77777777" w:rsidR="00227E73" w:rsidRPr="00ED6B34" w:rsidRDefault="00227E73" w:rsidP="00227E73">
            <w:pPr>
              <w:jc w:val="both"/>
              <w:rPr>
                <w:bCs/>
                <w:sz w:val="20"/>
                <w:szCs w:val="20"/>
                <w:lang w:val="fr-FR" w:eastAsia="en-US"/>
              </w:rPr>
            </w:pPr>
            <w:r w:rsidRPr="00ED6B34">
              <w:rPr>
                <w:bCs/>
                <w:sz w:val="20"/>
                <w:szCs w:val="20"/>
                <w:lang w:val="fr-FR" w:eastAsia="en-US"/>
              </w:rPr>
              <w:t>Nbre d’émissions produits</w:t>
            </w:r>
          </w:p>
        </w:tc>
        <w:tc>
          <w:tcPr>
            <w:tcW w:w="1530" w:type="dxa"/>
            <w:shd w:val="clear" w:color="auto" w:fill="EEECE1"/>
          </w:tcPr>
          <w:p w14:paraId="4CEE1DE5" w14:textId="77777777" w:rsidR="00227E73" w:rsidRPr="00ED6B34" w:rsidRDefault="00227E73" w:rsidP="00227E73">
            <w:pPr>
              <w:rPr>
                <w:sz w:val="20"/>
                <w:szCs w:val="20"/>
                <w:lang w:val="fr-FR"/>
              </w:rPr>
            </w:pPr>
            <w:r w:rsidRPr="00ED6B34">
              <w:rPr>
                <w:b/>
                <w:sz w:val="20"/>
                <w:szCs w:val="20"/>
                <w:lang w:val="fr-FR" w:eastAsia="en-US"/>
              </w:rPr>
              <w:t>0</w:t>
            </w:r>
          </w:p>
        </w:tc>
        <w:tc>
          <w:tcPr>
            <w:tcW w:w="1620" w:type="dxa"/>
            <w:shd w:val="clear" w:color="auto" w:fill="EEECE1"/>
          </w:tcPr>
          <w:p w14:paraId="65FDB1B5" w14:textId="77777777" w:rsidR="00227E73" w:rsidRPr="00ED6B34" w:rsidRDefault="00227E73" w:rsidP="00227E73">
            <w:pPr>
              <w:rPr>
                <w:sz w:val="20"/>
                <w:szCs w:val="20"/>
                <w:lang w:val="fr-FR"/>
              </w:rPr>
            </w:pPr>
            <w:r w:rsidRPr="00ED6B34">
              <w:rPr>
                <w:b/>
                <w:sz w:val="20"/>
                <w:szCs w:val="20"/>
                <w:lang w:val="fr-FR" w:eastAsia="en-US"/>
              </w:rPr>
              <w:t>10</w:t>
            </w:r>
          </w:p>
        </w:tc>
        <w:tc>
          <w:tcPr>
            <w:tcW w:w="2070" w:type="dxa"/>
          </w:tcPr>
          <w:p w14:paraId="50974C96" w14:textId="77777777" w:rsidR="00227E73" w:rsidRPr="00ED6B34" w:rsidRDefault="00227E73" w:rsidP="00227E73">
            <w:pPr>
              <w:rPr>
                <w:sz w:val="20"/>
                <w:szCs w:val="20"/>
                <w:lang w:val="fr-FR"/>
              </w:rPr>
            </w:pPr>
            <w:r w:rsidRPr="00ED6B34">
              <w:rPr>
                <w:b/>
                <w:sz w:val="20"/>
                <w:szCs w:val="20"/>
                <w:lang w:val="fr-FR" w:eastAsia="en-US"/>
              </w:rPr>
              <w:fldChar w:fldCharType="begin">
                <w:ffData>
                  <w:name w:val=""/>
                  <w:enabled/>
                  <w:calcOnExit w:val="0"/>
                  <w:textInput>
                    <w:default w:val="5"/>
                    <w:maxLength w:val="300"/>
                  </w:textInput>
                </w:ffData>
              </w:fldChar>
            </w:r>
            <w:r w:rsidRPr="00ED6B34">
              <w:rPr>
                <w:b/>
                <w:sz w:val="20"/>
                <w:szCs w:val="20"/>
                <w:lang w:val="fr-FR" w:eastAsia="en-US"/>
              </w:rPr>
              <w:instrText xml:space="preserve"> FORMTEXT </w:instrText>
            </w:r>
            <w:r w:rsidRPr="00ED6B34">
              <w:rPr>
                <w:b/>
                <w:sz w:val="20"/>
                <w:szCs w:val="20"/>
                <w:lang w:val="fr-FR" w:eastAsia="en-US"/>
              </w:rPr>
            </w:r>
            <w:r w:rsidRPr="00ED6B34">
              <w:rPr>
                <w:b/>
                <w:sz w:val="20"/>
                <w:szCs w:val="20"/>
                <w:lang w:val="fr-FR" w:eastAsia="en-US"/>
              </w:rPr>
              <w:fldChar w:fldCharType="separate"/>
            </w:r>
            <w:r w:rsidRPr="00ED6B34">
              <w:rPr>
                <w:b/>
                <w:noProof/>
                <w:sz w:val="20"/>
                <w:szCs w:val="20"/>
                <w:lang w:val="fr-FR" w:eastAsia="en-US"/>
              </w:rPr>
              <w:t>5</w:t>
            </w:r>
            <w:r w:rsidRPr="00ED6B34">
              <w:rPr>
                <w:b/>
                <w:sz w:val="20"/>
                <w:szCs w:val="20"/>
                <w:lang w:val="fr-FR" w:eastAsia="en-US"/>
              </w:rPr>
              <w:fldChar w:fldCharType="end"/>
            </w:r>
          </w:p>
        </w:tc>
        <w:tc>
          <w:tcPr>
            <w:tcW w:w="2070" w:type="dxa"/>
          </w:tcPr>
          <w:p w14:paraId="5761FC8B" w14:textId="75655451" w:rsidR="00227E73" w:rsidRPr="00DA3A0D" w:rsidRDefault="00227E73" w:rsidP="00227E73">
            <w:pPr>
              <w:rPr>
                <w:sz w:val="20"/>
                <w:szCs w:val="20"/>
                <w:highlight w:val="lightGray"/>
                <w:lang w:val="fr-FR"/>
              </w:rPr>
            </w:pPr>
            <w:r w:rsidRPr="00DA3A0D">
              <w:rPr>
                <w:sz w:val="20"/>
                <w:szCs w:val="20"/>
                <w:highlight w:val="lightGray"/>
                <w:lang w:val="fr-FR" w:eastAsia="en-US"/>
              </w:rPr>
              <w:t>Activité en cours de réalisation</w:t>
            </w:r>
          </w:p>
        </w:tc>
        <w:tc>
          <w:tcPr>
            <w:tcW w:w="4140" w:type="dxa"/>
          </w:tcPr>
          <w:p w14:paraId="65224978" w14:textId="1CA633BB" w:rsidR="00227E73" w:rsidRPr="00227E73" w:rsidRDefault="00227E73" w:rsidP="00227E73">
            <w:pPr>
              <w:rPr>
                <w:sz w:val="20"/>
                <w:szCs w:val="20"/>
                <w:highlight w:val="lightGray"/>
                <w:lang w:val="fr-FR"/>
              </w:rPr>
            </w:pPr>
            <w:r w:rsidRPr="00227E73">
              <w:rPr>
                <w:sz w:val="20"/>
                <w:szCs w:val="20"/>
                <w:highlight w:val="lightGray"/>
                <w:lang w:val="fr-FR" w:eastAsia="en-US"/>
              </w:rPr>
              <w:t xml:space="preserve">Le recrutement de l’entreprise de communication est </w:t>
            </w:r>
            <w:r w:rsidR="005C5840" w:rsidRPr="00227E73">
              <w:rPr>
                <w:sz w:val="20"/>
                <w:szCs w:val="20"/>
                <w:highlight w:val="lightGray"/>
                <w:lang w:val="fr-FR" w:eastAsia="en-US"/>
              </w:rPr>
              <w:t>terminé</w:t>
            </w:r>
            <w:r>
              <w:rPr>
                <w:sz w:val="20"/>
                <w:szCs w:val="20"/>
                <w:highlight w:val="lightGray"/>
                <w:lang w:val="fr-FR" w:eastAsia="en-US"/>
              </w:rPr>
              <w:t xml:space="preserve"> ayant</w:t>
            </w:r>
            <w:r w:rsidRPr="00227E73">
              <w:rPr>
                <w:sz w:val="20"/>
                <w:szCs w:val="20"/>
                <w:highlight w:val="lightGray"/>
                <w:lang w:val="fr-FR" w:eastAsia="en-US"/>
              </w:rPr>
              <w:t xml:space="preserve"> pris du retard car le HCDH Mali ne gère pas le processus administratif </w:t>
            </w:r>
            <w:r>
              <w:rPr>
                <w:sz w:val="20"/>
                <w:szCs w:val="20"/>
                <w:highlight w:val="lightGray"/>
                <w:lang w:val="fr-FR" w:eastAsia="en-US"/>
              </w:rPr>
              <w:t>directement (agence non-</w:t>
            </w:r>
            <w:r>
              <w:rPr>
                <w:sz w:val="20"/>
                <w:szCs w:val="20"/>
                <w:highlight w:val="lightGray"/>
                <w:lang w:val="fr-FR" w:eastAsia="en-US"/>
              </w:rPr>
              <w:lastRenderedPageBreak/>
              <w:t>résidente)</w:t>
            </w:r>
            <w:r w:rsidRPr="00227E73">
              <w:rPr>
                <w:sz w:val="20"/>
                <w:szCs w:val="20"/>
                <w:highlight w:val="lightGray"/>
                <w:lang w:val="fr-FR" w:eastAsia="en-US"/>
              </w:rPr>
              <w:t>.</w:t>
            </w:r>
            <w:r>
              <w:rPr>
                <w:sz w:val="20"/>
                <w:szCs w:val="20"/>
                <w:highlight w:val="lightGray"/>
                <w:lang w:val="fr-FR" w:eastAsia="en-US"/>
              </w:rPr>
              <w:t xml:space="preserve"> Délai de réalisation </w:t>
            </w:r>
            <w:r w:rsidR="005C5840">
              <w:rPr>
                <w:sz w:val="20"/>
                <w:szCs w:val="20"/>
                <w:highlight w:val="lightGray"/>
                <w:lang w:val="fr-FR" w:eastAsia="en-US"/>
              </w:rPr>
              <w:t>du contrat :</w:t>
            </w:r>
            <w:r>
              <w:rPr>
                <w:sz w:val="20"/>
                <w:szCs w:val="20"/>
                <w:highlight w:val="lightGray"/>
                <w:lang w:val="fr-FR" w:eastAsia="en-US"/>
              </w:rPr>
              <w:t xml:space="preserve"> 2 mois.</w:t>
            </w:r>
          </w:p>
        </w:tc>
      </w:tr>
      <w:tr w:rsidR="00227E73" w:rsidRPr="009740FB" w14:paraId="2BB0C246" w14:textId="77777777" w:rsidTr="681F2457">
        <w:trPr>
          <w:trHeight w:val="458"/>
        </w:trPr>
        <w:tc>
          <w:tcPr>
            <w:tcW w:w="1530" w:type="dxa"/>
            <w:vMerge/>
          </w:tcPr>
          <w:p w14:paraId="3A7F6650" w14:textId="77777777" w:rsidR="00227E73" w:rsidRPr="00ED6B34" w:rsidRDefault="00227E73" w:rsidP="00227E73">
            <w:pPr>
              <w:rPr>
                <w:b/>
                <w:sz w:val="20"/>
                <w:szCs w:val="20"/>
                <w:lang w:val="fr-FR" w:eastAsia="en-US"/>
              </w:rPr>
            </w:pPr>
          </w:p>
        </w:tc>
        <w:tc>
          <w:tcPr>
            <w:tcW w:w="2070" w:type="dxa"/>
            <w:shd w:val="clear" w:color="auto" w:fill="EEECE1"/>
          </w:tcPr>
          <w:p w14:paraId="4484D850" w14:textId="77777777" w:rsidR="00227E73" w:rsidRPr="00215769" w:rsidRDefault="00227E73" w:rsidP="00227E73">
            <w:pPr>
              <w:jc w:val="both"/>
              <w:rPr>
                <w:b/>
                <w:bCs/>
                <w:sz w:val="20"/>
                <w:szCs w:val="20"/>
                <w:lang w:val="fr-FR" w:eastAsia="en-US"/>
              </w:rPr>
            </w:pPr>
            <w:r w:rsidRPr="00215769">
              <w:rPr>
                <w:b/>
                <w:bCs/>
                <w:sz w:val="20"/>
                <w:szCs w:val="20"/>
                <w:lang w:val="fr-FR" w:eastAsia="en-US"/>
              </w:rPr>
              <w:t>Indicateur 3.2.2</w:t>
            </w:r>
          </w:p>
          <w:p w14:paraId="376B5951" w14:textId="77777777" w:rsidR="00227E73" w:rsidRPr="00215769" w:rsidRDefault="00227E73" w:rsidP="00227E73">
            <w:pPr>
              <w:jc w:val="both"/>
              <w:rPr>
                <w:bCs/>
                <w:sz w:val="20"/>
                <w:szCs w:val="20"/>
                <w:lang w:val="fr-FR" w:eastAsia="en-US"/>
              </w:rPr>
            </w:pPr>
            <w:r w:rsidRPr="00215769">
              <w:rPr>
                <w:bCs/>
                <w:sz w:val="20"/>
                <w:szCs w:val="20"/>
                <w:lang w:val="fr-FR" w:eastAsia="en-US"/>
              </w:rPr>
              <w:t>% des personnes qui connaissent les droits relatifs à l’accès à la justice et les procédures judiciaires, désagrégé par sexe et âge.</w:t>
            </w:r>
          </w:p>
        </w:tc>
        <w:tc>
          <w:tcPr>
            <w:tcW w:w="1530" w:type="dxa"/>
            <w:shd w:val="clear" w:color="auto" w:fill="EEECE1"/>
          </w:tcPr>
          <w:p w14:paraId="2C4E539D" w14:textId="77777777" w:rsidR="00227E73" w:rsidRPr="00215769" w:rsidRDefault="00227E73" w:rsidP="00227E73">
            <w:pPr>
              <w:rPr>
                <w:sz w:val="20"/>
                <w:szCs w:val="20"/>
                <w:lang w:val="fr-FR"/>
              </w:rPr>
            </w:pPr>
            <w:proofErr w:type="gramStart"/>
            <w:r w:rsidRPr="00215769">
              <w:rPr>
                <w:b/>
                <w:sz w:val="20"/>
                <w:szCs w:val="20"/>
                <w:lang w:val="fr-FR" w:eastAsia="en-US"/>
              </w:rPr>
              <w:t>n</w:t>
            </w:r>
            <w:proofErr w:type="gramEnd"/>
            <w:r w:rsidRPr="00215769">
              <w:rPr>
                <w:b/>
                <w:sz w:val="20"/>
                <w:szCs w:val="20"/>
                <w:lang w:val="fr-FR" w:eastAsia="en-US"/>
              </w:rPr>
              <w:t>/a</w:t>
            </w:r>
          </w:p>
        </w:tc>
        <w:tc>
          <w:tcPr>
            <w:tcW w:w="1620" w:type="dxa"/>
            <w:shd w:val="clear" w:color="auto" w:fill="EEECE1"/>
          </w:tcPr>
          <w:p w14:paraId="53EA8A0C" w14:textId="77777777" w:rsidR="00227E73" w:rsidRPr="00215769" w:rsidRDefault="00227E73" w:rsidP="00227E73">
            <w:pPr>
              <w:rPr>
                <w:sz w:val="20"/>
                <w:szCs w:val="20"/>
                <w:lang w:val="fr-FR"/>
              </w:rPr>
            </w:pPr>
            <w:r w:rsidRPr="00215769">
              <w:rPr>
                <w:sz w:val="20"/>
                <w:szCs w:val="20"/>
                <w:lang w:val="fr-FR"/>
              </w:rPr>
              <w:t>Augmentation au moins 30%</w:t>
            </w:r>
          </w:p>
        </w:tc>
        <w:tc>
          <w:tcPr>
            <w:tcW w:w="2070" w:type="dxa"/>
          </w:tcPr>
          <w:p w14:paraId="67BECA4B" w14:textId="5816FA17" w:rsidR="00227E73" w:rsidRPr="00215769" w:rsidRDefault="00227E73" w:rsidP="00227E73">
            <w:pPr>
              <w:rPr>
                <w:sz w:val="20"/>
                <w:szCs w:val="20"/>
                <w:lang w:val="fr-FR"/>
              </w:rPr>
            </w:pPr>
          </w:p>
        </w:tc>
        <w:tc>
          <w:tcPr>
            <w:tcW w:w="2070" w:type="dxa"/>
          </w:tcPr>
          <w:p w14:paraId="1D639A95" w14:textId="04851D99" w:rsidR="00227E73" w:rsidRPr="00215769" w:rsidRDefault="00227E73" w:rsidP="00227E73">
            <w:pPr>
              <w:rPr>
                <w:sz w:val="20"/>
                <w:szCs w:val="20"/>
                <w:lang w:val="fr-FR"/>
              </w:rPr>
            </w:pPr>
          </w:p>
        </w:tc>
        <w:tc>
          <w:tcPr>
            <w:tcW w:w="4140" w:type="dxa"/>
          </w:tcPr>
          <w:p w14:paraId="112DF8DC" w14:textId="318555CA" w:rsidR="00227E73" w:rsidRPr="00227E73" w:rsidRDefault="00227E73" w:rsidP="00227E73">
            <w:pPr>
              <w:jc w:val="both"/>
              <w:rPr>
                <w:bCs/>
                <w:sz w:val="20"/>
                <w:szCs w:val="20"/>
                <w:highlight w:val="lightGray"/>
                <w:lang w:val="fr-FR"/>
              </w:rPr>
            </w:pPr>
            <w:r w:rsidRPr="00227E73">
              <w:rPr>
                <w:bCs/>
                <w:sz w:val="20"/>
                <w:szCs w:val="20"/>
                <w:highlight w:val="lightGray"/>
                <w:lang w:val="fr-FR"/>
              </w:rPr>
              <w:t xml:space="preserve">Une proposition de reformulation de l’indicateur </w:t>
            </w:r>
            <w:r w:rsidR="00A85A28">
              <w:rPr>
                <w:bCs/>
                <w:sz w:val="20"/>
                <w:szCs w:val="20"/>
                <w:highlight w:val="lightGray"/>
                <w:lang w:val="fr-FR"/>
              </w:rPr>
              <w:t>sera</w:t>
            </w:r>
            <w:r w:rsidRPr="00227E73">
              <w:rPr>
                <w:bCs/>
                <w:sz w:val="20"/>
                <w:szCs w:val="20"/>
                <w:highlight w:val="lightGray"/>
                <w:lang w:val="fr-FR"/>
              </w:rPr>
              <w:t xml:space="preserve"> soumis</w:t>
            </w:r>
            <w:r w:rsidR="005C5840">
              <w:rPr>
                <w:bCs/>
                <w:sz w:val="20"/>
                <w:szCs w:val="20"/>
                <w:highlight w:val="lightGray"/>
                <w:lang w:val="fr-FR"/>
              </w:rPr>
              <w:t>e</w:t>
            </w:r>
            <w:r w:rsidRPr="00227E73">
              <w:rPr>
                <w:bCs/>
                <w:sz w:val="20"/>
                <w:szCs w:val="20"/>
                <w:highlight w:val="lightGray"/>
                <w:lang w:val="fr-FR"/>
              </w:rPr>
              <w:t xml:space="preserve"> au PBF </w:t>
            </w:r>
            <w:r w:rsidR="00A85A28">
              <w:rPr>
                <w:bCs/>
                <w:sz w:val="20"/>
                <w:szCs w:val="20"/>
                <w:highlight w:val="lightGray"/>
                <w:lang w:val="fr-FR"/>
              </w:rPr>
              <w:t>à part.</w:t>
            </w:r>
          </w:p>
        </w:tc>
      </w:tr>
      <w:tr w:rsidR="00227E73" w:rsidRPr="009740FB" w14:paraId="547A6CA0" w14:textId="77777777" w:rsidTr="681F2457">
        <w:trPr>
          <w:trHeight w:val="458"/>
        </w:trPr>
        <w:tc>
          <w:tcPr>
            <w:tcW w:w="1530" w:type="dxa"/>
            <w:vMerge/>
          </w:tcPr>
          <w:p w14:paraId="3719D3AB" w14:textId="77777777" w:rsidR="00227E73" w:rsidRPr="00ED6B34" w:rsidRDefault="00227E73" w:rsidP="00227E73">
            <w:pPr>
              <w:rPr>
                <w:b/>
                <w:sz w:val="20"/>
                <w:szCs w:val="20"/>
                <w:lang w:val="fr-FR" w:eastAsia="en-US"/>
              </w:rPr>
            </w:pPr>
          </w:p>
        </w:tc>
        <w:tc>
          <w:tcPr>
            <w:tcW w:w="2070" w:type="dxa"/>
            <w:shd w:val="clear" w:color="auto" w:fill="EEECE1"/>
          </w:tcPr>
          <w:p w14:paraId="74DA1199" w14:textId="77777777" w:rsidR="00227E73" w:rsidRPr="00ED6B34" w:rsidRDefault="00227E73" w:rsidP="00227E73">
            <w:pPr>
              <w:jc w:val="both"/>
              <w:rPr>
                <w:b/>
                <w:bCs/>
                <w:sz w:val="20"/>
                <w:szCs w:val="20"/>
                <w:lang w:val="fr-FR" w:eastAsia="en-US"/>
              </w:rPr>
            </w:pPr>
            <w:r w:rsidRPr="00ED6B34">
              <w:rPr>
                <w:b/>
                <w:bCs/>
                <w:sz w:val="20"/>
                <w:szCs w:val="20"/>
                <w:lang w:val="fr-FR" w:eastAsia="en-US"/>
              </w:rPr>
              <w:t>Indicateur 3.2.3</w:t>
            </w:r>
          </w:p>
          <w:p w14:paraId="6CE2098C" w14:textId="77777777" w:rsidR="00227E73" w:rsidRPr="00ED6B34" w:rsidRDefault="00227E73" w:rsidP="00227E73">
            <w:pPr>
              <w:jc w:val="both"/>
              <w:rPr>
                <w:sz w:val="20"/>
                <w:szCs w:val="20"/>
                <w:lang w:val="fr-FR" w:eastAsia="en-US"/>
              </w:rPr>
            </w:pPr>
            <w:r w:rsidRPr="00ED6B34">
              <w:rPr>
                <w:sz w:val="20"/>
                <w:szCs w:val="20"/>
                <w:lang w:val="fr-FR" w:eastAsia="en-US"/>
              </w:rPr>
              <w:t>Nombre de dépliants produits et disséminés</w:t>
            </w:r>
          </w:p>
        </w:tc>
        <w:tc>
          <w:tcPr>
            <w:tcW w:w="1530" w:type="dxa"/>
            <w:shd w:val="clear" w:color="auto" w:fill="EEECE1"/>
          </w:tcPr>
          <w:p w14:paraId="36954083" w14:textId="77777777" w:rsidR="00227E73" w:rsidRPr="00ED6B34" w:rsidRDefault="00227E73" w:rsidP="00227E73">
            <w:pPr>
              <w:rPr>
                <w:b/>
                <w:sz w:val="20"/>
                <w:szCs w:val="20"/>
                <w:lang w:val="fr-FR" w:eastAsia="en-US"/>
              </w:rPr>
            </w:pPr>
            <w:r w:rsidRPr="00ED6B34">
              <w:rPr>
                <w:b/>
                <w:sz w:val="20"/>
                <w:szCs w:val="20"/>
                <w:lang w:val="fr-FR" w:eastAsia="en-US"/>
              </w:rPr>
              <w:t>0</w:t>
            </w:r>
          </w:p>
        </w:tc>
        <w:tc>
          <w:tcPr>
            <w:tcW w:w="1620" w:type="dxa"/>
            <w:shd w:val="clear" w:color="auto" w:fill="EEECE1"/>
          </w:tcPr>
          <w:p w14:paraId="16D8B6C9" w14:textId="77777777" w:rsidR="00227E73" w:rsidRPr="00ED6B34" w:rsidRDefault="00227E73" w:rsidP="00227E73">
            <w:pPr>
              <w:rPr>
                <w:sz w:val="20"/>
                <w:szCs w:val="20"/>
                <w:lang w:val="fr-FR"/>
              </w:rPr>
            </w:pPr>
            <w:r w:rsidRPr="00ED6B34">
              <w:rPr>
                <w:sz w:val="20"/>
                <w:szCs w:val="20"/>
                <w:lang w:val="fr-FR"/>
              </w:rPr>
              <w:t>20 000</w:t>
            </w:r>
          </w:p>
        </w:tc>
        <w:tc>
          <w:tcPr>
            <w:tcW w:w="2070" w:type="dxa"/>
          </w:tcPr>
          <w:p w14:paraId="12E904A7" w14:textId="2A8F865C" w:rsidR="00227E73" w:rsidRPr="00ED6B34" w:rsidRDefault="00227E73" w:rsidP="00227E73">
            <w:pPr>
              <w:rPr>
                <w:b/>
                <w:sz w:val="20"/>
                <w:szCs w:val="20"/>
                <w:lang w:val="fr-FR" w:eastAsia="en-US"/>
              </w:rPr>
            </w:pPr>
            <w:r w:rsidRPr="00ED6B34">
              <w:rPr>
                <w:b/>
                <w:sz w:val="20"/>
                <w:szCs w:val="20"/>
                <w:lang w:val="fr-FR" w:eastAsia="en-US"/>
              </w:rPr>
              <w:t>1500</w:t>
            </w:r>
          </w:p>
        </w:tc>
        <w:tc>
          <w:tcPr>
            <w:tcW w:w="2070" w:type="dxa"/>
          </w:tcPr>
          <w:p w14:paraId="10644706" w14:textId="40E7FC48" w:rsidR="00227E73" w:rsidRPr="00DA3A0D" w:rsidRDefault="00227E73" w:rsidP="00227E73">
            <w:pPr>
              <w:rPr>
                <w:bCs/>
                <w:sz w:val="20"/>
                <w:szCs w:val="20"/>
                <w:highlight w:val="lightGray"/>
                <w:lang w:val="fr-FR" w:eastAsia="en-US"/>
              </w:rPr>
            </w:pPr>
            <w:r w:rsidRPr="00DA3A0D">
              <w:rPr>
                <w:bCs/>
                <w:sz w:val="20"/>
                <w:szCs w:val="20"/>
                <w:highlight w:val="lightGray"/>
                <w:lang w:val="fr-FR" w:eastAsia="en-US"/>
              </w:rPr>
              <w:t>1500 dépliants disséminés</w:t>
            </w:r>
          </w:p>
        </w:tc>
        <w:tc>
          <w:tcPr>
            <w:tcW w:w="4140" w:type="dxa"/>
          </w:tcPr>
          <w:p w14:paraId="7205682D" w14:textId="48696505" w:rsidR="00227E73" w:rsidRPr="00227E73" w:rsidRDefault="00227E73" w:rsidP="00227E73">
            <w:pPr>
              <w:rPr>
                <w:b/>
                <w:sz w:val="20"/>
                <w:szCs w:val="20"/>
                <w:highlight w:val="lightGray"/>
                <w:lang w:val="fr-FR" w:eastAsia="en-US"/>
              </w:rPr>
            </w:pPr>
            <w:r w:rsidRPr="00227E73">
              <w:rPr>
                <w:sz w:val="20"/>
                <w:szCs w:val="20"/>
                <w:highlight w:val="lightGray"/>
                <w:lang w:val="fr-FR" w:eastAsia="en-US"/>
              </w:rPr>
              <w:t>Le recrutement de l’entreprise de communication est terminé</w:t>
            </w:r>
            <w:r>
              <w:rPr>
                <w:sz w:val="20"/>
                <w:szCs w:val="20"/>
                <w:highlight w:val="lightGray"/>
                <w:lang w:val="fr-FR" w:eastAsia="en-US"/>
              </w:rPr>
              <w:t xml:space="preserve"> ayant</w:t>
            </w:r>
            <w:r w:rsidRPr="00227E73">
              <w:rPr>
                <w:sz w:val="20"/>
                <w:szCs w:val="20"/>
                <w:highlight w:val="lightGray"/>
                <w:lang w:val="fr-FR" w:eastAsia="en-US"/>
              </w:rPr>
              <w:t xml:space="preserve"> pris du retard car le HCDH Mali ne gère pas le processus administratif </w:t>
            </w:r>
            <w:r>
              <w:rPr>
                <w:sz w:val="20"/>
                <w:szCs w:val="20"/>
                <w:highlight w:val="lightGray"/>
                <w:lang w:val="fr-FR" w:eastAsia="en-US"/>
              </w:rPr>
              <w:t>directement (agence non-résidente)</w:t>
            </w:r>
            <w:r w:rsidRPr="00227E73">
              <w:rPr>
                <w:sz w:val="20"/>
                <w:szCs w:val="20"/>
                <w:highlight w:val="lightGray"/>
                <w:lang w:val="fr-FR" w:eastAsia="en-US"/>
              </w:rPr>
              <w:t>.</w:t>
            </w:r>
          </w:p>
        </w:tc>
      </w:tr>
      <w:tr w:rsidR="00227E73" w:rsidRPr="009740FB" w14:paraId="6117B1BE" w14:textId="77777777" w:rsidTr="681F2457">
        <w:trPr>
          <w:trHeight w:val="458"/>
        </w:trPr>
        <w:tc>
          <w:tcPr>
            <w:tcW w:w="1530" w:type="dxa"/>
            <w:vMerge w:val="restart"/>
          </w:tcPr>
          <w:p w14:paraId="77A60DB7" w14:textId="77777777" w:rsidR="00227E73" w:rsidRPr="00ED6B34" w:rsidRDefault="00227E73" w:rsidP="00227E73">
            <w:pPr>
              <w:rPr>
                <w:sz w:val="20"/>
                <w:szCs w:val="20"/>
                <w:lang w:val="fr-FR" w:eastAsia="en-US"/>
              </w:rPr>
            </w:pPr>
            <w:r w:rsidRPr="00ED6B34">
              <w:rPr>
                <w:sz w:val="20"/>
                <w:szCs w:val="20"/>
                <w:lang w:val="fr-FR" w:eastAsia="en-US"/>
              </w:rPr>
              <w:t>Produit 3.3</w:t>
            </w:r>
          </w:p>
          <w:p w14:paraId="38690C48" w14:textId="77777777" w:rsidR="00227E73" w:rsidRPr="00ED6B34" w:rsidRDefault="00227E73" w:rsidP="00227E73">
            <w:pPr>
              <w:spacing w:before="120"/>
              <w:jc w:val="both"/>
              <w:rPr>
                <w:sz w:val="20"/>
                <w:szCs w:val="20"/>
                <w:lang w:val="fr-FR"/>
              </w:rPr>
            </w:pPr>
            <w:r w:rsidRPr="00ED6B34">
              <w:rPr>
                <w:sz w:val="20"/>
                <w:szCs w:val="20"/>
                <w:lang w:val="fr-FR"/>
              </w:rPr>
              <w:t>La présence et les capacités d'intervention de la CNDH-Mali dans les régions de Mopti et Ségou sont renforcées et contribuent à une meilleure administration de la justice dans le centre du Mali</w:t>
            </w:r>
          </w:p>
          <w:p w14:paraId="31090817" w14:textId="77777777" w:rsidR="00227E73" w:rsidRPr="00ED6B34" w:rsidRDefault="00227E73" w:rsidP="00227E73">
            <w:pPr>
              <w:rPr>
                <w:sz w:val="20"/>
                <w:szCs w:val="20"/>
                <w:lang w:val="fr-FR" w:eastAsia="en-US"/>
              </w:rPr>
            </w:pPr>
          </w:p>
        </w:tc>
        <w:tc>
          <w:tcPr>
            <w:tcW w:w="2070" w:type="dxa"/>
            <w:shd w:val="clear" w:color="auto" w:fill="EEECE1"/>
          </w:tcPr>
          <w:p w14:paraId="42881D57" w14:textId="77777777" w:rsidR="00227E73" w:rsidRPr="00ED6B34" w:rsidRDefault="00227E73" w:rsidP="00227E73">
            <w:pPr>
              <w:jc w:val="both"/>
              <w:rPr>
                <w:b/>
                <w:bCs/>
                <w:sz w:val="20"/>
                <w:szCs w:val="20"/>
                <w:lang w:val="fr-FR" w:eastAsia="en-US"/>
              </w:rPr>
            </w:pPr>
            <w:r w:rsidRPr="00ED6B34">
              <w:rPr>
                <w:b/>
                <w:bCs/>
                <w:sz w:val="20"/>
                <w:szCs w:val="20"/>
                <w:lang w:val="fr-FR" w:eastAsia="en-US"/>
              </w:rPr>
              <w:t>Indicateur 3.3.1</w:t>
            </w:r>
          </w:p>
          <w:p w14:paraId="7ADA7B47" w14:textId="77777777" w:rsidR="00227E73" w:rsidRPr="00ED6B34" w:rsidRDefault="00227E73" w:rsidP="00227E73">
            <w:pPr>
              <w:jc w:val="both"/>
              <w:rPr>
                <w:bCs/>
                <w:sz w:val="20"/>
                <w:szCs w:val="20"/>
                <w:lang w:val="fr-FR" w:eastAsia="en-US"/>
              </w:rPr>
            </w:pPr>
            <w:r w:rsidRPr="00ED6B34">
              <w:rPr>
                <w:bCs/>
                <w:sz w:val="20"/>
                <w:szCs w:val="20"/>
                <w:lang w:val="fr-FR" w:eastAsia="en-US"/>
              </w:rPr>
              <w:t>Rédaction et publication d’un rapport bien documenté sur l’accès à la justice</w:t>
            </w:r>
          </w:p>
        </w:tc>
        <w:tc>
          <w:tcPr>
            <w:tcW w:w="1530" w:type="dxa"/>
            <w:shd w:val="clear" w:color="auto" w:fill="EEECE1"/>
          </w:tcPr>
          <w:p w14:paraId="2AB8497B" w14:textId="77777777" w:rsidR="00227E73" w:rsidRPr="00ED6B34" w:rsidRDefault="00227E73" w:rsidP="00227E73">
            <w:pPr>
              <w:rPr>
                <w:sz w:val="20"/>
                <w:szCs w:val="20"/>
                <w:lang w:val="fr-FR"/>
              </w:rPr>
            </w:pPr>
            <w:r w:rsidRPr="00ED6B34">
              <w:rPr>
                <w:sz w:val="20"/>
                <w:szCs w:val="20"/>
                <w:lang w:val="fr-FR"/>
              </w:rPr>
              <w:t>0</w:t>
            </w:r>
          </w:p>
        </w:tc>
        <w:tc>
          <w:tcPr>
            <w:tcW w:w="1620" w:type="dxa"/>
            <w:shd w:val="clear" w:color="auto" w:fill="EEECE1"/>
          </w:tcPr>
          <w:p w14:paraId="7AE7C2BB" w14:textId="77777777" w:rsidR="00227E73" w:rsidRPr="00ED6B34" w:rsidRDefault="00227E73" w:rsidP="00227E73">
            <w:pPr>
              <w:rPr>
                <w:sz w:val="20"/>
                <w:szCs w:val="20"/>
                <w:lang w:val="fr-FR"/>
              </w:rPr>
            </w:pPr>
            <w:r w:rsidRPr="00ED6B34">
              <w:rPr>
                <w:sz w:val="20"/>
                <w:szCs w:val="20"/>
                <w:lang w:val="fr-FR"/>
              </w:rPr>
              <w:t>1</w:t>
            </w:r>
          </w:p>
        </w:tc>
        <w:tc>
          <w:tcPr>
            <w:tcW w:w="2070" w:type="dxa"/>
          </w:tcPr>
          <w:p w14:paraId="282671FA" w14:textId="01CD36E0" w:rsidR="00227E73" w:rsidRPr="00ED6B34" w:rsidRDefault="00227E73" w:rsidP="00227E73">
            <w:pPr>
              <w:rPr>
                <w:sz w:val="20"/>
                <w:szCs w:val="20"/>
                <w:lang w:val="fr-FR"/>
              </w:rPr>
            </w:pPr>
          </w:p>
        </w:tc>
        <w:tc>
          <w:tcPr>
            <w:tcW w:w="2070" w:type="dxa"/>
          </w:tcPr>
          <w:p w14:paraId="65EF48FA" w14:textId="0D3160F6" w:rsidR="00227E73" w:rsidRPr="00DA3A0D" w:rsidRDefault="00227E73" w:rsidP="00227E73">
            <w:pPr>
              <w:rPr>
                <w:sz w:val="20"/>
                <w:szCs w:val="20"/>
                <w:highlight w:val="lightGray"/>
                <w:lang w:val="fr-FR"/>
              </w:rPr>
            </w:pPr>
            <w:r w:rsidRPr="00DA3A0D">
              <w:rPr>
                <w:sz w:val="20"/>
                <w:szCs w:val="20"/>
                <w:highlight w:val="lightGray"/>
                <w:lang w:val="fr-FR" w:eastAsia="en-US"/>
              </w:rPr>
              <w:t>Activité en cours de réalisation</w:t>
            </w:r>
          </w:p>
        </w:tc>
        <w:tc>
          <w:tcPr>
            <w:tcW w:w="4140" w:type="dxa"/>
          </w:tcPr>
          <w:p w14:paraId="27CF91C3" w14:textId="3A616F92" w:rsidR="00227E73" w:rsidRPr="00227E73" w:rsidRDefault="00227E73" w:rsidP="00227E73">
            <w:pPr>
              <w:rPr>
                <w:sz w:val="20"/>
                <w:szCs w:val="20"/>
                <w:highlight w:val="lightGray"/>
                <w:lang w:val="fr-FR"/>
              </w:rPr>
            </w:pPr>
            <w:r w:rsidRPr="00227E73">
              <w:rPr>
                <w:sz w:val="20"/>
                <w:szCs w:val="20"/>
                <w:highlight w:val="lightGray"/>
                <w:lang w:val="fr-FR" w:eastAsia="en-US"/>
              </w:rPr>
              <w:t>Recrutement du consultant est en cours.</w:t>
            </w:r>
          </w:p>
        </w:tc>
      </w:tr>
      <w:tr w:rsidR="00227E73" w:rsidRPr="009740FB" w14:paraId="5FCDAC35" w14:textId="77777777" w:rsidTr="681F2457">
        <w:trPr>
          <w:trHeight w:val="458"/>
        </w:trPr>
        <w:tc>
          <w:tcPr>
            <w:tcW w:w="1530" w:type="dxa"/>
            <w:vMerge/>
          </w:tcPr>
          <w:p w14:paraId="650A9FEF" w14:textId="77777777" w:rsidR="00227E73" w:rsidRPr="00ED6B34" w:rsidRDefault="00227E73" w:rsidP="00227E73">
            <w:pPr>
              <w:rPr>
                <w:b/>
                <w:sz w:val="20"/>
                <w:szCs w:val="20"/>
                <w:lang w:val="fr-FR" w:eastAsia="en-US"/>
              </w:rPr>
            </w:pPr>
          </w:p>
        </w:tc>
        <w:tc>
          <w:tcPr>
            <w:tcW w:w="2070" w:type="dxa"/>
            <w:shd w:val="clear" w:color="auto" w:fill="EEECE1"/>
          </w:tcPr>
          <w:p w14:paraId="63A692D3" w14:textId="77777777" w:rsidR="00227E73" w:rsidRPr="00ED6B34" w:rsidRDefault="00227E73" w:rsidP="00227E73">
            <w:pPr>
              <w:jc w:val="both"/>
              <w:rPr>
                <w:b/>
                <w:bCs/>
                <w:sz w:val="20"/>
                <w:szCs w:val="20"/>
                <w:lang w:val="fr-FR" w:eastAsia="en-US"/>
              </w:rPr>
            </w:pPr>
            <w:r w:rsidRPr="00ED6B34">
              <w:rPr>
                <w:b/>
                <w:bCs/>
                <w:sz w:val="20"/>
                <w:szCs w:val="20"/>
                <w:lang w:val="fr-FR" w:eastAsia="en-US"/>
              </w:rPr>
              <w:t>Indicateur 3.3.2</w:t>
            </w:r>
          </w:p>
          <w:p w14:paraId="085BA44A" w14:textId="77777777" w:rsidR="00227E73" w:rsidRPr="00ED6B34" w:rsidRDefault="00227E73" w:rsidP="00227E73">
            <w:pPr>
              <w:jc w:val="both"/>
              <w:rPr>
                <w:bCs/>
                <w:sz w:val="20"/>
                <w:szCs w:val="20"/>
                <w:lang w:val="fr-FR" w:eastAsia="en-US"/>
              </w:rPr>
            </w:pPr>
            <w:r w:rsidRPr="00ED6B34">
              <w:rPr>
                <w:bCs/>
                <w:sz w:val="20"/>
                <w:szCs w:val="20"/>
                <w:lang w:val="fr-FR" w:eastAsia="en-US"/>
              </w:rPr>
              <w:t>Nbre de cas présentés par la CNDH lors des réunions de plaidoyer avec les autorités judiciaires concernées</w:t>
            </w:r>
          </w:p>
        </w:tc>
        <w:tc>
          <w:tcPr>
            <w:tcW w:w="1530" w:type="dxa"/>
            <w:shd w:val="clear" w:color="auto" w:fill="EEECE1"/>
          </w:tcPr>
          <w:p w14:paraId="3EBA531F" w14:textId="77777777" w:rsidR="00227E73" w:rsidRPr="00ED6B34" w:rsidRDefault="00227E73" w:rsidP="00227E73">
            <w:pPr>
              <w:rPr>
                <w:sz w:val="20"/>
                <w:szCs w:val="20"/>
                <w:lang w:val="fr-FR"/>
              </w:rPr>
            </w:pPr>
            <w:r w:rsidRPr="00ED6B34">
              <w:rPr>
                <w:sz w:val="20"/>
                <w:szCs w:val="20"/>
                <w:lang w:val="fr-FR"/>
              </w:rPr>
              <w:t>0</w:t>
            </w:r>
          </w:p>
        </w:tc>
        <w:tc>
          <w:tcPr>
            <w:tcW w:w="1620" w:type="dxa"/>
            <w:shd w:val="clear" w:color="auto" w:fill="EEECE1"/>
          </w:tcPr>
          <w:p w14:paraId="0D13947F" w14:textId="77777777" w:rsidR="00227E73" w:rsidRPr="00ED6B34" w:rsidRDefault="00227E73" w:rsidP="00227E73">
            <w:pPr>
              <w:rPr>
                <w:sz w:val="20"/>
                <w:szCs w:val="20"/>
                <w:lang w:val="fr-FR"/>
              </w:rPr>
            </w:pPr>
            <w:r w:rsidRPr="00ED6B34">
              <w:rPr>
                <w:sz w:val="20"/>
                <w:szCs w:val="20"/>
                <w:lang w:val="fr-FR"/>
              </w:rPr>
              <w:t>5</w:t>
            </w:r>
          </w:p>
        </w:tc>
        <w:tc>
          <w:tcPr>
            <w:tcW w:w="2070" w:type="dxa"/>
          </w:tcPr>
          <w:p w14:paraId="43348382" w14:textId="77777777" w:rsidR="00227E73" w:rsidRPr="00ED6B34" w:rsidRDefault="00227E73" w:rsidP="00227E73">
            <w:pPr>
              <w:rPr>
                <w:sz w:val="20"/>
                <w:szCs w:val="20"/>
                <w:lang w:val="fr-FR"/>
              </w:rPr>
            </w:pPr>
            <w:r w:rsidRPr="00ED6B34">
              <w:rPr>
                <w:b/>
                <w:sz w:val="20"/>
                <w:szCs w:val="20"/>
                <w:lang w:val="fr-FR" w:eastAsia="en-US"/>
              </w:rPr>
              <w:fldChar w:fldCharType="begin">
                <w:ffData>
                  <w:name w:val=""/>
                  <w:enabled/>
                  <w:calcOnExit w:val="0"/>
                  <w:textInput>
                    <w:default w:val="2"/>
                    <w:maxLength w:val="300"/>
                  </w:textInput>
                </w:ffData>
              </w:fldChar>
            </w:r>
            <w:r w:rsidRPr="00ED6B34">
              <w:rPr>
                <w:b/>
                <w:sz w:val="20"/>
                <w:szCs w:val="20"/>
                <w:lang w:val="fr-FR" w:eastAsia="en-US"/>
              </w:rPr>
              <w:instrText xml:space="preserve"> FORMTEXT </w:instrText>
            </w:r>
            <w:r w:rsidRPr="00ED6B34">
              <w:rPr>
                <w:b/>
                <w:sz w:val="20"/>
                <w:szCs w:val="20"/>
                <w:lang w:val="fr-FR" w:eastAsia="en-US"/>
              </w:rPr>
            </w:r>
            <w:r w:rsidRPr="00ED6B34">
              <w:rPr>
                <w:b/>
                <w:sz w:val="20"/>
                <w:szCs w:val="20"/>
                <w:lang w:val="fr-FR" w:eastAsia="en-US"/>
              </w:rPr>
              <w:fldChar w:fldCharType="separate"/>
            </w:r>
            <w:r w:rsidRPr="00ED6B34">
              <w:rPr>
                <w:b/>
                <w:noProof/>
                <w:sz w:val="20"/>
                <w:szCs w:val="20"/>
                <w:lang w:val="fr-FR" w:eastAsia="en-US"/>
              </w:rPr>
              <w:t>2</w:t>
            </w:r>
            <w:r w:rsidRPr="00ED6B34">
              <w:rPr>
                <w:b/>
                <w:sz w:val="20"/>
                <w:szCs w:val="20"/>
                <w:lang w:val="fr-FR" w:eastAsia="en-US"/>
              </w:rPr>
              <w:fldChar w:fldCharType="end"/>
            </w:r>
          </w:p>
        </w:tc>
        <w:tc>
          <w:tcPr>
            <w:tcW w:w="2070" w:type="dxa"/>
          </w:tcPr>
          <w:p w14:paraId="50A5F4FB" w14:textId="47020257" w:rsidR="00227E73" w:rsidRPr="00DA3A0D" w:rsidRDefault="00227E73" w:rsidP="00227E73">
            <w:pPr>
              <w:rPr>
                <w:sz w:val="20"/>
                <w:szCs w:val="20"/>
                <w:highlight w:val="lightGray"/>
                <w:lang w:val="fr-FR"/>
              </w:rPr>
            </w:pPr>
            <w:r w:rsidRPr="00DA3A0D">
              <w:rPr>
                <w:sz w:val="20"/>
                <w:szCs w:val="20"/>
                <w:highlight w:val="lightGray"/>
                <w:lang w:val="fr-FR" w:eastAsia="en-US"/>
              </w:rPr>
              <w:t>Activité en cours de réalisation</w:t>
            </w:r>
          </w:p>
        </w:tc>
        <w:tc>
          <w:tcPr>
            <w:tcW w:w="4140" w:type="dxa"/>
          </w:tcPr>
          <w:p w14:paraId="09B42A76" w14:textId="33209654" w:rsidR="00227E73" w:rsidRPr="00227E73" w:rsidRDefault="00227E73" w:rsidP="00227E73">
            <w:pPr>
              <w:rPr>
                <w:sz w:val="20"/>
                <w:szCs w:val="20"/>
                <w:highlight w:val="lightGray"/>
                <w:lang w:val="fr-FR"/>
              </w:rPr>
            </w:pPr>
            <w:r w:rsidRPr="00227E73">
              <w:rPr>
                <w:sz w:val="20"/>
                <w:szCs w:val="20"/>
                <w:highlight w:val="lightGray"/>
                <w:lang w:val="fr-FR" w:eastAsia="en-US"/>
              </w:rPr>
              <w:t>La CNDH a été dotée d’un mécanisme de recueil des plaintes qui est maintenant opérationnel. Des ateliers de plaidoyer seront organisés avec des autorités dans les prochaines semaines sur la base de ce travail.</w:t>
            </w:r>
          </w:p>
        </w:tc>
      </w:tr>
      <w:tr w:rsidR="00227E73" w:rsidRPr="009740FB" w14:paraId="7C7ED693" w14:textId="77777777" w:rsidTr="681F2457">
        <w:trPr>
          <w:trHeight w:val="458"/>
        </w:trPr>
        <w:tc>
          <w:tcPr>
            <w:tcW w:w="1530" w:type="dxa"/>
          </w:tcPr>
          <w:p w14:paraId="7054680F" w14:textId="77777777" w:rsidR="00227E73" w:rsidRPr="00ED6B34" w:rsidRDefault="00227E73" w:rsidP="00227E73">
            <w:pPr>
              <w:rPr>
                <w:b/>
                <w:sz w:val="20"/>
                <w:szCs w:val="20"/>
                <w:lang w:val="fr-FR" w:eastAsia="en-US"/>
              </w:rPr>
            </w:pPr>
          </w:p>
        </w:tc>
        <w:tc>
          <w:tcPr>
            <w:tcW w:w="2070" w:type="dxa"/>
            <w:shd w:val="clear" w:color="auto" w:fill="EEECE1"/>
          </w:tcPr>
          <w:p w14:paraId="7128FC7C" w14:textId="77777777" w:rsidR="00227E73" w:rsidRPr="00ED6B34" w:rsidRDefault="00227E73" w:rsidP="00227E73">
            <w:pPr>
              <w:jc w:val="both"/>
              <w:rPr>
                <w:b/>
                <w:bCs/>
                <w:sz w:val="20"/>
                <w:szCs w:val="20"/>
                <w:lang w:val="fr-FR" w:eastAsia="en-US"/>
              </w:rPr>
            </w:pPr>
            <w:r w:rsidRPr="00ED6B34">
              <w:rPr>
                <w:b/>
                <w:bCs/>
                <w:sz w:val="20"/>
                <w:szCs w:val="20"/>
                <w:lang w:val="fr-FR" w:eastAsia="en-US"/>
              </w:rPr>
              <w:t>Indicateur 3.3.3</w:t>
            </w:r>
          </w:p>
          <w:p w14:paraId="4C6B16C2" w14:textId="77777777" w:rsidR="00227E73" w:rsidRPr="00ED6B34" w:rsidRDefault="00227E73" w:rsidP="00227E73">
            <w:pPr>
              <w:jc w:val="both"/>
              <w:rPr>
                <w:sz w:val="20"/>
                <w:szCs w:val="20"/>
                <w:lang w:val="fr-FR" w:eastAsia="en-US"/>
              </w:rPr>
            </w:pPr>
            <w:r w:rsidRPr="00ED6B34">
              <w:rPr>
                <w:sz w:val="20"/>
                <w:szCs w:val="20"/>
                <w:lang w:val="fr-FR" w:eastAsia="en-US"/>
              </w:rPr>
              <w:t>Le cadre de concertation est pleinement opérationnel avec une participation accrue des organisations locales</w:t>
            </w:r>
          </w:p>
        </w:tc>
        <w:tc>
          <w:tcPr>
            <w:tcW w:w="1530" w:type="dxa"/>
            <w:shd w:val="clear" w:color="auto" w:fill="EEECE1"/>
          </w:tcPr>
          <w:p w14:paraId="4354F81A" w14:textId="77777777" w:rsidR="00227E73" w:rsidRPr="00ED6B34" w:rsidRDefault="00227E73" w:rsidP="00227E73">
            <w:pPr>
              <w:rPr>
                <w:b/>
                <w:bCs/>
                <w:sz w:val="20"/>
                <w:szCs w:val="20"/>
                <w:lang w:val="fr-FR"/>
              </w:rPr>
            </w:pPr>
            <w:r w:rsidRPr="00ED6B34">
              <w:rPr>
                <w:b/>
                <w:bCs/>
                <w:sz w:val="20"/>
                <w:szCs w:val="20"/>
                <w:lang w:val="fr-FR"/>
              </w:rPr>
              <w:t>Faible participation</w:t>
            </w:r>
          </w:p>
        </w:tc>
        <w:tc>
          <w:tcPr>
            <w:tcW w:w="1620" w:type="dxa"/>
            <w:shd w:val="clear" w:color="auto" w:fill="EEECE1"/>
          </w:tcPr>
          <w:p w14:paraId="2DBEDF4E" w14:textId="77777777" w:rsidR="00227E73" w:rsidRPr="00ED6B34" w:rsidRDefault="00227E73" w:rsidP="00227E73">
            <w:pPr>
              <w:rPr>
                <w:b/>
                <w:bCs/>
                <w:sz w:val="20"/>
                <w:szCs w:val="20"/>
                <w:lang w:val="fr-FR"/>
              </w:rPr>
            </w:pPr>
            <w:r w:rsidRPr="00ED6B34">
              <w:rPr>
                <w:b/>
                <w:bCs/>
                <w:sz w:val="20"/>
                <w:szCs w:val="20"/>
                <w:lang w:val="fr-FR"/>
              </w:rPr>
              <w:t>Plus grande participation</w:t>
            </w:r>
          </w:p>
        </w:tc>
        <w:tc>
          <w:tcPr>
            <w:tcW w:w="2070" w:type="dxa"/>
          </w:tcPr>
          <w:p w14:paraId="0E896F5B" w14:textId="77777777" w:rsidR="00227E73" w:rsidRPr="00ED6B34" w:rsidRDefault="00227E73" w:rsidP="00227E73">
            <w:pPr>
              <w:rPr>
                <w:b/>
                <w:sz w:val="20"/>
                <w:szCs w:val="20"/>
                <w:lang w:val="fr-FR" w:eastAsia="en-US"/>
              </w:rPr>
            </w:pPr>
            <w:r w:rsidRPr="00ED6B34">
              <w:rPr>
                <w:b/>
                <w:sz w:val="20"/>
                <w:szCs w:val="20"/>
                <w:lang w:val="fr-FR" w:eastAsia="en-US"/>
              </w:rPr>
              <w:t>Une bonne représentation / participation des OSC locales au sein du cadre de concertation</w:t>
            </w:r>
          </w:p>
        </w:tc>
        <w:tc>
          <w:tcPr>
            <w:tcW w:w="2070" w:type="dxa"/>
          </w:tcPr>
          <w:p w14:paraId="4981BC7E" w14:textId="40A1B9BB" w:rsidR="00227E73" w:rsidRPr="00ED6B34" w:rsidRDefault="00227E73" w:rsidP="00227E73">
            <w:pPr>
              <w:rPr>
                <w:b/>
                <w:sz w:val="20"/>
                <w:szCs w:val="20"/>
                <w:lang w:val="fr-FR" w:eastAsia="en-US"/>
              </w:rPr>
            </w:pPr>
            <w:r w:rsidRPr="00DA3A0D">
              <w:rPr>
                <w:sz w:val="20"/>
                <w:szCs w:val="20"/>
                <w:highlight w:val="lightGray"/>
                <w:lang w:val="fr-FR" w:eastAsia="en-US"/>
              </w:rPr>
              <w:t>Réalisé</w:t>
            </w:r>
          </w:p>
        </w:tc>
        <w:tc>
          <w:tcPr>
            <w:tcW w:w="4140" w:type="dxa"/>
          </w:tcPr>
          <w:p w14:paraId="6C9A74C7" w14:textId="3B5D1018" w:rsidR="00227E73" w:rsidRPr="00ED6B34" w:rsidRDefault="00A85A28" w:rsidP="00227E73">
            <w:pPr>
              <w:rPr>
                <w:b/>
                <w:bCs/>
                <w:sz w:val="20"/>
                <w:szCs w:val="20"/>
                <w:lang w:val="fr-FR" w:eastAsia="en-US"/>
              </w:rPr>
            </w:pPr>
            <w:r w:rsidRPr="00A85A28">
              <w:rPr>
                <w:bCs/>
                <w:sz w:val="20"/>
                <w:szCs w:val="20"/>
                <w:highlight w:val="lightGray"/>
                <w:lang w:val="fr-FR"/>
              </w:rPr>
              <w:t>Une proposition de reformulation de l’indicateur sera soumise au PBF à part.</w:t>
            </w:r>
          </w:p>
        </w:tc>
      </w:tr>
    </w:tbl>
    <w:p w14:paraId="28FAAEFA" w14:textId="77777777" w:rsidR="00675507" w:rsidRPr="00ED6B34" w:rsidRDefault="00675507" w:rsidP="0078600B">
      <w:pPr>
        <w:jc w:val="both"/>
        <w:rPr>
          <w:b/>
          <w:sz w:val="20"/>
          <w:lang w:val="fr-FR"/>
        </w:rPr>
      </w:pPr>
    </w:p>
    <w:sectPr w:rsidR="00675507" w:rsidRPr="00ED6B34"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7E2E1" w14:textId="77777777" w:rsidR="0092358A" w:rsidRDefault="0092358A" w:rsidP="00E76CA1">
      <w:r>
        <w:separator/>
      </w:r>
    </w:p>
  </w:endnote>
  <w:endnote w:type="continuationSeparator" w:id="0">
    <w:p w14:paraId="24E27999" w14:textId="77777777" w:rsidR="0092358A" w:rsidRDefault="0092358A" w:rsidP="00E76CA1">
      <w:r>
        <w:continuationSeparator/>
      </w:r>
    </w:p>
  </w:endnote>
  <w:endnote w:type="continuationNotice" w:id="1">
    <w:p w14:paraId="34316AE9" w14:textId="77777777" w:rsidR="0092358A" w:rsidRDefault="00923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Times New Roman"/>
    <w:panose1 w:val="020B0604020202020204"/>
    <w:charset w:val="00"/>
    <w:family w:val="swiss"/>
    <w:notTrueType/>
    <w:pitch w:val="variable"/>
    <w:sig w:usb0="A00002AF" w:usb1="5000204B" w:usb2="00000000" w:usb3="00000000" w:csb0="0000009F" w:csb1="00000000"/>
  </w:font>
  <w:font w:name="inherit">
    <w:altName w:val="Cambria"/>
    <w:panose1 w:val="020B0604020202020204"/>
    <w:charset w:val="00"/>
    <w:family w:val="roman"/>
    <w:notTrueType/>
    <w:pitch w:val="default"/>
  </w:font>
  <w:font w:name="Proxima Nova">
    <w:altName w:val="Tahoma"/>
    <w:panose1 w:val="020B0604020202020204"/>
    <w:charset w:val="00"/>
    <w:family w:val="auto"/>
    <w:pitch w:val="default"/>
  </w:font>
  <w:font w:name="HGGothicE">
    <w:panose1 w:val="020B0909000000000000"/>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C667" w14:textId="77777777" w:rsidR="00A14BAE" w:rsidRDefault="00A14BAE">
    <w:pPr>
      <w:pStyle w:val="Fuzeile"/>
      <w:jc w:val="center"/>
    </w:pPr>
    <w:r>
      <w:fldChar w:fldCharType="begin"/>
    </w:r>
    <w:r>
      <w:instrText xml:space="preserve"> PAGE   \* MERGEFORMAT </w:instrText>
    </w:r>
    <w:r>
      <w:fldChar w:fldCharType="separate"/>
    </w:r>
    <w:r>
      <w:rPr>
        <w:noProof/>
      </w:rPr>
      <w:t>1</w:t>
    </w:r>
    <w:r>
      <w:rPr>
        <w:noProof/>
      </w:rPr>
      <w:fldChar w:fldCharType="end"/>
    </w:r>
  </w:p>
  <w:p w14:paraId="05C65B3A" w14:textId="77777777" w:rsidR="00A14BAE" w:rsidRDefault="00A14B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2D5A" w14:textId="77777777" w:rsidR="0092358A" w:rsidRDefault="0092358A" w:rsidP="00E76CA1">
      <w:r>
        <w:separator/>
      </w:r>
    </w:p>
  </w:footnote>
  <w:footnote w:type="continuationSeparator" w:id="0">
    <w:p w14:paraId="7F51C2F1" w14:textId="77777777" w:rsidR="0092358A" w:rsidRDefault="0092358A" w:rsidP="00E76CA1">
      <w:r>
        <w:continuationSeparator/>
      </w:r>
    </w:p>
  </w:footnote>
  <w:footnote w:type="continuationNotice" w:id="1">
    <w:p w14:paraId="55E32E12" w14:textId="77777777" w:rsidR="0092358A" w:rsidRDefault="009235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8918" w14:textId="77777777" w:rsidR="00A14BAE" w:rsidRDefault="00A14BAE">
    <w:pPr>
      <w:pStyle w:val="Kopfzeile"/>
    </w:pPr>
    <w:r>
      <w:rPr>
        <w:rFonts w:ascii="Arial Narrow" w:hAnsi="Arial Narrow"/>
        <w:b/>
        <w:noProof/>
        <w:sz w:val="22"/>
        <w:szCs w:val="22"/>
        <w:lang w:val="fr-FR" w:eastAsia="fr-FR"/>
      </w:rPr>
      <w:drawing>
        <wp:anchor distT="0" distB="0" distL="114300" distR="114300" simplePos="0" relativeHeight="251658240" behindDoc="0" locked="0" layoutInCell="1" allowOverlap="1" wp14:anchorId="0EFAAB1C" wp14:editId="41831AFA">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A30B6"/>
    <w:multiLevelType w:val="hybridMultilevel"/>
    <w:tmpl w:val="71F06726"/>
    <w:lvl w:ilvl="0" w:tplc="77FA4F84">
      <w:start w:val="5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B80511"/>
    <w:multiLevelType w:val="hybridMultilevel"/>
    <w:tmpl w:val="1514EDD4"/>
    <w:lvl w:ilvl="0" w:tplc="C86A08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56FCC"/>
    <w:multiLevelType w:val="hybridMultilevel"/>
    <w:tmpl w:val="4D32EA4C"/>
    <w:lvl w:ilvl="0" w:tplc="CF488BC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ocumentProtection w:edit="forms" w:formatting="1" w:enforcement="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0358"/>
    <w:rsid w:val="00001B2C"/>
    <w:rsid w:val="000022C4"/>
    <w:rsid w:val="00002815"/>
    <w:rsid w:val="00002B49"/>
    <w:rsid w:val="00005635"/>
    <w:rsid w:val="00005737"/>
    <w:rsid w:val="000057A9"/>
    <w:rsid w:val="00006DBE"/>
    <w:rsid w:val="00006EC0"/>
    <w:rsid w:val="00010EB0"/>
    <w:rsid w:val="0001109A"/>
    <w:rsid w:val="00012C31"/>
    <w:rsid w:val="00013D36"/>
    <w:rsid w:val="00013D69"/>
    <w:rsid w:val="00013F42"/>
    <w:rsid w:val="00014B13"/>
    <w:rsid w:val="000174BE"/>
    <w:rsid w:val="00017B33"/>
    <w:rsid w:val="000219F7"/>
    <w:rsid w:val="00025EFA"/>
    <w:rsid w:val="000262AA"/>
    <w:rsid w:val="00031640"/>
    <w:rsid w:val="00031B7A"/>
    <w:rsid w:val="000329FB"/>
    <w:rsid w:val="00032DDB"/>
    <w:rsid w:val="00033017"/>
    <w:rsid w:val="00033EC2"/>
    <w:rsid w:val="00037B9D"/>
    <w:rsid w:val="0004024F"/>
    <w:rsid w:val="00041997"/>
    <w:rsid w:val="00045C24"/>
    <w:rsid w:val="00047064"/>
    <w:rsid w:val="00047927"/>
    <w:rsid w:val="00050759"/>
    <w:rsid w:val="00051007"/>
    <w:rsid w:val="00051F71"/>
    <w:rsid w:val="0005216F"/>
    <w:rsid w:val="00052745"/>
    <w:rsid w:val="00052DE5"/>
    <w:rsid w:val="000531DC"/>
    <w:rsid w:val="00053A2A"/>
    <w:rsid w:val="000554F8"/>
    <w:rsid w:val="00060AF3"/>
    <w:rsid w:val="00062A37"/>
    <w:rsid w:val="00063017"/>
    <w:rsid w:val="0006382B"/>
    <w:rsid w:val="00063B13"/>
    <w:rsid w:val="00063D2E"/>
    <w:rsid w:val="00065CD0"/>
    <w:rsid w:val="00067BEF"/>
    <w:rsid w:val="000707AE"/>
    <w:rsid w:val="000714A0"/>
    <w:rsid w:val="00071525"/>
    <w:rsid w:val="00071BF9"/>
    <w:rsid w:val="00071EBC"/>
    <w:rsid w:val="000721C6"/>
    <w:rsid w:val="000731D0"/>
    <w:rsid w:val="00073651"/>
    <w:rsid w:val="000751B8"/>
    <w:rsid w:val="00075D98"/>
    <w:rsid w:val="00076AB2"/>
    <w:rsid w:val="0007778F"/>
    <w:rsid w:val="000802D9"/>
    <w:rsid w:val="0008134A"/>
    <w:rsid w:val="0008233D"/>
    <w:rsid w:val="00082738"/>
    <w:rsid w:val="0008433E"/>
    <w:rsid w:val="0008451A"/>
    <w:rsid w:val="00084F64"/>
    <w:rsid w:val="000905A6"/>
    <w:rsid w:val="00091CFD"/>
    <w:rsid w:val="00092442"/>
    <w:rsid w:val="00093805"/>
    <w:rsid w:val="000A145A"/>
    <w:rsid w:val="000A3187"/>
    <w:rsid w:val="000A45F4"/>
    <w:rsid w:val="000A4660"/>
    <w:rsid w:val="000A4B66"/>
    <w:rsid w:val="000A51DA"/>
    <w:rsid w:val="000A6176"/>
    <w:rsid w:val="000A6719"/>
    <w:rsid w:val="000A7360"/>
    <w:rsid w:val="000A7EFA"/>
    <w:rsid w:val="000B0675"/>
    <w:rsid w:val="000B33F6"/>
    <w:rsid w:val="000B3DA3"/>
    <w:rsid w:val="000B4E5C"/>
    <w:rsid w:val="000B59A5"/>
    <w:rsid w:val="000B7954"/>
    <w:rsid w:val="000B7D85"/>
    <w:rsid w:val="000C0051"/>
    <w:rsid w:val="000C0279"/>
    <w:rsid w:val="000C28BE"/>
    <w:rsid w:val="000C3C7B"/>
    <w:rsid w:val="000C3FDF"/>
    <w:rsid w:val="000C7EA0"/>
    <w:rsid w:val="000D2519"/>
    <w:rsid w:val="000D297C"/>
    <w:rsid w:val="000D4F4B"/>
    <w:rsid w:val="000D5CA2"/>
    <w:rsid w:val="000E05AE"/>
    <w:rsid w:val="000E2218"/>
    <w:rsid w:val="000E4E02"/>
    <w:rsid w:val="000E521F"/>
    <w:rsid w:val="000E6A96"/>
    <w:rsid w:val="000F05A2"/>
    <w:rsid w:val="000F13B1"/>
    <w:rsid w:val="000F43A8"/>
    <w:rsid w:val="000F6E9D"/>
    <w:rsid w:val="00102777"/>
    <w:rsid w:val="001029A0"/>
    <w:rsid w:val="00102C0E"/>
    <w:rsid w:val="001036F3"/>
    <w:rsid w:val="00104D12"/>
    <w:rsid w:val="00106614"/>
    <w:rsid w:val="0010677B"/>
    <w:rsid w:val="00106A2E"/>
    <w:rsid w:val="0011113C"/>
    <w:rsid w:val="00112741"/>
    <w:rsid w:val="0011349A"/>
    <w:rsid w:val="00113D2B"/>
    <w:rsid w:val="00113EC4"/>
    <w:rsid w:val="00113FC4"/>
    <w:rsid w:val="00116449"/>
    <w:rsid w:val="0011666C"/>
    <w:rsid w:val="00121B2D"/>
    <w:rsid w:val="001222AD"/>
    <w:rsid w:val="00122F31"/>
    <w:rsid w:val="00125578"/>
    <w:rsid w:val="001307FA"/>
    <w:rsid w:val="00130F1B"/>
    <w:rsid w:val="00131824"/>
    <w:rsid w:val="00135302"/>
    <w:rsid w:val="001353B2"/>
    <w:rsid w:val="00136AC4"/>
    <w:rsid w:val="00136B32"/>
    <w:rsid w:val="001444EE"/>
    <w:rsid w:val="00145766"/>
    <w:rsid w:val="001458E9"/>
    <w:rsid w:val="00153CD9"/>
    <w:rsid w:val="001543DE"/>
    <w:rsid w:val="0015509D"/>
    <w:rsid w:val="00156AFA"/>
    <w:rsid w:val="00156C4C"/>
    <w:rsid w:val="00157BF2"/>
    <w:rsid w:val="001607B2"/>
    <w:rsid w:val="0016088D"/>
    <w:rsid w:val="00161D02"/>
    <w:rsid w:val="00162A9B"/>
    <w:rsid w:val="001647C2"/>
    <w:rsid w:val="001666AE"/>
    <w:rsid w:val="00166EC7"/>
    <w:rsid w:val="00170B67"/>
    <w:rsid w:val="00170E0F"/>
    <w:rsid w:val="001745E8"/>
    <w:rsid w:val="00174C69"/>
    <w:rsid w:val="00177B48"/>
    <w:rsid w:val="001808F0"/>
    <w:rsid w:val="0018095F"/>
    <w:rsid w:val="0018313E"/>
    <w:rsid w:val="0018446E"/>
    <w:rsid w:val="00185425"/>
    <w:rsid w:val="001857AA"/>
    <w:rsid w:val="00186529"/>
    <w:rsid w:val="00187D80"/>
    <w:rsid w:val="0019070C"/>
    <w:rsid w:val="001911CC"/>
    <w:rsid w:val="00192BC9"/>
    <w:rsid w:val="00192F1D"/>
    <w:rsid w:val="001948EA"/>
    <w:rsid w:val="00194D4C"/>
    <w:rsid w:val="00196AA8"/>
    <w:rsid w:val="0019738E"/>
    <w:rsid w:val="00197FA4"/>
    <w:rsid w:val="001A140F"/>
    <w:rsid w:val="001A1E86"/>
    <w:rsid w:val="001A30F6"/>
    <w:rsid w:val="001A3157"/>
    <w:rsid w:val="001A374F"/>
    <w:rsid w:val="001A3C6D"/>
    <w:rsid w:val="001A4786"/>
    <w:rsid w:val="001B091B"/>
    <w:rsid w:val="001B1EAF"/>
    <w:rsid w:val="001B2F2D"/>
    <w:rsid w:val="001B458D"/>
    <w:rsid w:val="001B4FC7"/>
    <w:rsid w:val="001B5760"/>
    <w:rsid w:val="001B5D16"/>
    <w:rsid w:val="001B622C"/>
    <w:rsid w:val="001B6856"/>
    <w:rsid w:val="001B6DFD"/>
    <w:rsid w:val="001C1358"/>
    <w:rsid w:val="001C201B"/>
    <w:rsid w:val="001C3B2B"/>
    <w:rsid w:val="001C4484"/>
    <w:rsid w:val="001C46E9"/>
    <w:rsid w:val="001C5691"/>
    <w:rsid w:val="001C56B8"/>
    <w:rsid w:val="001C5B82"/>
    <w:rsid w:val="001D1C14"/>
    <w:rsid w:val="001D3D4D"/>
    <w:rsid w:val="001D575F"/>
    <w:rsid w:val="001D60AA"/>
    <w:rsid w:val="001D6683"/>
    <w:rsid w:val="001D67F9"/>
    <w:rsid w:val="001E0D19"/>
    <w:rsid w:val="001E660A"/>
    <w:rsid w:val="001F02ED"/>
    <w:rsid w:val="001F0C23"/>
    <w:rsid w:val="001F308A"/>
    <w:rsid w:val="001F3179"/>
    <w:rsid w:val="001F4E09"/>
    <w:rsid w:val="0020130A"/>
    <w:rsid w:val="0020406E"/>
    <w:rsid w:val="00204A71"/>
    <w:rsid w:val="002054FB"/>
    <w:rsid w:val="00205B7E"/>
    <w:rsid w:val="00205EB7"/>
    <w:rsid w:val="00207299"/>
    <w:rsid w:val="0020791D"/>
    <w:rsid w:val="00210B2B"/>
    <w:rsid w:val="002129DA"/>
    <w:rsid w:val="00213B07"/>
    <w:rsid w:val="00214963"/>
    <w:rsid w:val="00215289"/>
    <w:rsid w:val="0021550A"/>
    <w:rsid w:val="00215769"/>
    <w:rsid w:val="00215F41"/>
    <w:rsid w:val="00216904"/>
    <w:rsid w:val="00216E23"/>
    <w:rsid w:val="00216F59"/>
    <w:rsid w:val="00217A2E"/>
    <w:rsid w:val="00217EB6"/>
    <w:rsid w:val="00220660"/>
    <w:rsid w:val="00222494"/>
    <w:rsid w:val="0022322F"/>
    <w:rsid w:val="002247C2"/>
    <w:rsid w:val="002265FC"/>
    <w:rsid w:val="00227E73"/>
    <w:rsid w:val="0023095D"/>
    <w:rsid w:val="002322E6"/>
    <w:rsid w:val="00233528"/>
    <w:rsid w:val="00233827"/>
    <w:rsid w:val="00234697"/>
    <w:rsid w:val="00234A5E"/>
    <w:rsid w:val="00235051"/>
    <w:rsid w:val="00236072"/>
    <w:rsid w:val="0023672E"/>
    <w:rsid w:val="00236AB3"/>
    <w:rsid w:val="00236DA2"/>
    <w:rsid w:val="00240990"/>
    <w:rsid w:val="0024202D"/>
    <w:rsid w:val="002436F0"/>
    <w:rsid w:val="00245E73"/>
    <w:rsid w:val="00246135"/>
    <w:rsid w:val="00247F4E"/>
    <w:rsid w:val="00251E92"/>
    <w:rsid w:val="0025220B"/>
    <w:rsid w:val="00252A10"/>
    <w:rsid w:val="00252B39"/>
    <w:rsid w:val="00254AC2"/>
    <w:rsid w:val="0025525B"/>
    <w:rsid w:val="00256F62"/>
    <w:rsid w:val="00257170"/>
    <w:rsid w:val="00257DFC"/>
    <w:rsid w:val="00264062"/>
    <w:rsid w:val="002658B1"/>
    <w:rsid w:val="00270E03"/>
    <w:rsid w:val="0027242A"/>
    <w:rsid w:val="00272A58"/>
    <w:rsid w:val="00273AD0"/>
    <w:rsid w:val="00277D02"/>
    <w:rsid w:val="00280FEA"/>
    <w:rsid w:val="002822AF"/>
    <w:rsid w:val="00282BD9"/>
    <w:rsid w:val="0028589A"/>
    <w:rsid w:val="00286F66"/>
    <w:rsid w:val="00287878"/>
    <w:rsid w:val="00287BA4"/>
    <w:rsid w:val="00290A91"/>
    <w:rsid w:val="00291AEE"/>
    <w:rsid w:val="002940E8"/>
    <w:rsid w:val="00296C15"/>
    <w:rsid w:val="002973A4"/>
    <w:rsid w:val="002A0B09"/>
    <w:rsid w:val="002A0F7B"/>
    <w:rsid w:val="002A1877"/>
    <w:rsid w:val="002A2029"/>
    <w:rsid w:val="002A48BF"/>
    <w:rsid w:val="002A5608"/>
    <w:rsid w:val="002A6EB6"/>
    <w:rsid w:val="002B0F98"/>
    <w:rsid w:val="002B3207"/>
    <w:rsid w:val="002B346A"/>
    <w:rsid w:val="002B351E"/>
    <w:rsid w:val="002B4426"/>
    <w:rsid w:val="002B5F4F"/>
    <w:rsid w:val="002B740B"/>
    <w:rsid w:val="002B7917"/>
    <w:rsid w:val="002B7D34"/>
    <w:rsid w:val="002C0F13"/>
    <w:rsid w:val="002C187A"/>
    <w:rsid w:val="002C20A8"/>
    <w:rsid w:val="002C2CB9"/>
    <w:rsid w:val="002C5DD0"/>
    <w:rsid w:val="002C7051"/>
    <w:rsid w:val="002C74A2"/>
    <w:rsid w:val="002D2B0F"/>
    <w:rsid w:val="002D2FBB"/>
    <w:rsid w:val="002D4247"/>
    <w:rsid w:val="002D45EF"/>
    <w:rsid w:val="002D4D3A"/>
    <w:rsid w:val="002D516C"/>
    <w:rsid w:val="002D56E6"/>
    <w:rsid w:val="002D68D7"/>
    <w:rsid w:val="002D6DA0"/>
    <w:rsid w:val="002E10E6"/>
    <w:rsid w:val="002E133A"/>
    <w:rsid w:val="002E1CED"/>
    <w:rsid w:val="002E2E3F"/>
    <w:rsid w:val="002E4B4D"/>
    <w:rsid w:val="002E5250"/>
    <w:rsid w:val="002E61AA"/>
    <w:rsid w:val="002E66D5"/>
    <w:rsid w:val="002E6F58"/>
    <w:rsid w:val="002E745D"/>
    <w:rsid w:val="002F10F6"/>
    <w:rsid w:val="002F15D9"/>
    <w:rsid w:val="002F1B82"/>
    <w:rsid w:val="002F26EC"/>
    <w:rsid w:val="002F3130"/>
    <w:rsid w:val="002F42EA"/>
    <w:rsid w:val="002F53E4"/>
    <w:rsid w:val="003040D8"/>
    <w:rsid w:val="0030455E"/>
    <w:rsid w:val="003046E0"/>
    <w:rsid w:val="003047ED"/>
    <w:rsid w:val="00305626"/>
    <w:rsid w:val="003102A9"/>
    <w:rsid w:val="003107C9"/>
    <w:rsid w:val="00310804"/>
    <w:rsid w:val="00310F42"/>
    <w:rsid w:val="00313A56"/>
    <w:rsid w:val="00314949"/>
    <w:rsid w:val="00315F8A"/>
    <w:rsid w:val="00316730"/>
    <w:rsid w:val="00316D58"/>
    <w:rsid w:val="00317798"/>
    <w:rsid w:val="003212BB"/>
    <w:rsid w:val="00321C92"/>
    <w:rsid w:val="00321E62"/>
    <w:rsid w:val="003235DF"/>
    <w:rsid w:val="00323ABC"/>
    <w:rsid w:val="00324A7C"/>
    <w:rsid w:val="00324FE5"/>
    <w:rsid w:val="0032523E"/>
    <w:rsid w:val="003300CD"/>
    <w:rsid w:val="00330362"/>
    <w:rsid w:val="00330F9A"/>
    <w:rsid w:val="00333EC9"/>
    <w:rsid w:val="0033479F"/>
    <w:rsid w:val="0033515C"/>
    <w:rsid w:val="003361BA"/>
    <w:rsid w:val="00336BF8"/>
    <w:rsid w:val="00336D53"/>
    <w:rsid w:val="00342356"/>
    <w:rsid w:val="00343425"/>
    <w:rsid w:val="0034386B"/>
    <w:rsid w:val="00344660"/>
    <w:rsid w:val="00346D73"/>
    <w:rsid w:val="003473C6"/>
    <w:rsid w:val="00350271"/>
    <w:rsid w:val="003502E7"/>
    <w:rsid w:val="0035315E"/>
    <w:rsid w:val="00355C69"/>
    <w:rsid w:val="003560A0"/>
    <w:rsid w:val="00356633"/>
    <w:rsid w:val="0035676B"/>
    <w:rsid w:val="00357B15"/>
    <w:rsid w:val="00361056"/>
    <w:rsid w:val="00361AA1"/>
    <w:rsid w:val="00361D26"/>
    <w:rsid w:val="0036386A"/>
    <w:rsid w:val="00366549"/>
    <w:rsid w:val="00366631"/>
    <w:rsid w:val="00367021"/>
    <w:rsid w:val="003702E3"/>
    <w:rsid w:val="00371002"/>
    <w:rsid w:val="00372156"/>
    <w:rsid w:val="003722AE"/>
    <w:rsid w:val="00374744"/>
    <w:rsid w:val="0037561F"/>
    <w:rsid w:val="0037563A"/>
    <w:rsid w:val="0037680A"/>
    <w:rsid w:val="00377273"/>
    <w:rsid w:val="00380849"/>
    <w:rsid w:val="003818DB"/>
    <w:rsid w:val="003834CD"/>
    <w:rsid w:val="00383908"/>
    <w:rsid w:val="00391614"/>
    <w:rsid w:val="003922B2"/>
    <w:rsid w:val="0039344F"/>
    <w:rsid w:val="003966E6"/>
    <w:rsid w:val="003968D7"/>
    <w:rsid w:val="003A2BAD"/>
    <w:rsid w:val="003A34DF"/>
    <w:rsid w:val="003A35B4"/>
    <w:rsid w:val="003A4149"/>
    <w:rsid w:val="003A56AE"/>
    <w:rsid w:val="003A613D"/>
    <w:rsid w:val="003A6341"/>
    <w:rsid w:val="003A6CEB"/>
    <w:rsid w:val="003B3A5F"/>
    <w:rsid w:val="003B4F6E"/>
    <w:rsid w:val="003B5338"/>
    <w:rsid w:val="003B5B5E"/>
    <w:rsid w:val="003B6C3A"/>
    <w:rsid w:val="003B7229"/>
    <w:rsid w:val="003B742F"/>
    <w:rsid w:val="003C0942"/>
    <w:rsid w:val="003C1DDF"/>
    <w:rsid w:val="003C36C3"/>
    <w:rsid w:val="003C5283"/>
    <w:rsid w:val="003C5CC6"/>
    <w:rsid w:val="003C6525"/>
    <w:rsid w:val="003C7087"/>
    <w:rsid w:val="003C7C09"/>
    <w:rsid w:val="003D12C7"/>
    <w:rsid w:val="003D1E96"/>
    <w:rsid w:val="003D228B"/>
    <w:rsid w:val="003D3AD2"/>
    <w:rsid w:val="003D4875"/>
    <w:rsid w:val="003D4CD7"/>
    <w:rsid w:val="003D4D7C"/>
    <w:rsid w:val="003D5A09"/>
    <w:rsid w:val="003D6601"/>
    <w:rsid w:val="003D68CF"/>
    <w:rsid w:val="003E3F9C"/>
    <w:rsid w:val="003E5B68"/>
    <w:rsid w:val="003E63B7"/>
    <w:rsid w:val="003F000C"/>
    <w:rsid w:val="003F0864"/>
    <w:rsid w:val="003F08B1"/>
    <w:rsid w:val="003F21BE"/>
    <w:rsid w:val="003F36FB"/>
    <w:rsid w:val="003F54C2"/>
    <w:rsid w:val="003F5977"/>
    <w:rsid w:val="003F5FAA"/>
    <w:rsid w:val="003F660A"/>
    <w:rsid w:val="003F6805"/>
    <w:rsid w:val="004015F9"/>
    <w:rsid w:val="004017BD"/>
    <w:rsid w:val="00401BD0"/>
    <w:rsid w:val="00401E3E"/>
    <w:rsid w:val="00402083"/>
    <w:rsid w:val="004023AC"/>
    <w:rsid w:val="00402514"/>
    <w:rsid w:val="004047D4"/>
    <w:rsid w:val="00404FF5"/>
    <w:rsid w:val="0040513F"/>
    <w:rsid w:val="00405DE7"/>
    <w:rsid w:val="004114C8"/>
    <w:rsid w:val="00411A5F"/>
    <w:rsid w:val="0041223B"/>
    <w:rsid w:val="00413EAF"/>
    <w:rsid w:val="00414097"/>
    <w:rsid w:val="0041681F"/>
    <w:rsid w:val="00420320"/>
    <w:rsid w:val="00420465"/>
    <w:rsid w:val="004212E5"/>
    <w:rsid w:val="004213AF"/>
    <w:rsid w:val="004231F5"/>
    <w:rsid w:val="004234C7"/>
    <w:rsid w:val="00425AF8"/>
    <w:rsid w:val="00432ABB"/>
    <w:rsid w:val="004332D2"/>
    <w:rsid w:val="00437FF5"/>
    <w:rsid w:val="004407C8"/>
    <w:rsid w:val="00440BAD"/>
    <w:rsid w:val="004421D2"/>
    <w:rsid w:val="00444661"/>
    <w:rsid w:val="004449CF"/>
    <w:rsid w:val="00445772"/>
    <w:rsid w:val="00447771"/>
    <w:rsid w:val="00451F56"/>
    <w:rsid w:val="0045206C"/>
    <w:rsid w:val="00454362"/>
    <w:rsid w:val="004550A1"/>
    <w:rsid w:val="00456177"/>
    <w:rsid w:val="00457FB3"/>
    <w:rsid w:val="0046101E"/>
    <w:rsid w:val="00461245"/>
    <w:rsid w:val="004615CF"/>
    <w:rsid w:val="00461944"/>
    <w:rsid w:val="00462EBA"/>
    <w:rsid w:val="00464188"/>
    <w:rsid w:val="00465788"/>
    <w:rsid w:val="00470EC3"/>
    <w:rsid w:val="0047239D"/>
    <w:rsid w:val="00476758"/>
    <w:rsid w:val="0047737C"/>
    <w:rsid w:val="00477CF8"/>
    <w:rsid w:val="00480A02"/>
    <w:rsid w:val="004811E9"/>
    <w:rsid w:val="0048168F"/>
    <w:rsid w:val="00483EC4"/>
    <w:rsid w:val="00484092"/>
    <w:rsid w:val="0048413A"/>
    <w:rsid w:val="00484169"/>
    <w:rsid w:val="00491740"/>
    <w:rsid w:val="00492958"/>
    <w:rsid w:val="00493E8C"/>
    <w:rsid w:val="004949CB"/>
    <w:rsid w:val="00494BA8"/>
    <w:rsid w:val="00495AC5"/>
    <w:rsid w:val="00495E63"/>
    <w:rsid w:val="004965A3"/>
    <w:rsid w:val="00497980"/>
    <w:rsid w:val="00497BA3"/>
    <w:rsid w:val="004A210E"/>
    <w:rsid w:val="004A49E6"/>
    <w:rsid w:val="004A65C7"/>
    <w:rsid w:val="004B1E1E"/>
    <w:rsid w:val="004B2480"/>
    <w:rsid w:val="004B3905"/>
    <w:rsid w:val="004B4E1A"/>
    <w:rsid w:val="004B5601"/>
    <w:rsid w:val="004B5B20"/>
    <w:rsid w:val="004C303A"/>
    <w:rsid w:val="004C398B"/>
    <w:rsid w:val="004C3DC3"/>
    <w:rsid w:val="004C4272"/>
    <w:rsid w:val="004C47B1"/>
    <w:rsid w:val="004C4F3B"/>
    <w:rsid w:val="004D03B2"/>
    <w:rsid w:val="004D141E"/>
    <w:rsid w:val="004D4769"/>
    <w:rsid w:val="004E0BDD"/>
    <w:rsid w:val="004E2867"/>
    <w:rsid w:val="004E33A8"/>
    <w:rsid w:val="004E3B3E"/>
    <w:rsid w:val="004E3BD7"/>
    <w:rsid w:val="004E4887"/>
    <w:rsid w:val="004E6614"/>
    <w:rsid w:val="004F016F"/>
    <w:rsid w:val="004F1646"/>
    <w:rsid w:val="004F1EC6"/>
    <w:rsid w:val="004F7298"/>
    <w:rsid w:val="004F7D22"/>
    <w:rsid w:val="004F7D60"/>
    <w:rsid w:val="004F7EF7"/>
    <w:rsid w:val="00500587"/>
    <w:rsid w:val="00505758"/>
    <w:rsid w:val="005069A6"/>
    <w:rsid w:val="00512948"/>
    <w:rsid w:val="005129DA"/>
    <w:rsid w:val="00512C73"/>
    <w:rsid w:val="00513612"/>
    <w:rsid w:val="00513D8E"/>
    <w:rsid w:val="00514078"/>
    <w:rsid w:val="005143F4"/>
    <w:rsid w:val="00515EEF"/>
    <w:rsid w:val="005174D6"/>
    <w:rsid w:val="0051786C"/>
    <w:rsid w:val="00517E71"/>
    <w:rsid w:val="005208FF"/>
    <w:rsid w:val="00521468"/>
    <w:rsid w:val="005216B2"/>
    <w:rsid w:val="00526655"/>
    <w:rsid w:val="00526735"/>
    <w:rsid w:val="005269FD"/>
    <w:rsid w:val="00526B32"/>
    <w:rsid w:val="0053126F"/>
    <w:rsid w:val="00531CC5"/>
    <w:rsid w:val="00535054"/>
    <w:rsid w:val="005357D9"/>
    <w:rsid w:val="00536175"/>
    <w:rsid w:val="00536B5F"/>
    <w:rsid w:val="005374A2"/>
    <w:rsid w:val="00541F2E"/>
    <w:rsid w:val="0054224C"/>
    <w:rsid w:val="0054390E"/>
    <w:rsid w:val="0054416C"/>
    <w:rsid w:val="00544390"/>
    <w:rsid w:val="0054446A"/>
    <w:rsid w:val="00544781"/>
    <w:rsid w:val="00544DF2"/>
    <w:rsid w:val="005460E0"/>
    <w:rsid w:val="005465E8"/>
    <w:rsid w:val="005468D6"/>
    <w:rsid w:val="00546CB0"/>
    <w:rsid w:val="005470AF"/>
    <w:rsid w:val="00547F47"/>
    <w:rsid w:val="00550982"/>
    <w:rsid w:val="0055185F"/>
    <w:rsid w:val="00551F7B"/>
    <w:rsid w:val="00553A7C"/>
    <w:rsid w:val="00553D53"/>
    <w:rsid w:val="00554E32"/>
    <w:rsid w:val="00555B39"/>
    <w:rsid w:val="00557612"/>
    <w:rsid w:val="0056086D"/>
    <w:rsid w:val="00561C6B"/>
    <w:rsid w:val="00561EF6"/>
    <w:rsid w:val="00563BFF"/>
    <w:rsid w:val="0056729C"/>
    <w:rsid w:val="005679CF"/>
    <w:rsid w:val="0057086A"/>
    <w:rsid w:val="005718ED"/>
    <w:rsid w:val="00575DCC"/>
    <w:rsid w:val="005771B4"/>
    <w:rsid w:val="00577530"/>
    <w:rsid w:val="00577905"/>
    <w:rsid w:val="0058153F"/>
    <w:rsid w:val="00581A56"/>
    <w:rsid w:val="0058301B"/>
    <w:rsid w:val="00590937"/>
    <w:rsid w:val="00591539"/>
    <w:rsid w:val="0059166A"/>
    <w:rsid w:val="00591C26"/>
    <w:rsid w:val="00592733"/>
    <w:rsid w:val="00593B59"/>
    <w:rsid w:val="00594581"/>
    <w:rsid w:val="00595DBA"/>
    <w:rsid w:val="00595DBC"/>
    <w:rsid w:val="005967A7"/>
    <w:rsid w:val="005A04C2"/>
    <w:rsid w:val="005A0BAA"/>
    <w:rsid w:val="005A2661"/>
    <w:rsid w:val="005A26F8"/>
    <w:rsid w:val="005A2D7F"/>
    <w:rsid w:val="005A56E0"/>
    <w:rsid w:val="005A7AFE"/>
    <w:rsid w:val="005B4D22"/>
    <w:rsid w:val="005C187A"/>
    <w:rsid w:val="005C1FC7"/>
    <w:rsid w:val="005C2CE8"/>
    <w:rsid w:val="005C2FC8"/>
    <w:rsid w:val="005C307B"/>
    <w:rsid w:val="005C4096"/>
    <w:rsid w:val="005C4963"/>
    <w:rsid w:val="005C4BBA"/>
    <w:rsid w:val="005C5840"/>
    <w:rsid w:val="005C68B4"/>
    <w:rsid w:val="005C7352"/>
    <w:rsid w:val="005D0434"/>
    <w:rsid w:val="005D15A3"/>
    <w:rsid w:val="005D1AB5"/>
    <w:rsid w:val="005D2343"/>
    <w:rsid w:val="005D23DB"/>
    <w:rsid w:val="005D297C"/>
    <w:rsid w:val="005D3F75"/>
    <w:rsid w:val="005D406D"/>
    <w:rsid w:val="005D545C"/>
    <w:rsid w:val="005D5825"/>
    <w:rsid w:val="005D5A4A"/>
    <w:rsid w:val="005D653E"/>
    <w:rsid w:val="005D78F9"/>
    <w:rsid w:val="005E33F5"/>
    <w:rsid w:val="005E3B28"/>
    <w:rsid w:val="005E44E8"/>
    <w:rsid w:val="005F0CC2"/>
    <w:rsid w:val="005F439F"/>
    <w:rsid w:val="005F77DA"/>
    <w:rsid w:val="006007F9"/>
    <w:rsid w:val="00600B5F"/>
    <w:rsid w:val="006017A2"/>
    <w:rsid w:val="0060361B"/>
    <w:rsid w:val="00605275"/>
    <w:rsid w:val="006073A2"/>
    <w:rsid w:val="006073AB"/>
    <w:rsid w:val="0060796B"/>
    <w:rsid w:val="00607FC4"/>
    <w:rsid w:val="006100F5"/>
    <w:rsid w:val="00611A8E"/>
    <w:rsid w:val="00613398"/>
    <w:rsid w:val="006136B0"/>
    <w:rsid w:val="0061467E"/>
    <w:rsid w:val="006156FD"/>
    <w:rsid w:val="00615C30"/>
    <w:rsid w:val="00617828"/>
    <w:rsid w:val="00617A09"/>
    <w:rsid w:val="00623082"/>
    <w:rsid w:val="00624881"/>
    <w:rsid w:val="00624B2F"/>
    <w:rsid w:val="00624F31"/>
    <w:rsid w:val="00626473"/>
    <w:rsid w:val="00626B3F"/>
    <w:rsid w:val="006276DF"/>
    <w:rsid w:val="00627A1C"/>
    <w:rsid w:val="00632971"/>
    <w:rsid w:val="00634507"/>
    <w:rsid w:val="00635112"/>
    <w:rsid w:val="00635159"/>
    <w:rsid w:val="00640F08"/>
    <w:rsid w:val="00642C91"/>
    <w:rsid w:val="00643A9E"/>
    <w:rsid w:val="00644D38"/>
    <w:rsid w:val="00645647"/>
    <w:rsid w:val="00646E74"/>
    <w:rsid w:val="00646FF7"/>
    <w:rsid w:val="006500AC"/>
    <w:rsid w:val="00650301"/>
    <w:rsid w:val="00651323"/>
    <w:rsid w:val="00652800"/>
    <w:rsid w:val="00652F24"/>
    <w:rsid w:val="00653549"/>
    <w:rsid w:val="006537EB"/>
    <w:rsid w:val="00653FDF"/>
    <w:rsid w:val="00655DC8"/>
    <w:rsid w:val="00656A65"/>
    <w:rsid w:val="006578BB"/>
    <w:rsid w:val="00657A0F"/>
    <w:rsid w:val="00660326"/>
    <w:rsid w:val="00660D6F"/>
    <w:rsid w:val="00662CDB"/>
    <w:rsid w:val="00663088"/>
    <w:rsid w:val="006645BE"/>
    <w:rsid w:val="006648F5"/>
    <w:rsid w:val="00664EA0"/>
    <w:rsid w:val="0067044E"/>
    <w:rsid w:val="00670D17"/>
    <w:rsid w:val="00671040"/>
    <w:rsid w:val="0067321D"/>
    <w:rsid w:val="006734B3"/>
    <w:rsid w:val="0067356E"/>
    <w:rsid w:val="00673D6E"/>
    <w:rsid w:val="00675507"/>
    <w:rsid w:val="006811AD"/>
    <w:rsid w:val="00682941"/>
    <w:rsid w:val="00685DE6"/>
    <w:rsid w:val="006907EE"/>
    <w:rsid w:val="00690E92"/>
    <w:rsid w:val="00691C2F"/>
    <w:rsid w:val="006923A3"/>
    <w:rsid w:val="006947B7"/>
    <w:rsid w:val="00694813"/>
    <w:rsid w:val="00695445"/>
    <w:rsid w:val="0069575E"/>
    <w:rsid w:val="006969E7"/>
    <w:rsid w:val="006A07CA"/>
    <w:rsid w:val="006A207B"/>
    <w:rsid w:val="006A2E42"/>
    <w:rsid w:val="006A3618"/>
    <w:rsid w:val="006A38ED"/>
    <w:rsid w:val="006A410E"/>
    <w:rsid w:val="006A5032"/>
    <w:rsid w:val="006A5B0E"/>
    <w:rsid w:val="006A788C"/>
    <w:rsid w:val="006A7933"/>
    <w:rsid w:val="006A7D34"/>
    <w:rsid w:val="006A7D87"/>
    <w:rsid w:val="006B021F"/>
    <w:rsid w:val="006B2ED5"/>
    <w:rsid w:val="006B3246"/>
    <w:rsid w:val="006B3307"/>
    <w:rsid w:val="006B4DED"/>
    <w:rsid w:val="006B6240"/>
    <w:rsid w:val="006C03AC"/>
    <w:rsid w:val="006C0927"/>
    <w:rsid w:val="006C1819"/>
    <w:rsid w:val="006C29FB"/>
    <w:rsid w:val="006D0366"/>
    <w:rsid w:val="006D0B94"/>
    <w:rsid w:val="006D117E"/>
    <w:rsid w:val="006D1BE7"/>
    <w:rsid w:val="006D2445"/>
    <w:rsid w:val="006D3593"/>
    <w:rsid w:val="006D3F0B"/>
    <w:rsid w:val="006D5097"/>
    <w:rsid w:val="006D5799"/>
    <w:rsid w:val="006D60AB"/>
    <w:rsid w:val="006D6A24"/>
    <w:rsid w:val="006D6B92"/>
    <w:rsid w:val="006E10BF"/>
    <w:rsid w:val="006E1721"/>
    <w:rsid w:val="006E1B49"/>
    <w:rsid w:val="006E2489"/>
    <w:rsid w:val="006E2F51"/>
    <w:rsid w:val="006E32DB"/>
    <w:rsid w:val="006E43E0"/>
    <w:rsid w:val="006E4DA8"/>
    <w:rsid w:val="006E6D27"/>
    <w:rsid w:val="006E7CF8"/>
    <w:rsid w:val="006F0257"/>
    <w:rsid w:val="006F0654"/>
    <w:rsid w:val="006F0B62"/>
    <w:rsid w:val="006F0F2D"/>
    <w:rsid w:val="006F1187"/>
    <w:rsid w:val="006F1516"/>
    <w:rsid w:val="006F4A07"/>
    <w:rsid w:val="006F690E"/>
    <w:rsid w:val="006F74C9"/>
    <w:rsid w:val="00700AED"/>
    <w:rsid w:val="0070202F"/>
    <w:rsid w:val="00702379"/>
    <w:rsid w:val="007057CE"/>
    <w:rsid w:val="007065B1"/>
    <w:rsid w:val="00706C3C"/>
    <w:rsid w:val="007073F6"/>
    <w:rsid w:val="007111F3"/>
    <w:rsid w:val="007118F5"/>
    <w:rsid w:val="0071286E"/>
    <w:rsid w:val="007133CF"/>
    <w:rsid w:val="00713CFD"/>
    <w:rsid w:val="00714F9B"/>
    <w:rsid w:val="0071506D"/>
    <w:rsid w:val="0071549D"/>
    <w:rsid w:val="00715EC6"/>
    <w:rsid w:val="007161BE"/>
    <w:rsid w:val="007172DD"/>
    <w:rsid w:val="00720431"/>
    <w:rsid w:val="00722C48"/>
    <w:rsid w:val="007266C3"/>
    <w:rsid w:val="007308CD"/>
    <w:rsid w:val="00730E57"/>
    <w:rsid w:val="007317AD"/>
    <w:rsid w:val="0073319E"/>
    <w:rsid w:val="00733D51"/>
    <w:rsid w:val="00734278"/>
    <w:rsid w:val="0073468D"/>
    <w:rsid w:val="00734F58"/>
    <w:rsid w:val="007351C9"/>
    <w:rsid w:val="007364FC"/>
    <w:rsid w:val="00736753"/>
    <w:rsid w:val="00740B1E"/>
    <w:rsid w:val="0074108E"/>
    <w:rsid w:val="00741135"/>
    <w:rsid w:val="00742E5F"/>
    <w:rsid w:val="00742F27"/>
    <w:rsid w:val="00742FDD"/>
    <w:rsid w:val="007435E3"/>
    <w:rsid w:val="00744AB6"/>
    <w:rsid w:val="007451EC"/>
    <w:rsid w:val="00745803"/>
    <w:rsid w:val="00751279"/>
    <w:rsid w:val="00751324"/>
    <w:rsid w:val="00751DAF"/>
    <w:rsid w:val="00753159"/>
    <w:rsid w:val="0075515A"/>
    <w:rsid w:val="0075525F"/>
    <w:rsid w:val="007569BB"/>
    <w:rsid w:val="00757A58"/>
    <w:rsid w:val="00761508"/>
    <w:rsid w:val="00761571"/>
    <w:rsid w:val="00761688"/>
    <w:rsid w:val="00761FD2"/>
    <w:rsid w:val="007626C9"/>
    <w:rsid w:val="00764773"/>
    <w:rsid w:val="00764B9C"/>
    <w:rsid w:val="0076624E"/>
    <w:rsid w:val="00766D29"/>
    <w:rsid w:val="007671FA"/>
    <w:rsid w:val="007712FB"/>
    <w:rsid w:val="007717E2"/>
    <w:rsid w:val="00773C6E"/>
    <w:rsid w:val="007740D4"/>
    <w:rsid w:val="00774106"/>
    <w:rsid w:val="007756B0"/>
    <w:rsid w:val="007808FF"/>
    <w:rsid w:val="00780B5E"/>
    <w:rsid w:val="00782959"/>
    <w:rsid w:val="00782E30"/>
    <w:rsid w:val="007840AD"/>
    <w:rsid w:val="00785E5E"/>
    <w:rsid w:val="0078600B"/>
    <w:rsid w:val="00790676"/>
    <w:rsid w:val="00790E00"/>
    <w:rsid w:val="00791410"/>
    <w:rsid w:val="007928EF"/>
    <w:rsid w:val="007937AE"/>
    <w:rsid w:val="00793DE6"/>
    <w:rsid w:val="00793E8B"/>
    <w:rsid w:val="007953B4"/>
    <w:rsid w:val="007958F2"/>
    <w:rsid w:val="00795A0D"/>
    <w:rsid w:val="007976BE"/>
    <w:rsid w:val="007A1A81"/>
    <w:rsid w:val="007A1B5F"/>
    <w:rsid w:val="007A4F3E"/>
    <w:rsid w:val="007A5985"/>
    <w:rsid w:val="007A6A68"/>
    <w:rsid w:val="007A777F"/>
    <w:rsid w:val="007B10F6"/>
    <w:rsid w:val="007B1BE5"/>
    <w:rsid w:val="007B368E"/>
    <w:rsid w:val="007B3CB4"/>
    <w:rsid w:val="007B41E3"/>
    <w:rsid w:val="007B5B14"/>
    <w:rsid w:val="007B5D05"/>
    <w:rsid w:val="007B745E"/>
    <w:rsid w:val="007C0437"/>
    <w:rsid w:val="007C139D"/>
    <w:rsid w:val="007C304F"/>
    <w:rsid w:val="007C51C3"/>
    <w:rsid w:val="007C5C4A"/>
    <w:rsid w:val="007C71F5"/>
    <w:rsid w:val="007C78D3"/>
    <w:rsid w:val="007C7B57"/>
    <w:rsid w:val="007D127B"/>
    <w:rsid w:val="007D2DD6"/>
    <w:rsid w:val="007D3977"/>
    <w:rsid w:val="007D5138"/>
    <w:rsid w:val="007D6A05"/>
    <w:rsid w:val="007D6E52"/>
    <w:rsid w:val="007E0C5E"/>
    <w:rsid w:val="007E0D11"/>
    <w:rsid w:val="007E1330"/>
    <w:rsid w:val="007E2C00"/>
    <w:rsid w:val="007E2DE9"/>
    <w:rsid w:val="007E3EB8"/>
    <w:rsid w:val="007E4FA1"/>
    <w:rsid w:val="007E7BE8"/>
    <w:rsid w:val="007F159F"/>
    <w:rsid w:val="007F1DF7"/>
    <w:rsid w:val="007F20CA"/>
    <w:rsid w:val="007F4C86"/>
    <w:rsid w:val="007F6565"/>
    <w:rsid w:val="007F6F6D"/>
    <w:rsid w:val="007F70CC"/>
    <w:rsid w:val="007F7257"/>
    <w:rsid w:val="007F7FFC"/>
    <w:rsid w:val="008008BD"/>
    <w:rsid w:val="00805ADB"/>
    <w:rsid w:val="00805B5F"/>
    <w:rsid w:val="00810152"/>
    <w:rsid w:val="00812452"/>
    <w:rsid w:val="00812CF9"/>
    <w:rsid w:val="00813F92"/>
    <w:rsid w:val="008155AA"/>
    <w:rsid w:val="00816383"/>
    <w:rsid w:val="00826923"/>
    <w:rsid w:val="00827BE5"/>
    <w:rsid w:val="00831FF5"/>
    <w:rsid w:val="008335A0"/>
    <w:rsid w:val="00833EF8"/>
    <w:rsid w:val="0083461E"/>
    <w:rsid w:val="00834A9F"/>
    <w:rsid w:val="008364C7"/>
    <w:rsid w:val="008364E5"/>
    <w:rsid w:val="00837B04"/>
    <w:rsid w:val="0084221C"/>
    <w:rsid w:val="0084393C"/>
    <w:rsid w:val="00846294"/>
    <w:rsid w:val="008469C5"/>
    <w:rsid w:val="00847A89"/>
    <w:rsid w:val="00847F79"/>
    <w:rsid w:val="00851465"/>
    <w:rsid w:val="00853068"/>
    <w:rsid w:val="008530F5"/>
    <w:rsid w:val="008556FD"/>
    <w:rsid w:val="00861669"/>
    <w:rsid w:val="00861DA8"/>
    <w:rsid w:val="008632DB"/>
    <w:rsid w:val="008640A5"/>
    <w:rsid w:val="008640DA"/>
    <w:rsid w:val="00865821"/>
    <w:rsid w:val="00865AFA"/>
    <w:rsid w:val="00865FA0"/>
    <w:rsid w:val="008664A8"/>
    <w:rsid w:val="00866E96"/>
    <w:rsid w:val="00867638"/>
    <w:rsid w:val="00872588"/>
    <w:rsid w:val="00874634"/>
    <w:rsid w:val="008758A7"/>
    <w:rsid w:val="00875EA5"/>
    <w:rsid w:val="00876188"/>
    <w:rsid w:val="008764CB"/>
    <w:rsid w:val="00880732"/>
    <w:rsid w:val="00881D4B"/>
    <w:rsid w:val="00882BE3"/>
    <w:rsid w:val="008832D2"/>
    <w:rsid w:val="00886512"/>
    <w:rsid w:val="00886681"/>
    <w:rsid w:val="008872C0"/>
    <w:rsid w:val="00890417"/>
    <w:rsid w:val="00890FC3"/>
    <w:rsid w:val="00891179"/>
    <w:rsid w:val="00891AE7"/>
    <w:rsid w:val="00892372"/>
    <w:rsid w:val="00894B9F"/>
    <w:rsid w:val="00895B62"/>
    <w:rsid w:val="00895F3F"/>
    <w:rsid w:val="008A1155"/>
    <w:rsid w:val="008A3181"/>
    <w:rsid w:val="008A638A"/>
    <w:rsid w:val="008A7FFC"/>
    <w:rsid w:val="008B0614"/>
    <w:rsid w:val="008B0ED3"/>
    <w:rsid w:val="008B14D5"/>
    <w:rsid w:val="008B1B75"/>
    <w:rsid w:val="008B1B93"/>
    <w:rsid w:val="008B3378"/>
    <w:rsid w:val="008B3518"/>
    <w:rsid w:val="008B35EC"/>
    <w:rsid w:val="008B51D9"/>
    <w:rsid w:val="008B5A12"/>
    <w:rsid w:val="008B5D95"/>
    <w:rsid w:val="008B7E23"/>
    <w:rsid w:val="008C01E3"/>
    <w:rsid w:val="008C70FB"/>
    <w:rsid w:val="008C782A"/>
    <w:rsid w:val="008D3486"/>
    <w:rsid w:val="008D5D48"/>
    <w:rsid w:val="008D69A4"/>
    <w:rsid w:val="008D6F8A"/>
    <w:rsid w:val="008E1083"/>
    <w:rsid w:val="008E3872"/>
    <w:rsid w:val="008E3F9E"/>
    <w:rsid w:val="008E403F"/>
    <w:rsid w:val="008E4168"/>
    <w:rsid w:val="008E729D"/>
    <w:rsid w:val="008F4C0A"/>
    <w:rsid w:val="008F5112"/>
    <w:rsid w:val="008F5A72"/>
    <w:rsid w:val="008F6703"/>
    <w:rsid w:val="00900D78"/>
    <w:rsid w:val="00901C1E"/>
    <w:rsid w:val="00902324"/>
    <w:rsid w:val="009028F0"/>
    <w:rsid w:val="00907A34"/>
    <w:rsid w:val="00910D51"/>
    <w:rsid w:val="00910FE1"/>
    <w:rsid w:val="0091166F"/>
    <w:rsid w:val="0091229B"/>
    <w:rsid w:val="00912D25"/>
    <w:rsid w:val="00913145"/>
    <w:rsid w:val="009134FB"/>
    <w:rsid w:val="00915C96"/>
    <w:rsid w:val="00915D77"/>
    <w:rsid w:val="00916DF8"/>
    <w:rsid w:val="009171E0"/>
    <w:rsid w:val="0091758E"/>
    <w:rsid w:val="009216A8"/>
    <w:rsid w:val="00921C68"/>
    <w:rsid w:val="0092358A"/>
    <w:rsid w:val="0092673B"/>
    <w:rsid w:val="009269C2"/>
    <w:rsid w:val="00927C73"/>
    <w:rsid w:val="00931159"/>
    <w:rsid w:val="0093134E"/>
    <w:rsid w:val="00931786"/>
    <w:rsid w:val="00931E8C"/>
    <w:rsid w:val="009331D1"/>
    <w:rsid w:val="00937ABE"/>
    <w:rsid w:val="0094203D"/>
    <w:rsid w:val="009423C4"/>
    <w:rsid w:val="009439F8"/>
    <w:rsid w:val="00945925"/>
    <w:rsid w:val="00952C7D"/>
    <w:rsid w:val="00952DE4"/>
    <w:rsid w:val="00952FEB"/>
    <w:rsid w:val="00953C30"/>
    <w:rsid w:val="009568EF"/>
    <w:rsid w:val="00956B79"/>
    <w:rsid w:val="009571B0"/>
    <w:rsid w:val="00957A3F"/>
    <w:rsid w:val="00957D9B"/>
    <w:rsid w:val="00960030"/>
    <w:rsid w:val="00963DBA"/>
    <w:rsid w:val="009641C3"/>
    <w:rsid w:val="0096438B"/>
    <w:rsid w:val="00965E55"/>
    <w:rsid w:val="00965F6B"/>
    <w:rsid w:val="00970D92"/>
    <w:rsid w:val="00970F4C"/>
    <w:rsid w:val="0097130A"/>
    <w:rsid w:val="00972EA3"/>
    <w:rsid w:val="009740FB"/>
    <w:rsid w:val="00974D94"/>
    <w:rsid w:val="0097614C"/>
    <w:rsid w:val="00976ECC"/>
    <w:rsid w:val="009774FE"/>
    <w:rsid w:val="00977AD1"/>
    <w:rsid w:val="009832F8"/>
    <w:rsid w:val="009839DA"/>
    <w:rsid w:val="00985356"/>
    <w:rsid w:val="00985E49"/>
    <w:rsid w:val="00986471"/>
    <w:rsid w:val="00991418"/>
    <w:rsid w:val="00992F7E"/>
    <w:rsid w:val="00994476"/>
    <w:rsid w:val="00994B0E"/>
    <w:rsid w:val="0099700D"/>
    <w:rsid w:val="009970DD"/>
    <w:rsid w:val="00997347"/>
    <w:rsid w:val="00997932"/>
    <w:rsid w:val="009A012A"/>
    <w:rsid w:val="009A1CD3"/>
    <w:rsid w:val="009A3BC9"/>
    <w:rsid w:val="009A44A4"/>
    <w:rsid w:val="009A4A5D"/>
    <w:rsid w:val="009A5EEF"/>
    <w:rsid w:val="009A7585"/>
    <w:rsid w:val="009B0F1F"/>
    <w:rsid w:val="009B18EB"/>
    <w:rsid w:val="009B1AEE"/>
    <w:rsid w:val="009B2A43"/>
    <w:rsid w:val="009B5AF5"/>
    <w:rsid w:val="009B5D1A"/>
    <w:rsid w:val="009B7273"/>
    <w:rsid w:val="009B7CD7"/>
    <w:rsid w:val="009C0318"/>
    <w:rsid w:val="009C04A3"/>
    <w:rsid w:val="009C1204"/>
    <w:rsid w:val="009C153E"/>
    <w:rsid w:val="009C28DE"/>
    <w:rsid w:val="009C2C5E"/>
    <w:rsid w:val="009C35D9"/>
    <w:rsid w:val="009C57C3"/>
    <w:rsid w:val="009D0838"/>
    <w:rsid w:val="009D0C9F"/>
    <w:rsid w:val="009D10B2"/>
    <w:rsid w:val="009D2543"/>
    <w:rsid w:val="009D64E4"/>
    <w:rsid w:val="009E20F1"/>
    <w:rsid w:val="009E329B"/>
    <w:rsid w:val="009E38EA"/>
    <w:rsid w:val="009E5135"/>
    <w:rsid w:val="009E5594"/>
    <w:rsid w:val="009E6586"/>
    <w:rsid w:val="009E666E"/>
    <w:rsid w:val="009F1765"/>
    <w:rsid w:val="009F2B02"/>
    <w:rsid w:val="009F376A"/>
    <w:rsid w:val="009F3EEE"/>
    <w:rsid w:val="009F517D"/>
    <w:rsid w:val="009F5E46"/>
    <w:rsid w:val="009F6554"/>
    <w:rsid w:val="009F7102"/>
    <w:rsid w:val="009F7F98"/>
    <w:rsid w:val="00A02F58"/>
    <w:rsid w:val="00A032AE"/>
    <w:rsid w:val="00A048D2"/>
    <w:rsid w:val="00A072B2"/>
    <w:rsid w:val="00A07DD6"/>
    <w:rsid w:val="00A10DAC"/>
    <w:rsid w:val="00A10F0D"/>
    <w:rsid w:val="00A12279"/>
    <w:rsid w:val="00A144C6"/>
    <w:rsid w:val="00A14BAE"/>
    <w:rsid w:val="00A24F73"/>
    <w:rsid w:val="00A27C86"/>
    <w:rsid w:val="00A30F4D"/>
    <w:rsid w:val="00A31988"/>
    <w:rsid w:val="00A327A5"/>
    <w:rsid w:val="00A33BF1"/>
    <w:rsid w:val="00A34FE2"/>
    <w:rsid w:val="00A35FDA"/>
    <w:rsid w:val="00A360E8"/>
    <w:rsid w:val="00A36EA0"/>
    <w:rsid w:val="00A3798C"/>
    <w:rsid w:val="00A4001E"/>
    <w:rsid w:val="00A40965"/>
    <w:rsid w:val="00A41736"/>
    <w:rsid w:val="00A41755"/>
    <w:rsid w:val="00A41F3E"/>
    <w:rsid w:val="00A4395F"/>
    <w:rsid w:val="00A43B9C"/>
    <w:rsid w:val="00A4581B"/>
    <w:rsid w:val="00A45BD4"/>
    <w:rsid w:val="00A46B06"/>
    <w:rsid w:val="00A471E3"/>
    <w:rsid w:val="00A47DDA"/>
    <w:rsid w:val="00A509C6"/>
    <w:rsid w:val="00A52A49"/>
    <w:rsid w:val="00A53C94"/>
    <w:rsid w:val="00A53DBD"/>
    <w:rsid w:val="00A5420C"/>
    <w:rsid w:val="00A54EC4"/>
    <w:rsid w:val="00A55CAE"/>
    <w:rsid w:val="00A56DD8"/>
    <w:rsid w:val="00A56ED1"/>
    <w:rsid w:val="00A5775D"/>
    <w:rsid w:val="00A6017D"/>
    <w:rsid w:val="00A628FA"/>
    <w:rsid w:val="00A63067"/>
    <w:rsid w:val="00A64309"/>
    <w:rsid w:val="00A64335"/>
    <w:rsid w:val="00A6484C"/>
    <w:rsid w:val="00A64A02"/>
    <w:rsid w:val="00A656C0"/>
    <w:rsid w:val="00A66400"/>
    <w:rsid w:val="00A66688"/>
    <w:rsid w:val="00A667C9"/>
    <w:rsid w:val="00A73153"/>
    <w:rsid w:val="00A7348B"/>
    <w:rsid w:val="00A7554A"/>
    <w:rsid w:val="00A77540"/>
    <w:rsid w:val="00A8196D"/>
    <w:rsid w:val="00A81DF0"/>
    <w:rsid w:val="00A8266F"/>
    <w:rsid w:val="00A8371A"/>
    <w:rsid w:val="00A843B5"/>
    <w:rsid w:val="00A844A3"/>
    <w:rsid w:val="00A855EA"/>
    <w:rsid w:val="00A85A28"/>
    <w:rsid w:val="00A86B3F"/>
    <w:rsid w:val="00A86E59"/>
    <w:rsid w:val="00A86F4D"/>
    <w:rsid w:val="00A9067B"/>
    <w:rsid w:val="00A90E80"/>
    <w:rsid w:val="00A91FCD"/>
    <w:rsid w:val="00A93E56"/>
    <w:rsid w:val="00A96360"/>
    <w:rsid w:val="00A96579"/>
    <w:rsid w:val="00A9791E"/>
    <w:rsid w:val="00AA1DFA"/>
    <w:rsid w:val="00AA2862"/>
    <w:rsid w:val="00AA2D6F"/>
    <w:rsid w:val="00AA363D"/>
    <w:rsid w:val="00AA4790"/>
    <w:rsid w:val="00AA4EF3"/>
    <w:rsid w:val="00AA64A5"/>
    <w:rsid w:val="00AA7C77"/>
    <w:rsid w:val="00AB0687"/>
    <w:rsid w:val="00AB125E"/>
    <w:rsid w:val="00AB1368"/>
    <w:rsid w:val="00AB1A72"/>
    <w:rsid w:val="00AB1CE3"/>
    <w:rsid w:val="00AB37F4"/>
    <w:rsid w:val="00AB4015"/>
    <w:rsid w:val="00AB41F3"/>
    <w:rsid w:val="00AB56C1"/>
    <w:rsid w:val="00AB6561"/>
    <w:rsid w:val="00AB6BAD"/>
    <w:rsid w:val="00AC433F"/>
    <w:rsid w:val="00AC4B04"/>
    <w:rsid w:val="00AC5D55"/>
    <w:rsid w:val="00AC6B06"/>
    <w:rsid w:val="00AC7088"/>
    <w:rsid w:val="00AD07BA"/>
    <w:rsid w:val="00AD0A31"/>
    <w:rsid w:val="00AD1B06"/>
    <w:rsid w:val="00AD2909"/>
    <w:rsid w:val="00AD34DA"/>
    <w:rsid w:val="00AD393A"/>
    <w:rsid w:val="00AD52A9"/>
    <w:rsid w:val="00AD5539"/>
    <w:rsid w:val="00AD5F2E"/>
    <w:rsid w:val="00AD6104"/>
    <w:rsid w:val="00AD6C55"/>
    <w:rsid w:val="00AD73D3"/>
    <w:rsid w:val="00AE0D84"/>
    <w:rsid w:val="00AE2C31"/>
    <w:rsid w:val="00AE4D0B"/>
    <w:rsid w:val="00AF1667"/>
    <w:rsid w:val="00AF1CF7"/>
    <w:rsid w:val="00AF2D89"/>
    <w:rsid w:val="00AF7DA4"/>
    <w:rsid w:val="00B00EBD"/>
    <w:rsid w:val="00B01EA3"/>
    <w:rsid w:val="00B02543"/>
    <w:rsid w:val="00B02F2D"/>
    <w:rsid w:val="00B0370E"/>
    <w:rsid w:val="00B03E68"/>
    <w:rsid w:val="00B05E35"/>
    <w:rsid w:val="00B0620C"/>
    <w:rsid w:val="00B07680"/>
    <w:rsid w:val="00B124BD"/>
    <w:rsid w:val="00B12FB8"/>
    <w:rsid w:val="00B15E83"/>
    <w:rsid w:val="00B21117"/>
    <w:rsid w:val="00B22390"/>
    <w:rsid w:val="00B23067"/>
    <w:rsid w:val="00B241F2"/>
    <w:rsid w:val="00B244A1"/>
    <w:rsid w:val="00B244BF"/>
    <w:rsid w:val="00B24F72"/>
    <w:rsid w:val="00B27419"/>
    <w:rsid w:val="00B27F40"/>
    <w:rsid w:val="00B329B9"/>
    <w:rsid w:val="00B330C2"/>
    <w:rsid w:val="00B34BF6"/>
    <w:rsid w:val="00B35072"/>
    <w:rsid w:val="00B368D4"/>
    <w:rsid w:val="00B36BF5"/>
    <w:rsid w:val="00B37406"/>
    <w:rsid w:val="00B37F43"/>
    <w:rsid w:val="00B40100"/>
    <w:rsid w:val="00B404DF"/>
    <w:rsid w:val="00B419C8"/>
    <w:rsid w:val="00B4227A"/>
    <w:rsid w:val="00B4313D"/>
    <w:rsid w:val="00B436F8"/>
    <w:rsid w:val="00B43B8D"/>
    <w:rsid w:val="00B43EEA"/>
    <w:rsid w:val="00B43F6D"/>
    <w:rsid w:val="00B442A2"/>
    <w:rsid w:val="00B46712"/>
    <w:rsid w:val="00B46D3F"/>
    <w:rsid w:val="00B47CFB"/>
    <w:rsid w:val="00B51048"/>
    <w:rsid w:val="00B532F5"/>
    <w:rsid w:val="00B53D52"/>
    <w:rsid w:val="00B57DC9"/>
    <w:rsid w:val="00B621CF"/>
    <w:rsid w:val="00B6401E"/>
    <w:rsid w:val="00B64B8C"/>
    <w:rsid w:val="00B652A1"/>
    <w:rsid w:val="00B66068"/>
    <w:rsid w:val="00B67DD0"/>
    <w:rsid w:val="00B7026C"/>
    <w:rsid w:val="00B702C0"/>
    <w:rsid w:val="00B735DD"/>
    <w:rsid w:val="00B73682"/>
    <w:rsid w:val="00B737D1"/>
    <w:rsid w:val="00B7459B"/>
    <w:rsid w:val="00B749E2"/>
    <w:rsid w:val="00B74CE9"/>
    <w:rsid w:val="00B7553C"/>
    <w:rsid w:val="00B75574"/>
    <w:rsid w:val="00B759E1"/>
    <w:rsid w:val="00B75C20"/>
    <w:rsid w:val="00B81206"/>
    <w:rsid w:val="00B81746"/>
    <w:rsid w:val="00B82635"/>
    <w:rsid w:val="00B82C51"/>
    <w:rsid w:val="00B82E71"/>
    <w:rsid w:val="00B82E77"/>
    <w:rsid w:val="00B82F9F"/>
    <w:rsid w:val="00B83376"/>
    <w:rsid w:val="00B84455"/>
    <w:rsid w:val="00B84792"/>
    <w:rsid w:val="00B85A96"/>
    <w:rsid w:val="00B86F07"/>
    <w:rsid w:val="00B91D84"/>
    <w:rsid w:val="00B91E95"/>
    <w:rsid w:val="00B91F39"/>
    <w:rsid w:val="00B92CDA"/>
    <w:rsid w:val="00B930AB"/>
    <w:rsid w:val="00B9463C"/>
    <w:rsid w:val="00B95C51"/>
    <w:rsid w:val="00B97450"/>
    <w:rsid w:val="00B97A33"/>
    <w:rsid w:val="00BA2E6D"/>
    <w:rsid w:val="00BA3025"/>
    <w:rsid w:val="00BA41A0"/>
    <w:rsid w:val="00BA499E"/>
    <w:rsid w:val="00BA4F96"/>
    <w:rsid w:val="00BA5D85"/>
    <w:rsid w:val="00BA6688"/>
    <w:rsid w:val="00BA6F4B"/>
    <w:rsid w:val="00BA7FCC"/>
    <w:rsid w:val="00BB1900"/>
    <w:rsid w:val="00BB1C85"/>
    <w:rsid w:val="00BB5BB2"/>
    <w:rsid w:val="00BC188A"/>
    <w:rsid w:val="00BC1A5D"/>
    <w:rsid w:val="00BC2288"/>
    <w:rsid w:val="00BC34D3"/>
    <w:rsid w:val="00BC52B0"/>
    <w:rsid w:val="00BC6808"/>
    <w:rsid w:val="00BC71E1"/>
    <w:rsid w:val="00BC7957"/>
    <w:rsid w:val="00BC7BB4"/>
    <w:rsid w:val="00BD183D"/>
    <w:rsid w:val="00BD2962"/>
    <w:rsid w:val="00BD4462"/>
    <w:rsid w:val="00BD4E74"/>
    <w:rsid w:val="00BD5D49"/>
    <w:rsid w:val="00BD643D"/>
    <w:rsid w:val="00BD6986"/>
    <w:rsid w:val="00BE01F6"/>
    <w:rsid w:val="00BE031C"/>
    <w:rsid w:val="00BE28AA"/>
    <w:rsid w:val="00BE3BFC"/>
    <w:rsid w:val="00BE4144"/>
    <w:rsid w:val="00BE41D3"/>
    <w:rsid w:val="00BE5161"/>
    <w:rsid w:val="00BE67B9"/>
    <w:rsid w:val="00BE720A"/>
    <w:rsid w:val="00BE7698"/>
    <w:rsid w:val="00BF1BFB"/>
    <w:rsid w:val="00BF41E2"/>
    <w:rsid w:val="00BF4262"/>
    <w:rsid w:val="00BF43F8"/>
    <w:rsid w:val="00BF4E1E"/>
    <w:rsid w:val="00BF54B2"/>
    <w:rsid w:val="00BF5513"/>
    <w:rsid w:val="00BF7C54"/>
    <w:rsid w:val="00C041A4"/>
    <w:rsid w:val="00C04659"/>
    <w:rsid w:val="00C048FE"/>
    <w:rsid w:val="00C050B4"/>
    <w:rsid w:val="00C06176"/>
    <w:rsid w:val="00C0670D"/>
    <w:rsid w:val="00C07A0C"/>
    <w:rsid w:val="00C107F6"/>
    <w:rsid w:val="00C12D6A"/>
    <w:rsid w:val="00C13590"/>
    <w:rsid w:val="00C145CF"/>
    <w:rsid w:val="00C1485F"/>
    <w:rsid w:val="00C16380"/>
    <w:rsid w:val="00C17A40"/>
    <w:rsid w:val="00C201A4"/>
    <w:rsid w:val="00C2161C"/>
    <w:rsid w:val="00C21C20"/>
    <w:rsid w:val="00C221D7"/>
    <w:rsid w:val="00C2322D"/>
    <w:rsid w:val="00C2331C"/>
    <w:rsid w:val="00C24750"/>
    <w:rsid w:val="00C249F8"/>
    <w:rsid w:val="00C24E8C"/>
    <w:rsid w:val="00C27302"/>
    <w:rsid w:val="00C27378"/>
    <w:rsid w:val="00C2739B"/>
    <w:rsid w:val="00C30188"/>
    <w:rsid w:val="00C30F72"/>
    <w:rsid w:val="00C310FB"/>
    <w:rsid w:val="00C312C0"/>
    <w:rsid w:val="00C3422D"/>
    <w:rsid w:val="00C41926"/>
    <w:rsid w:val="00C42FB9"/>
    <w:rsid w:val="00C44160"/>
    <w:rsid w:val="00C4654D"/>
    <w:rsid w:val="00C50341"/>
    <w:rsid w:val="00C517B8"/>
    <w:rsid w:val="00C52BDA"/>
    <w:rsid w:val="00C551DC"/>
    <w:rsid w:val="00C578BE"/>
    <w:rsid w:val="00C6014D"/>
    <w:rsid w:val="00C61129"/>
    <w:rsid w:val="00C640B2"/>
    <w:rsid w:val="00C6466C"/>
    <w:rsid w:val="00C72CF8"/>
    <w:rsid w:val="00C74283"/>
    <w:rsid w:val="00C74E37"/>
    <w:rsid w:val="00C7570E"/>
    <w:rsid w:val="00C75EA7"/>
    <w:rsid w:val="00C846A4"/>
    <w:rsid w:val="00C847EE"/>
    <w:rsid w:val="00C853D5"/>
    <w:rsid w:val="00C859E4"/>
    <w:rsid w:val="00C8731A"/>
    <w:rsid w:val="00C87575"/>
    <w:rsid w:val="00C90264"/>
    <w:rsid w:val="00C9064D"/>
    <w:rsid w:val="00C93C43"/>
    <w:rsid w:val="00C953EE"/>
    <w:rsid w:val="00C955F4"/>
    <w:rsid w:val="00C96336"/>
    <w:rsid w:val="00CA1B43"/>
    <w:rsid w:val="00CA215D"/>
    <w:rsid w:val="00CA6C99"/>
    <w:rsid w:val="00CB02F7"/>
    <w:rsid w:val="00CB0913"/>
    <w:rsid w:val="00CB175A"/>
    <w:rsid w:val="00CB185E"/>
    <w:rsid w:val="00CB2311"/>
    <w:rsid w:val="00CB25A2"/>
    <w:rsid w:val="00CB47B5"/>
    <w:rsid w:val="00CB4B5C"/>
    <w:rsid w:val="00CB4C11"/>
    <w:rsid w:val="00CB5499"/>
    <w:rsid w:val="00CB5539"/>
    <w:rsid w:val="00CB5552"/>
    <w:rsid w:val="00CB5B02"/>
    <w:rsid w:val="00CB7F93"/>
    <w:rsid w:val="00CC0BA7"/>
    <w:rsid w:val="00CC2015"/>
    <w:rsid w:val="00CC26EB"/>
    <w:rsid w:val="00CC4E35"/>
    <w:rsid w:val="00CC5586"/>
    <w:rsid w:val="00CC59E5"/>
    <w:rsid w:val="00CD071A"/>
    <w:rsid w:val="00CD220C"/>
    <w:rsid w:val="00CD2F67"/>
    <w:rsid w:val="00CD3754"/>
    <w:rsid w:val="00CD5E04"/>
    <w:rsid w:val="00CD5E74"/>
    <w:rsid w:val="00CD639F"/>
    <w:rsid w:val="00CD65BF"/>
    <w:rsid w:val="00CE0239"/>
    <w:rsid w:val="00CE09B6"/>
    <w:rsid w:val="00CE132D"/>
    <w:rsid w:val="00CE2EE9"/>
    <w:rsid w:val="00CE32A8"/>
    <w:rsid w:val="00CE3BEA"/>
    <w:rsid w:val="00CE499C"/>
    <w:rsid w:val="00CE7C3A"/>
    <w:rsid w:val="00CF04AE"/>
    <w:rsid w:val="00CF1E2F"/>
    <w:rsid w:val="00CF2A4F"/>
    <w:rsid w:val="00CF5200"/>
    <w:rsid w:val="00CF5C71"/>
    <w:rsid w:val="00CF7730"/>
    <w:rsid w:val="00D0069C"/>
    <w:rsid w:val="00D01333"/>
    <w:rsid w:val="00D03D06"/>
    <w:rsid w:val="00D03E6F"/>
    <w:rsid w:val="00D0420A"/>
    <w:rsid w:val="00D043B5"/>
    <w:rsid w:val="00D044CC"/>
    <w:rsid w:val="00D06A43"/>
    <w:rsid w:val="00D06D7F"/>
    <w:rsid w:val="00D079BC"/>
    <w:rsid w:val="00D12CC9"/>
    <w:rsid w:val="00D13792"/>
    <w:rsid w:val="00D147C9"/>
    <w:rsid w:val="00D14A55"/>
    <w:rsid w:val="00D15FD3"/>
    <w:rsid w:val="00D21E2D"/>
    <w:rsid w:val="00D22B42"/>
    <w:rsid w:val="00D25B44"/>
    <w:rsid w:val="00D26972"/>
    <w:rsid w:val="00D27CAC"/>
    <w:rsid w:val="00D30647"/>
    <w:rsid w:val="00D32DA7"/>
    <w:rsid w:val="00D334C4"/>
    <w:rsid w:val="00D3351A"/>
    <w:rsid w:val="00D34147"/>
    <w:rsid w:val="00D365B0"/>
    <w:rsid w:val="00D36AF6"/>
    <w:rsid w:val="00D36E09"/>
    <w:rsid w:val="00D370A3"/>
    <w:rsid w:val="00D37D0D"/>
    <w:rsid w:val="00D40FD5"/>
    <w:rsid w:val="00D41969"/>
    <w:rsid w:val="00D44632"/>
    <w:rsid w:val="00D450BB"/>
    <w:rsid w:val="00D4D50B"/>
    <w:rsid w:val="00D549D0"/>
    <w:rsid w:val="00D5552B"/>
    <w:rsid w:val="00D557FD"/>
    <w:rsid w:val="00D5676D"/>
    <w:rsid w:val="00D569A1"/>
    <w:rsid w:val="00D61557"/>
    <w:rsid w:val="00D6293E"/>
    <w:rsid w:val="00D632A3"/>
    <w:rsid w:val="00D635BD"/>
    <w:rsid w:val="00D6544E"/>
    <w:rsid w:val="00D65589"/>
    <w:rsid w:val="00D65BB5"/>
    <w:rsid w:val="00D6755B"/>
    <w:rsid w:val="00D6788F"/>
    <w:rsid w:val="00D67DC2"/>
    <w:rsid w:val="00D70EC5"/>
    <w:rsid w:val="00D7554F"/>
    <w:rsid w:val="00D755D9"/>
    <w:rsid w:val="00D76947"/>
    <w:rsid w:val="00D81D23"/>
    <w:rsid w:val="00D81F7F"/>
    <w:rsid w:val="00D82C29"/>
    <w:rsid w:val="00D830C8"/>
    <w:rsid w:val="00D84A39"/>
    <w:rsid w:val="00D85131"/>
    <w:rsid w:val="00D8543B"/>
    <w:rsid w:val="00D942EB"/>
    <w:rsid w:val="00D96E6E"/>
    <w:rsid w:val="00D97E38"/>
    <w:rsid w:val="00DA064C"/>
    <w:rsid w:val="00DA087A"/>
    <w:rsid w:val="00DA0DB6"/>
    <w:rsid w:val="00DA2795"/>
    <w:rsid w:val="00DA2CD8"/>
    <w:rsid w:val="00DA3A0D"/>
    <w:rsid w:val="00DA3A33"/>
    <w:rsid w:val="00DA52F9"/>
    <w:rsid w:val="00DA6914"/>
    <w:rsid w:val="00DA7B93"/>
    <w:rsid w:val="00DB32AB"/>
    <w:rsid w:val="00DB408A"/>
    <w:rsid w:val="00DB42BE"/>
    <w:rsid w:val="00DB55EE"/>
    <w:rsid w:val="00DB6D26"/>
    <w:rsid w:val="00DB7DE6"/>
    <w:rsid w:val="00DC1151"/>
    <w:rsid w:val="00DC1ABC"/>
    <w:rsid w:val="00DC3579"/>
    <w:rsid w:val="00DC3612"/>
    <w:rsid w:val="00DC3E2B"/>
    <w:rsid w:val="00DC3E43"/>
    <w:rsid w:val="00DC4D0A"/>
    <w:rsid w:val="00DC5066"/>
    <w:rsid w:val="00DC6E16"/>
    <w:rsid w:val="00DD16F2"/>
    <w:rsid w:val="00DD3402"/>
    <w:rsid w:val="00DD3A96"/>
    <w:rsid w:val="00DE2383"/>
    <w:rsid w:val="00DE32F4"/>
    <w:rsid w:val="00DE4C00"/>
    <w:rsid w:val="00DE538D"/>
    <w:rsid w:val="00DF1D62"/>
    <w:rsid w:val="00DF24B9"/>
    <w:rsid w:val="00DF3624"/>
    <w:rsid w:val="00DF5557"/>
    <w:rsid w:val="00DF5EB7"/>
    <w:rsid w:val="00DF5FD1"/>
    <w:rsid w:val="00DF6A23"/>
    <w:rsid w:val="00DF779A"/>
    <w:rsid w:val="00E0174E"/>
    <w:rsid w:val="00E01F21"/>
    <w:rsid w:val="00E021C1"/>
    <w:rsid w:val="00E02B80"/>
    <w:rsid w:val="00E02C25"/>
    <w:rsid w:val="00E03943"/>
    <w:rsid w:val="00E04A24"/>
    <w:rsid w:val="00E0564D"/>
    <w:rsid w:val="00E07987"/>
    <w:rsid w:val="00E10926"/>
    <w:rsid w:val="00E13590"/>
    <w:rsid w:val="00E143AA"/>
    <w:rsid w:val="00E14CE5"/>
    <w:rsid w:val="00E168E3"/>
    <w:rsid w:val="00E16E81"/>
    <w:rsid w:val="00E20A0F"/>
    <w:rsid w:val="00E20C6F"/>
    <w:rsid w:val="00E2203F"/>
    <w:rsid w:val="00E24329"/>
    <w:rsid w:val="00E24946"/>
    <w:rsid w:val="00E26455"/>
    <w:rsid w:val="00E26BEB"/>
    <w:rsid w:val="00E271E4"/>
    <w:rsid w:val="00E27D14"/>
    <w:rsid w:val="00E31B37"/>
    <w:rsid w:val="00E337CC"/>
    <w:rsid w:val="00E33CB7"/>
    <w:rsid w:val="00E34912"/>
    <w:rsid w:val="00E3534A"/>
    <w:rsid w:val="00E3564C"/>
    <w:rsid w:val="00E35E72"/>
    <w:rsid w:val="00E41079"/>
    <w:rsid w:val="00E421CF"/>
    <w:rsid w:val="00E42721"/>
    <w:rsid w:val="00E43490"/>
    <w:rsid w:val="00E43997"/>
    <w:rsid w:val="00E44AF0"/>
    <w:rsid w:val="00E5082E"/>
    <w:rsid w:val="00E509AD"/>
    <w:rsid w:val="00E50DE2"/>
    <w:rsid w:val="00E513CC"/>
    <w:rsid w:val="00E51A66"/>
    <w:rsid w:val="00E53DFF"/>
    <w:rsid w:val="00E5415A"/>
    <w:rsid w:val="00E543F0"/>
    <w:rsid w:val="00E5487E"/>
    <w:rsid w:val="00E54C30"/>
    <w:rsid w:val="00E55349"/>
    <w:rsid w:val="00E55557"/>
    <w:rsid w:val="00E565B3"/>
    <w:rsid w:val="00E6277B"/>
    <w:rsid w:val="00E62ED2"/>
    <w:rsid w:val="00E658A1"/>
    <w:rsid w:val="00E66FF3"/>
    <w:rsid w:val="00E671FC"/>
    <w:rsid w:val="00E67797"/>
    <w:rsid w:val="00E67879"/>
    <w:rsid w:val="00E707F3"/>
    <w:rsid w:val="00E75D3B"/>
    <w:rsid w:val="00E76BB5"/>
    <w:rsid w:val="00E76CA1"/>
    <w:rsid w:val="00E76F75"/>
    <w:rsid w:val="00E82AC7"/>
    <w:rsid w:val="00E84BB9"/>
    <w:rsid w:val="00E84FA2"/>
    <w:rsid w:val="00E855E6"/>
    <w:rsid w:val="00E86783"/>
    <w:rsid w:val="00E876A0"/>
    <w:rsid w:val="00E91861"/>
    <w:rsid w:val="00E92031"/>
    <w:rsid w:val="00E928D7"/>
    <w:rsid w:val="00E93978"/>
    <w:rsid w:val="00E947AD"/>
    <w:rsid w:val="00E95A95"/>
    <w:rsid w:val="00E95ECB"/>
    <w:rsid w:val="00E97C4A"/>
    <w:rsid w:val="00EA0448"/>
    <w:rsid w:val="00EA05CC"/>
    <w:rsid w:val="00EA41D1"/>
    <w:rsid w:val="00EA5E93"/>
    <w:rsid w:val="00EB1536"/>
    <w:rsid w:val="00EB1C20"/>
    <w:rsid w:val="00EB1EB4"/>
    <w:rsid w:val="00EB2B6A"/>
    <w:rsid w:val="00EB4C46"/>
    <w:rsid w:val="00EB5757"/>
    <w:rsid w:val="00EB59D3"/>
    <w:rsid w:val="00EB783C"/>
    <w:rsid w:val="00EC18C3"/>
    <w:rsid w:val="00EC19E1"/>
    <w:rsid w:val="00EC2A60"/>
    <w:rsid w:val="00EC2B79"/>
    <w:rsid w:val="00EC3396"/>
    <w:rsid w:val="00EC5F32"/>
    <w:rsid w:val="00EC5F36"/>
    <w:rsid w:val="00EC6E52"/>
    <w:rsid w:val="00EC6F0E"/>
    <w:rsid w:val="00ED0664"/>
    <w:rsid w:val="00ED06B2"/>
    <w:rsid w:val="00ED1554"/>
    <w:rsid w:val="00ED1EC7"/>
    <w:rsid w:val="00ED4370"/>
    <w:rsid w:val="00ED6399"/>
    <w:rsid w:val="00ED6B34"/>
    <w:rsid w:val="00ED7365"/>
    <w:rsid w:val="00ED7DB9"/>
    <w:rsid w:val="00ED7FBD"/>
    <w:rsid w:val="00EE0A91"/>
    <w:rsid w:val="00EE28CD"/>
    <w:rsid w:val="00EE3179"/>
    <w:rsid w:val="00EE45FD"/>
    <w:rsid w:val="00EE5DF0"/>
    <w:rsid w:val="00EE6905"/>
    <w:rsid w:val="00EE6B58"/>
    <w:rsid w:val="00EF10E8"/>
    <w:rsid w:val="00EF1640"/>
    <w:rsid w:val="00EF34F7"/>
    <w:rsid w:val="00EF3746"/>
    <w:rsid w:val="00EF47BD"/>
    <w:rsid w:val="00EF4DDC"/>
    <w:rsid w:val="00F0039B"/>
    <w:rsid w:val="00F03AAA"/>
    <w:rsid w:val="00F03E25"/>
    <w:rsid w:val="00F05682"/>
    <w:rsid w:val="00F065A4"/>
    <w:rsid w:val="00F13069"/>
    <w:rsid w:val="00F14C16"/>
    <w:rsid w:val="00F165AD"/>
    <w:rsid w:val="00F16698"/>
    <w:rsid w:val="00F16CBA"/>
    <w:rsid w:val="00F17161"/>
    <w:rsid w:val="00F177AC"/>
    <w:rsid w:val="00F203EF"/>
    <w:rsid w:val="00F20F55"/>
    <w:rsid w:val="00F21E05"/>
    <w:rsid w:val="00F2227D"/>
    <w:rsid w:val="00F2233A"/>
    <w:rsid w:val="00F23223"/>
    <w:rsid w:val="00F23D0F"/>
    <w:rsid w:val="00F26110"/>
    <w:rsid w:val="00F2629E"/>
    <w:rsid w:val="00F26409"/>
    <w:rsid w:val="00F27482"/>
    <w:rsid w:val="00F276D7"/>
    <w:rsid w:val="00F32725"/>
    <w:rsid w:val="00F34857"/>
    <w:rsid w:val="00F351DE"/>
    <w:rsid w:val="00F3653F"/>
    <w:rsid w:val="00F36B57"/>
    <w:rsid w:val="00F3736E"/>
    <w:rsid w:val="00F37C61"/>
    <w:rsid w:val="00F42E54"/>
    <w:rsid w:val="00F434C7"/>
    <w:rsid w:val="00F43833"/>
    <w:rsid w:val="00F44345"/>
    <w:rsid w:val="00F44703"/>
    <w:rsid w:val="00F44A82"/>
    <w:rsid w:val="00F50886"/>
    <w:rsid w:val="00F50E49"/>
    <w:rsid w:val="00F5264A"/>
    <w:rsid w:val="00F5504F"/>
    <w:rsid w:val="00F5578A"/>
    <w:rsid w:val="00F6107D"/>
    <w:rsid w:val="00F63B1C"/>
    <w:rsid w:val="00F63FBE"/>
    <w:rsid w:val="00F6611E"/>
    <w:rsid w:val="00F71684"/>
    <w:rsid w:val="00F75EBF"/>
    <w:rsid w:val="00F7619D"/>
    <w:rsid w:val="00F76C54"/>
    <w:rsid w:val="00F76F11"/>
    <w:rsid w:val="00F773B2"/>
    <w:rsid w:val="00F778A1"/>
    <w:rsid w:val="00F80B98"/>
    <w:rsid w:val="00F81B93"/>
    <w:rsid w:val="00F84319"/>
    <w:rsid w:val="00F858BA"/>
    <w:rsid w:val="00F86077"/>
    <w:rsid w:val="00F86697"/>
    <w:rsid w:val="00F90494"/>
    <w:rsid w:val="00F904CF"/>
    <w:rsid w:val="00F90BC0"/>
    <w:rsid w:val="00F92B2C"/>
    <w:rsid w:val="00F92DC8"/>
    <w:rsid w:val="00F933A1"/>
    <w:rsid w:val="00F93F38"/>
    <w:rsid w:val="00F96480"/>
    <w:rsid w:val="00F964E1"/>
    <w:rsid w:val="00F96AD8"/>
    <w:rsid w:val="00FA0393"/>
    <w:rsid w:val="00FA1F56"/>
    <w:rsid w:val="00FA2ECD"/>
    <w:rsid w:val="00FA2F4F"/>
    <w:rsid w:val="00FA49A7"/>
    <w:rsid w:val="00FA5079"/>
    <w:rsid w:val="00FA703B"/>
    <w:rsid w:val="00FA7E9A"/>
    <w:rsid w:val="00FB1CB1"/>
    <w:rsid w:val="00FB27F5"/>
    <w:rsid w:val="00FB3094"/>
    <w:rsid w:val="00FB341D"/>
    <w:rsid w:val="00FB5C17"/>
    <w:rsid w:val="00FB5D7B"/>
    <w:rsid w:val="00FB7F47"/>
    <w:rsid w:val="00FC0ABA"/>
    <w:rsid w:val="00FC14D4"/>
    <w:rsid w:val="00FC1C72"/>
    <w:rsid w:val="00FC4498"/>
    <w:rsid w:val="00FC4C0E"/>
    <w:rsid w:val="00FC5060"/>
    <w:rsid w:val="00FC73FB"/>
    <w:rsid w:val="00FC7475"/>
    <w:rsid w:val="00FD00AA"/>
    <w:rsid w:val="00FD0105"/>
    <w:rsid w:val="00FD0B1C"/>
    <w:rsid w:val="00FD0FF0"/>
    <w:rsid w:val="00FD1122"/>
    <w:rsid w:val="00FD2745"/>
    <w:rsid w:val="00FD7A4A"/>
    <w:rsid w:val="00FE05FC"/>
    <w:rsid w:val="00FE0C8D"/>
    <w:rsid w:val="00FE0F8C"/>
    <w:rsid w:val="00FE1762"/>
    <w:rsid w:val="00FE2242"/>
    <w:rsid w:val="00FE37D4"/>
    <w:rsid w:val="00FE41B0"/>
    <w:rsid w:val="00FE63C1"/>
    <w:rsid w:val="00FE70AF"/>
    <w:rsid w:val="00FF0AFB"/>
    <w:rsid w:val="00FF3C97"/>
    <w:rsid w:val="00FF527D"/>
    <w:rsid w:val="00FF6CF5"/>
    <w:rsid w:val="00FF7C07"/>
    <w:rsid w:val="01421C98"/>
    <w:rsid w:val="01792DBC"/>
    <w:rsid w:val="01934D0C"/>
    <w:rsid w:val="01EB96DA"/>
    <w:rsid w:val="02289138"/>
    <w:rsid w:val="0315F510"/>
    <w:rsid w:val="031FF348"/>
    <w:rsid w:val="03B167FB"/>
    <w:rsid w:val="041C7C62"/>
    <w:rsid w:val="0431F0B1"/>
    <w:rsid w:val="0460D119"/>
    <w:rsid w:val="04CAEDCE"/>
    <w:rsid w:val="04E2648D"/>
    <w:rsid w:val="0600F35A"/>
    <w:rsid w:val="06072A2B"/>
    <w:rsid w:val="063012E6"/>
    <w:rsid w:val="06862346"/>
    <w:rsid w:val="06D964F6"/>
    <w:rsid w:val="07DC3436"/>
    <w:rsid w:val="08522D3E"/>
    <w:rsid w:val="085CAF52"/>
    <w:rsid w:val="08B729EA"/>
    <w:rsid w:val="0916BDAE"/>
    <w:rsid w:val="0950B7EB"/>
    <w:rsid w:val="095E6200"/>
    <w:rsid w:val="09A6738A"/>
    <w:rsid w:val="0A274D6E"/>
    <w:rsid w:val="0A31DDEA"/>
    <w:rsid w:val="0A8BBDE6"/>
    <w:rsid w:val="0ACBF92D"/>
    <w:rsid w:val="0ACC094B"/>
    <w:rsid w:val="0AEB7E34"/>
    <w:rsid w:val="0AEF0187"/>
    <w:rsid w:val="0AFE8606"/>
    <w:rsid w:val="0B057C47"/>
    <w:rsid w:val="0B5F257A"/>
    <w:rsid w:val="0B6480BE"/>
    <w:rsid w:val="0BC955C3"/>
    <w:rsid w:val="0C0E65EA"/>
    <w:rsid w:val="0D17D4A0"/>
    <w:rsid w:val="0D822ECA"/>
    <w:rsid w:val="0DBE1BA6"/>
    <w:rsid w:val="0E8559D4"/>
    <w:rsid w:val="0EA0BD97"/>
    <w:rsid w:val="0EAC3579"/>
    <w:rsid w:val="0F3DAA2C"/>
    <w:rsid w:val="1009B42A"/>
    <w:rsid w:val="10289715"/>
    <w:rsid w:val="10BC9689"/>
    <w:rsid w:val="10E35038"/>
    <w:rsid w:val="10EBE13E"/>
    <w:rsid w:val="10F040BE"/>
    <w:rsid w:val="112CE812"/>
    <w:rsid w:val="13A82D18"/>
    <w:rsid w:val="14A19352"/>
    <w:rsid w:val="14B5B245"/>
    <w:rsid w:val="14F70212"/>
    <w:rsid w:val="152E7A98"/>
    <w:rsid w:val="155DAB75"/>
    <w:rsid w:val="15B4ED00"/>
    <w:rsid w:val="1650299B"/>
    <w:rsid w:val="16C35E6E"/>
    <w:rsid w:val="17395776"/>
    <w:rsid w:val="17E00ED3"/>
    <w:rsid w:val="17FAF6D9"/>
    <w:rsid w:val="18546AA2"/>
    <w:rsid w:val="18652B3E"/>
    <w:rsid w:val="19065F38"/>
    <w:rsid w:val="1A7D4D80"/>
    <w:rsid w:val="1A8821DB"/>
    <w:rsid w:val="1C291F08"/>
    <w:rsid w:val="1CD9EC87"/>
    <w:rsid w:val="1D6EE780"/>
    <w:rsid w:val="1D8C6AD0"/>
    <w:rsid w:val="1E605735"/>
    <w:rsid w:val="1E6DA2B8"/>
    <w:rsid w:val="1FDBBE46"/>
    <w:rsid w:val="1FF864EC"/>
    <w:rsid w:val="203AB085"/>
    <w:rsid w:val="20A0AD39"/>
    <w:rsid w:val="2103D388"/>
    <w:rsid w:val="22F11C57"/>
    <w:rsid w:val="230DA982"/>
    <w:rsid w:val="234E5D3B"/>
    <w:rsid w:val="235051FF"/>
    <w:rsid w:val="2367489D"/>
    <w:rsid w:val="23D8131C"/>
    <w:rsid w:val="246EF148"/>
    <w:rsid w:val="2490F3DE"/>
    <w:rsid w:val="253E5C8F"/>
    <w:rsid w:val="2573423F"/>
    <w:rsid w:val="2640A267"/>
    <w:rsid w:val="27BC4953"/>
    <w:rsid w:val="294560C0"/>
    <w:rsid w:val="294EC241"/>
    <w:rsid w:val="298A74C6"/>
    <w:rsid w:val="29A04351"/>
    <w:rsid w:val="29C71FDC"/>
    <w:rsid w:val="29DDA752"/>
    <w:rsid w:val="2A361EF5"/>
    <w:rsid w:val="2A4E90AC"/>
    <w:rsid w:val="2ACED55D"/>
    <w:rsid w:val="2B53B06A"/>
    <w:rsid w:val="2B7103E6"/>
    <w:rsid w:val="2B88FD53"/>
    <w:rsid w:val="2B94F20E"/>
    <w:rsid w:val="2B9DEA37"/>
    <w:rsid w:val="2BD1EA2A"/>
    <w:rsid w:val="2CC05D2B"/>
    <w:rsid w:val="2D177F41"/>
    <w:rsid w:val="2D6C76F4"/>
    <w:rsid w:val="2D6DBA8B"/>
    <w:rsid w:val="2E2484DB"/>
    <w:rsid w:val="2E26ECBF"/>
    <w:rsid w:val="2EA5B539"/>
    <w:rsid w:val="2ED12198"/>
    <w:rsid w:val="2F098AEC"/>
    <w:rsid w:val="2F308BEC"/>
    <w:rsid w:val="2F5A2CD2"/>
    <w:rsid w:val="2F7540E9"/>
    <w:rsid w:val="2FE38C1B"/>
    <w:rsid w:val="3171E4CC"/>
    <w:rsid w:val="31777FB0"/>
    <w:rsid w:val="3189BB5C"/>
    <w:rsid w:val="31991E40"/>
    <w:rsid w:val="322274A6"/>
    <w:rsid w:val="32438EBA"/>
    <w:rsid w:val="327CB628"/>
    <w:rsid w:val="3302A3E5"/>
    <w:rsid w:val="330AF787"/>
    <w:rsid w:val="332ECCAF"/>
    <w:rsid w:val="35BC8FE0"/>
    <w:rsid w:val="36523A67"/>
    <w:rsid w:val="3746001F"/>
    <w:rsid w:val="385CDDE5"/>
    <w:rsid w:val="3A2D6898"/>
    <w:rsid w:val="3A7D7D30"/>
    <w:rsid w:val="3A9904CA"/>
    <w:rsid w:val="3A9D1A7A"/>
    <w:rsid w:val="3AED1D1F"/>
    <w:rsid w:val="3AFCE8F9"/>
    <w:rsid w:val="3B4968C9"/>
    <w:rsid w:val="3B6BB1A3"/>
    <w:rsid w:val="3CAA5545"/>
    <w:rsid w:val="3CCCEF5F"/>
    <w:rsid w:val="3D4ADE8B"/>
    <w:rsid w:val="3D4C475B"/>
    <w:rsid w:val="3D83DE55"/>
    <w:rsid w:val="3E3B52CF"/>
    <w:rsid w:val="3EC37449"/>
    <w:rsid w:val="3F93C157"/>
    <w:rsid w:val="3FB5F615"/>
    <w:rsid w:val="40419CCB"/>
    <w:rsid w:val="4064CB54"/>
    <w:rsid w:val="40907C0B"/>
    <w:rsid w:val="40BB7F17"/>
    <w:rsid w:val="4107349C"/>
    <w:rsid w:val="4129B666"/>
    <w:rsid w:val="417B2D15"/>
    <w:rsid w:val="424D2314"/>
    <w:rsid w:val="426BF412"/>
    <w:rsid w:val="42CB9E05"/>
    <w:rsid w:val="4305A12D"/>
    <w:rsid w:val="43517411"/>
    <w:rsid w:val="43BCAAB0"/>
    <w:rsid w:val="443B1CCD"/>
    <w:rsid w:val="445993D3"/>
    <w:rsid w:val="44B05F3D"/>
    <w:rsid w:val="44D7D2F1"/>
    <w:rsid w:val="468A5BF4"/>
    <w:rsid w:val="47CC7515"/>
    <w:rsid w:val="48924393"/>
    <w:rsid w:val="4A1243C5"/>
    <w:rsid w:val="4A33BD97"/>
    <w:rsid w:val="4A3BF4CC"/>
    <w:rsid w:val="4B4217AC"/>
    <w:rsid w:val="4B62B7A6"/>
    <w:rsid w:val="4B9AB9D9"/>
    <w:rsid w:val="4C6FC6B4"/>
    <w:rsid w:val="4D4AAA55"/>
    <w:rsid w:val="4D4DAF3F"/>
    <w:rsid w:val="4EFA7CDD"/>
    <w:rsid w:val="4F08ABFC"/>
    <w:rsid w:val="4FCD3E9A"/>
    <w:rsid w:val="4FFBD865"/>
    <w:rsid w:val="50299573"/>
    <w:rsid w:val="50470FEF"/>
    <w:rsid w:val="5049CCB6"/>
    <w:rsid w:val="506F1F3B"/>
    <w:rsid w:val="508781EE"/>
    <w:rsid w:val="50D99067"/>
    <w:rsid w:val="51043009"/>
    <w:rsid w:val="51CD25B5"/>
    <w:rsid w:val="522A4923"/>
    <w:rsid w:val="5278A841"/>
    <w:rsid w:val="528DAA5F"/>
    <w:rsid w:val="53400D15"/>
    <w:rsid w:val="538800B6"/>
    <w:rsid w:val="5394D7A9"/>
    <w:rsid w:val="54AC81A5"/>
    <w:rsid w:val="5515FD03"/>
    <w:rsid w:val="5541CAB4"/>
    <w:rsid w:val="55583ADE"/>
    <w:rsid w:val="55611341"/>
    <w:rsid w:val="56ADE038"/>
    <w:rsid w:val="56AE1309"/>
    <w:rsid w:val="56CC6CB3"/>
    <w:rsid w:val="57C0A06C"/>
    <w:rsid w:val="5A2AE7D4"/>
    <w:rsid w:val="5A71F7BE"/>
    <w:rsid w:val="5AA99DB5"/>
    <w:rsid w:val="5AAB124F"/>
    <w:rsid w:val="5B029ACC"/>
    <w:rsid w:val="5B08FECA"/>
    <w:rsid w:val="5B79C977"/>
    <w:rsid w:val="5BAF3A94"/>
    <w:rsid w:val="5C46E2B0"/>
    <w:rsid w:val="5CB6FBEA"/>
    <w:rsid w:val="5CDBB63F"/>
    <w:rsid w:val="5CF2C699"/>
    <w:rsid w:val="5D21DF80"/>
    <w:rsid w:val="5E00DD7E"/>
    <w:rsid w:val="5F093B6F"/>
    <w:rsid w:val="5F39E5B9"/>
    <w:rsid w:val="5F857966"/>
    <w:rsid w:val="6019D3EE"/>
    <w:rsid w:val="605C1224"/>
    <w:rsid w:val="608C6AE1"/>
    <w:rsid w:val="61491CE9"/>
    <w:rsid w:val="61494FBA"/>
    <w:rsid w:val="61E7B76C"/>
    <w:rsid w:val="622E56E1"/>
    <w:rsid w:val="6231043E"/>
    <w:rsid w:val="63A490E7"/>
    <w:rsid w:val="64523E23"/>
    <w:rsid w:val="64CCD7D7"/>
    <w:rsid w:val="6501EF89"/>
    <w:rsid w:val="652B6D20"/>
    <w:rsid w:val="65EDC4F6"/>
    <w:rsid w:val="66BC2D43"/>
    <w:rsid w:val="66F1D23F"/>
    <w:rsid w:val="66FBAC65"/>
    <w:rsid w:val="67827703"/>
    <w:rsid w:val="681F2457"/>
    <w:rsid w:val="68E26523"/>
    <w:rsid w:val="6A771526"/>
    <w:rsid w:val="6A949E49"/>
    <w:rsid w:val="6A9C2B49"/>
    <w:rsid w:val="6ABFD12C"/>
    <w:rsid w:val="6AEB3EAA"/>
    <w:rsid w:val="6B095593"/>
    <w:rsid w:val="6BB8FB92"/>
    <w:rsid w:val="6D8E0AD3"/>
    <w:rsid w:val="6E91A7D7"/>
    <w:rsid w:val="6F41AEBE"/>
    <w:rsid w:val="6F5D2979"/>
    <w:rsid w:val="6F836C65"/>
    <w:rsid w:val="70A2356E"/>
    <w:rsid w:val="710547A3"/>
    <w:rsid w:val="71753BBB"/>
    <w:rsid w:val="718DFAE1"/>
    <w:rsid w:val="7237C04F"/>
    <w:rsid w:val="72C55596"/>
    <w:rsid w:val="72FFA73D"/>
    <w:rsid w:val="742EC7F9"/>
    <w:rsid w:val="74CB81D6"/>
    <w:rsid w:val="7507424F"/>
    <w:rsid w:val="75F18E15"/>
    <w:rsid w:val="7603180C"/>
    <w:rsid w:val="7615D106"/>
    <w:rsid w:val="761F9DF7"/>
    <w:rsid w:val="76E0E662"/>
    <w:rsid w:val="7710017F"/>
    <w:rsid w:val="778E7E4A"/>
    <w:rsid w:val="77D65CE8"/>
    <w:rsid w:val="78376C56"/>
    <w:rsid w:val="784EA614"/>
    <w:rsid w:val="78F99A12"/>
    <w:rsid w:val="7A751180"/>
    <w:rsid w:val="7AD695C1"/>
    <w:rsid w:val="7BE7EE77"/>
    <w:rsid w:val="7CF530C3"/>
    <w:rsid w:val="7DEE7F8C"/>
    <w:rsid w:val="7E1113DD"/>
    <w:rsid w:val="7E34379A"/>
    <w:rsid w:val="7E7148D6"/>
    <w:rsid w:val="7EEE2A24"/>
    <w:rsid w:val="7EFCFB5E"/>
    <w:rsid w:val="7F99902F"/>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249830"/>
  <w15:docId w15:val="{0FFCC0BB-6500-456B-BDF4-9981BAF2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4015"/>
    <w:rPr>
      <w:rFonts w:ascii="Times New Roman" w:eastAsia="Times New Roman" w:hAnsi="Times New Roman"/>
      <w:sz w:val="24"/>
      <w:szCs w:val="24"/>
      <w:lang w:val="de-DE" w:eastAsia="de-DE"/>
    </w:rPr>
  </w:style>
  <w:style w:type="paragraph" w:styleId="berschrift1">
    <w:name w:val="heading 1"/>
    <w:basedOn w:val="Standard"/>
    <w:next w:val="Standard"/>
    <w:link w:val="berschrift1Zchn"/>
    <w:qFormat/>
    <w:rsid w:val="004E3B3E"/>
    <w:pPr>
      <w:keepNext/>
      <w:spacing w:before="240" w:after="60"/>
      <w:outlineLvl w:val="0"/>
    </w:pPr>
    <w:rPr>
      <w:rFonts w:ascii="Cambria" w:hAnsi="Cambria"/>
      <w:b/>
      <w:bCs/>
      <w:kern w:val="32"/>
      <w:sz w:val="32"/>
      <w:szCs w:val="32"/>
      <w:lang w:val="en-US" w:eastAsia="en-US"/>
    </w:rPr>
  </w:style>
  <w:style w:type="paragraph" w:styleId="berschrift2">
    <w:name w:val="heading 2"/>
    <w:basedOn w:val="Standard"/>
    <w:next w:val="Standard"/>
    <w:link w:val="berschrift2Zchn"/>
    <w:qFormat/>
    <w:rsid w:val="004E3B3E"/>
    <w:pPr>
      <w:keepNext/>
      <w:spacing w:before="240" w:after="60"/>
      <w:outlineLvl w:val="1"/>
    </w:pPr>
    <w:rPr>
      <w:rFonts w:ascii="Cambria" w:hAnsi="Cambria"/>
      <w:b/>
      <w:bCs/>
      <w:i/>
      <w:iCs/>
      <w:sz w:val="28"/>
      <w:szCs w:val="28"/>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76CA1"/>
    <w:rPr>
      <w:color w:val="0000FF"/>
      <w:u w:val="single"/>
    </w:rPr>
  </w:style>
  <w:style w:type="paragraph" w:styleId="Funotentext">
    <w:name w:val="footnote text"/>
    <w:aliases w:val="ft,ADB,single space,Footnote Text Char Char Char,Footnote Text Char Char Char Char"/>
    <w:basedOn w:val="Standard"/>
    <w:link w:val="FunotentextZchn"/>
    <w:rsid w:val="00E76CA1"/>
    <w:rPr>
      <w:sz w:val="20"/>
      <w:szCs w:val="20"/>
      <w:lang w:val="en-GB" w:eastAsia="en-GB"/>
    </w:rPr>
  </w:style>
  <w:style w:type="character" w:customStyle="1" w:styleId="FunotentextZchn">
    <w:name w:val="Fußnotentext Zchn"/>
    <w:aliases w:val="ft Zchn,ADB Zchn,single space Zchn,Footnote Text Char Char Char Zchn,Footnote Text Char Char Char Char Zchn"/>
    <w:link w:val="Funotentext"/>
    <w:rsid w:val="00E76CA1"/>
    <w:rPr>
      <w:rFonts w:ascii="Times New Roman" w:eastAsia="Times New Roman" w:hAnsi="Times New Roman" w:cs="Times New Roman"/>
      <w:sz w:val="20"/>
      <w:szCs w:val="20"/>
      <w:lang w:val="en-GB" w:eastAsia="en-GB"/>
    </w:rPr>
  </w:style>
  <w:style w:type="character" w:styleId="Funotenzeichen">
    <w:name w:val="footnote reference"/>
    <w:rsid w:val="00E76CA1"/>
    <w:rPr>
      <w:vertAlign w:val="superscript"/>
    </w:rPr>
  </w:style>
  <w:style w:type="paragraph" w:styleId="Sprechblasentext">
    <w:name w:val="Balloon Text"/>
    <w:basedOn w:val="Standard"/>
    <w:link w:val="SprechblasentextZchn"/>
    <w:unhideWhenUsed/>
    <w:rsid w:val="00E76CA1"/>
    <w:rPr>
      <w:rFonts w:ascii="Tahoma" w:hAnsi="Tahoma" w:cs="Tahoma"/>
      <w:sz w:val="16"/>
      <w:szCs w:val="16"/>
      <w:lang w:val="en-GB" w:eastAsia="en-GB"/>
    </w:rPr>
  </w:style>
  <w:style w:type="character" w:customStyle="1" w:styleId="SprechblasentextZchn">
    <w:name w:val="Sprechblasentext Zchn"/>
    <w:link w:val="Sprechblasentext"/>
    <w:rsid w:val="00E76CA1"/>
    <w:rPr>
      <w:rFonts w:ascii="Tahoma" w:eastAsia="Times New Roman" w:hAnsi="Tahoma" w:cs="Tahoma"/>
      <w:sz w:val="16"/>
      <w:szCs w:val="16"/>
      <w:lang w:val="en-GB" w:eastAsia="en-GB"/>
    </w:rPr>
  </w:style>
  <w:style w:type="paragraph" w:styleId="Kopfzeile">
    <w:name w:val="header"/>
    <w:basedOn w:val="Standard"/>
    <w:link w:val="KopfzeileZchn"/>
    <w:unhideWhenUsed/>
    <w:rsid w:val="00A56DD8"/>
    <w:pPr>
      <w:tabs>
        <w:tab w:val="center" w:pos="4680"/>
        <w:tab w:val="right" w:pos="9360"/>
      </w:tabs>
    </w:pPr>
    <w:rPr>
      <w:lang w:val="en-GB" w:eastAsia="en-GB"/>
    </w:rPr>
  </w:style>
  <w:style w:type="character" w:customStyle="1" w:styleId="KopfzeileZchn">
    <w:name w:val="Kopfzeile Zchn"/>
    <w:link w:val="Kopfzeile"/>
    <w:rsid w:val="00A56DD8"/>
    <w:rPr>
      <w:rFonts w:ascii="Times New Roman" w:eastAsia="Times New Roman" w:hAnsi="Times New Roman" w:cs="Times New Roman"/>
      <w:sz w:val="24"/>
      <w:szCs w:val="24"/>
      <w:lang w:val="en-GB" w:eastAsia="en-GB"/>
    </w:rPr>
  </w:style>
  <w:style w:type="paragraph" w:styleId="Fuzeile">
    <w:name w:val="footer"/>
    <w:basedOn w:val="Standard"/>
    <w:link w:val="FuzeileZchn"/>
    <w:unhideWhenUsed/>
    <w:rsid w:val="00A56DD8"/>
    <w:pPr>
      <w:tabs>
        <w:tab w:val="center" w:pos="4680"/>
        <w:tab w:val="right" w:pos="9360"/>
      </w:tabs>
    </w:pPr>
    <w:rPr>
      <w:lang w:val="en-GB" w:eastAsia="en-GB"/>
    </w:rPr>
  </w:style>
  <w:style w:type="character" w:customStyle="1" w:styleId="FuzeileZchn">
    <w:name w:val="Fußzeile Zchn"/>
    <w:link w:val="Fuzeile"/>
    <w:uiPriority w:val="99"/>
    <w:rsid w:val="00A56DD8"/>
    <w:rPr>
      <w:rFonts w:ascii="Times New Roman" w:eastAsia="Times New Roman" w:hAnsi="Times New Roman" w:cs="Times New Roman"/>
      <w:sz w:val="24"/>
      <w:szCs w:val="24"/>
      <w:lang w:val="en-GB" w:eastAsia="en-GB"/>
    </w:rPr>
  </w:style>
  <w:style w:type="paragraph" w:styleId="Listenabsatz">
    <w:name w:val="List Paragraph"/>
    <w:aliases w:val="Bullets,References,Liste 1,Numbered List Paragraph,ReferencesCxSpLast,normal,Normal1,List Paragraph1,Paragrafo elenco,Evidence on Demand bullet points,Referenc,Normal2,Normal3,Normal4,Normal5,Normal6,Normal7,Normal8,Normal9,Normal10"/>
    <w:basedOn w:val="Standard"/>
    <w:link w:val="ListenabsatzZchn"/>
    <w:uiPriority w:val="34"/>
    <w:qFormat/>
    <w:rsid w:val="00550982"/>
    <w:pPr>
      <w:ind w:left="720"/>
      <w:contextualSpacing/>
    </w:pPr>
    <w:rPr>
      <w:lang w:val="en-GB" w:eastAsia="en-GB"/>
    </w:rPr>
  </w:style>
  <w:style w:type="character" w:styleId="BesuchterLink">
    <w:name w:val="FollowedHyperlink"/>
    <w:uiPriority w:val="99"/>
    <w:semiHidden/>
    <w:unhideWhenUsed/>
    <w:rsid w:val="00FC7475"/>
    <w:rPr>
      <w:color w:val="800080"/>
      <w:u w:val="single"/>
    </w:rPr>
  </w:style>
  <w:style w:type="character" w:styleId="Kommentarzeichen">
    <w:name w:val="annotation reference"/>
    <w:semiHidden/>
    <w:rsid w:val="006C29FB"/>
    <w:rPr>
      <w:sz w:val="16"/>
      <w:szCs w:val="16"/>
    </w:rPr>
  </w:style>
  <w:style w:type="paragraph" w:styleId="Kommentartext">
    <w:name w:val="annotation text"/>
    <w:basedOn w:val="Standard"/>
    <w:semiHidden/>
    <w:rsid w:val="006C29FB"/>
    <w:rPr>
      <w:sz w:val="20"/>
      <w:szCs w:val="20"/>
      <w:lang w:val="en-GB" w:eastAsia="en-GB"/>
    </w:rPr>
  </w:style>
  <w:style w:type="paragraph" w:styleId="Kommentarthema">
    <w:name w:val="annotation subject"/>
    <w:basedOn w:val="Kommentartext"/>
    <w:next w:val="Kommentartext"/>
    <w:semiHidden/>
    <w:rsid w:val="006C29FB"/>
    <w:rPr>
      <w:b/>
      <w:bCs/>
    </w:rPr>
  </w:style>
  <w:style w:type="paragraph" w:styleId="berarbeitung">
    <w:name w:val="Revision"/>
    <w:hidden/>
    <w:uiPriority w:val="99"/>
    <w:semiHidden/>
    <w:rsid w:val="0046101E"/>
    <w:rPr>
      <w:rFonts w:ascii="Times New Roman" w:eastAsia="Times New Roman" w:hAnsi="Times New Roman"/>
      <w:sz w:val="24"/>
      <w:szCs w:val="24"/>
      <w:lang w:val="en-GB" w:eastAsia="en-GB"/>
    </w:rPr>
  </w:style>
  <w:style w:type="table" w:styleId="Tabellenraster">
    <w:name w:val="Table Grid"/>
    <w:basedOn w:val="NormaleTabelle"/>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berschrift1Zchn">
    <w:name w:val="Überschrift 1 Zchn"/>
    <w:link w:val="berschrift1"/>
    <w:rsid w:val="004E3B3E"/>
    <w:rPr>
      <w:rFonts w:ascii="Cambria" w:eastAsia="Times New Roman" w:hAnsi="Cambria"/>
      <w:b/>
      <w:bCs/>
      <w:kern w:val="32"/>
      <w:sz w:val="32"/>
      <w:szCs w:val="32"/>
      <w:lang w:val="en-US" w:eastAsia="en-US"/>
    </w:rPr>
  </w:style>
  <w:style w:type="character" w:customStyle="1" w:styleId="berschrift2Zchn">
    <w:name w:val="Überschrift 2 Zchn"/>
    <w:link w:val="berschrift2"/>
    <w:rsid w:val="004E3B3E"/>
    <w:rPr>
      <w:rFonts w:ascii="Cambria" w:eastAsia="Times New Roman" w:hAnsi="Cambria"/>
      <w:b/>
      <w:bCs/>
      <w:i/>
      <w:iCs/>
      <w:sz w:val="28"/>
      <w:szCs w:val="28"/>
      <w:lang w:val="en-US" w:eastAsia="en-US"/>
    </w:rPr>
  </w:style>
  <w:style w:type="numbering" w:customStyle="1" w:styleId="NoList1">
    <w:name w:val="No List1"/>
    <w:next w:val="KeineListe"/>
    <w:semiHidden/>
    <w:rsid w:val="004E3B3E"/>
  </w:style>
  <w:style w:type="table" w:customStyle="1" w:styleId="TableGrid1">
    <w:name w:val="Table Grid1"/>
    <w:basedOn w:val="NormaleTabelle"/>
    <w:next w:val="Tabellenraster"/>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Standard"/>
    <w:rsid w:val="004E3B3E"/>
    <w:pPr>
      <w:spacing w:after="160" w:line="240" w:lineRule="exact"/>
    </w:pPr>
    <w:rPr>
      <w:rFonts w:ascii="Arial" w:hAnsi="Arial" w:cs="Arial"/>
      <w:sz w:val="20"/>
      <w:szCs w:val="20"/>
      <w:lang w:val="en-GB" w:eastAsia="en-US"/>
    </w:rPr>
  </w:style>
  <w:style w:type="character" w:styleId="Seitenzahl">
    <w:name w:val="page number"/>
    <w:rsid w:val="004E3B3E"/>
  </w:style>
  <w:style w:type="paragraph" w:styleId="KeinLeerraum">
    <w:name w:val="No Spacing"/>
    <w:qFormat/>
    <w:rsid w:val="004E3B3E"/>
    <w:pPr>
      <w:ind w:left="1440" w:right="720"/>
    </w:pPr>
    <w:rPr>
      <w:sz w:val="22"/>
      <w:szCs w:val="22"/>
      <w:lang w:val="en-GB" w:eastAsia="en-US"/>
    </w:rPr>
  </w:style>
  <w:style w:type="paragraph" w:styleId="HTMLVorformatiert">
    <w:name w:val="HTML Preformatted"/>
    <w:basedOn w:val="Standard"/>
    <w:link w:val="HTMLVorformatiertZchn"/>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VorformatiertZchn">
    <w:name w:val="HTML Vorformatiert Zchn"/>
    <w:link w:val="HTMLVorformatiert"/>
    <w:uiPriority w:val="99"/>
    <w:rsid w:val="00675507"/>
    <w:rPr>
      <w:rFonts w:ascii="Courier New" w:eastAsia="Times New Roman" w:hAnsi="Courier New" w:cs="Courier New"/>
    </w:rPr>
  </w:style>
  <w:style w:type="character" w:styleId="Platzhaltertext">
    <w:name w:val="Placeholder Text"/>
    <w:basedOn w:val="Absatz-Standardschriftart"/>
    <w:uiPriority w:val="99"/>
    <w:semiHidden/>
    <w:rsid w:val="00355C69"/>
    <w:rPr>
      <w:color w:val="808080"/>
    </w:rPr>
  </w:style>
  <w:style w:type="character" w:customStyle="1" w:styleId="ListenabsatzZchn">
    <w:name w:val="Listenabsatz Zchn"/>
    <w:aliases w:val="Bullets Zchn,References Zchn,Liste 1 Zchn,Numbered List Paragraph Zchn,ReferencesCxSpLast Zchn,normal Zchn,Normal1 Zchn,List Paragraph1 Zchn,Paragrafo elenco Zchn,Evidence on Demand bullet points Zchn,Referenc Zchn,Normal2 Zchn"/>
    <w:link w:val="Listenabsatz"/>
    <w:uiPriority w:val="34"/>
    <w:qFormat/>
    <w:rsid w:val="004421D2"/>
    <w:rPr>
      <w:rFonts w:ascii="Times New Roman" w:eastAsia="Times New Roman" w:hAnsi="Times New Roman"/>
      <w:sz w:val="24"/>
      <w:szCs w:val="24"/>
      <w:lang w:val="en-GB" w:eastAsia="en-GB"/>
    </w:rPr>
  </w:style>
  <w:style w:type="paragraph" w:styleId="StandardWeb">
    <w:name w:val="Normal (Web)"/>
    <w:basedOn w:val="Standard"/>
    <w:uiPriority w:val="99"/>
    <w:unhideWhenUsed/>
    <w:rsid w:val="004949CB"/>
    <w:pPr>
      <w:spacing w:before="100" w:beforeAutospacing="1" w:after="100" w:afterAutospacing="1"/>
    </w:pPr>
  </w:style>
  <w:style w:type="character" w:customStyle="1" w:styleId="Style1">
    <w:name w:val="Style1"/>
    <w:basedOn w:val="Absatz-Standardschriftart"/>
    <w:uiPriority w:val="1"/>
    <w:rsid w:val="00E53DFF"/>
    <w:rPr>
      <w:rFonts w:ascii="Myriad Pro" w:hAnsi="Myriad Pro" w:hint="default"/>
    </w:rPr>
  </w:style>
  <w:style w:type="character" w:customStyle="1" w:styleId="apple-converted-space">
    <w:name w:val="apple-converted-space"/>
    <w:basedOn w:val="Absatz-Standardschriftart"/>
    <w:rsid w:val="000C0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61727">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65108817">
      <w:bodyDiv w:val="1"/>
      <w:marLeft w:val="0"/>
      <w:marRight w:val="0"/>
      <w:marTop w:val="0"/>
      <w:marBottom w:val="0"/>
      <w:divBdr>
        <w:top w:val="none" w:sz="0" w:space="0" w:color="auto"/>
        <w:left w:val="none" w:sz="0" w:space="0" w:color="auto"/>
        <w:bottom w:val="none" w:sz="0" w:space="0" w:color="auto"/>
        <w:right w:val="none" w:sz="0" w:space="0" w:color="auto"/>
      </w:divBdr>
    </w:div>
    <w:div w:id="547037501">
      <w:bodyDiv w:val="1"/>
      <w:marLeft w:val="0"/>
      <w:marRight w:val="0"/>
      <w:marTop w:val="0"/>
      <w:marBottom w:val="0"/>
      <w:divBdr>
        <w:top w:val="none" w:sz="0" w:space="0" w:color="auto"/>
        <w:left w:val="none" w:sz="0" w:space="0" w:color="auto"/>
        <w:bottom w:val="none" w:sz="0" w:space="0" w:color="auto"/>
        <w:right w:val="none" w:sz="0" w:space="0" w:color="auto"/>
      </w:divBdr>
    </w:div>
    <w:div w:id="548229557">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580875072">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790172738">
      <w:bodyDiv w:val="1"/>
      <w:marLeft w:val="0"/>
      <w:marRight w:val="0"/>
      <w:marTop w:val="0"/>
      <w:marBottom w:val="0"/>
      <w:divBdr>
        <w:top w:val="none" w:sz="0" w:space="0" w:color="auto"/>
        <w:left w:val="none" w:sz="0" w:space="0" w:color="auto"/>
        <w:bottom w:val="none" w:sz="0" w:space="0" w:color="auto"/>
        <w:right w:val="none" w:sz="0" w:space="0" w:color="auto"/>
      </w:divBdr>
    </w:div>
    <w:div w:id="1110662035">
      <w:bodyDiv w:val="1"/>
      <w:marLeft w:val="0"/>
      <w:marRight w:val="0"/>
      <w:marTop w:val="0"/>
      <w:marBottom w:val="0"/>
      <w:divBdr>
        <w:top w:val="none" w:sz="0" w:space="0" w:color="auto"/>
        <w:left w:val="none" w:sz="0" w:space="0" w:color="auto"/>
        <w:bottom w:val="none" w:sz="0" w:space="0" w:color="auto"/>
        <w:right w:val="none" w:sz="0" w:space="0" w:color="auto"/>
      </w:divBdr>
    </w:div>
    <w:div w:id="1110978005">
      <w:bodyDiv w:val="1"/>
      <w:marLeft w:val="0"/>
      <w:marRight w:val="0"/>
      <w:marTop w:val="0"/>
      <w:marBottom w:val="0"/>
      <w:divBdr>
        <w:top w:val="none" w:sz="0" w:space="0" w:color="auto"/>
        <w:left w:val="none" w:sz="0" w:space="0" w:color="auto"/>
        <w:bottom w:val="none" w:sz="0" w:space="0" w:color="auto"/>
        <w:right w:val="none" w:sz="0" w:space="0" w:color="auto"/>
      </w:divBdr>
      <w:divsChild>
        <w:div w:id="809325329">
          <w:marLeft w:val="0"/>
          <w:marRight w:val="0"/>
          <w:marTop w:val="0"/>
          <w:marBottom w:val="0"/>
          <w:divBdr>
            <w:top w:val="none" w:sz="0" w:space="0" w:color="auto"/>
            <w:left w:val="none" w:sz="0" w:space="0" w:color="auto"/>
            <w:bottom w:val="none" w:sz="0" w:space="0" w:color="auto"/>
            <w:right w:val="none" w:sz="0" w:space="0" w:color="auto"/>
          </w:divBdr>
          <w:divsChild>
            <w:div w:id="676345584">
              <w:marLeft w:val="0"/>
              <w:marRight w:val="0"/>
              <w:marTop w:val="0"/>
              <w:marBottom w:val="0"/>
              <w:divBdr>
                <w:top w:val="none" w:sz="0" w:space="0" w:color="auto"/>
                <w:left w:val="none" w:sz="0" w:space="0" w:color="auto"/>
                <w:bottom w:val="none" w:sz="0" w:space="0" w:color="auto"/>
                <w:right w:val="none" w:sz="0" w:space="0" w:color="auto"/>
              </w:divBdr>
              <w:divsChild>
                <w:div w:id="3687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97565">
      <w:bodyDiv w:val="1"/>
      <w:marLeft w:val="0"/>
      <w:marRight w:val="0"/>
      <w:marTop w:val="0"/>
      <w:marBottom w:val="0"/>
      <w:divBdr>
        <w:top w:val="none" w:sz="0" w:space="0" w:color="auto"/>
        <w:left w:val="none" w:sz="0" w:space="0" w:color="auto"/>
        <w:bottom w:val="none" w:sz="0" w:space="0" w:color="auto"/>
        <w:right w:val="none" w:sz="0" w:space="0" w:color="auto"/>
      </w:divBdr>
    </w:div>
    <w:div w:id="1341129245">
      <w:bodyDiv w:val="1"/>
      <w:marLeft w:val="0"/>
      <w:marRight w:val="0"/>
      <w:marTop w:val="0"/>
      <w:marBottom w:val="0"/>
      <w:divBdr>
        <w:top w:val="none" w:sz="0" w:space="0" w:color="auto"/>
        <w:left w:val="none" w:sz="0" w:space="0" w:color="auto"/>
        <w:bottom w:val="none" w:sz="0" w:space="0" w:color="auto"/>
        <w:right w:val="none" w:sz="0" w:space="0" w:color="auto"/>
      </w:divBdr>
    </w:div>
    <w:div w:id="1351491906">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508060735">
      <w:bodyDiv w:val="1"/>
      <w:marLeft w:val="0"/>
      <w:marRight w:val="0"/>
      <w:marTop w:val="0"/>
      <w:marBottom w:val="0"/>
      <w:divBdr>
        <w:top w:val="none" w:sz="0" w:space="0" w:color="auto"/>
        <w:left w:val="none" w:sz="0" w:space="0" w:color="auto"/>
        <w:bottom w:val="none" w:sz="0" w:space="0" w:color="auto"/>
        <w:right w:val="none" w:sz="0" w:space="0" w:color="auto"/>
      </w:divBdr>
    </w:div>
    <w:div w:id="1527013381">
      <w:bodyDiv w:val="1"/>
      <w:marLeft w:val="0"/>
      <w:marRight w:val="0"/>
      <w:marTop w:val="0"/>
      <w:marBottom w:val="0"/>
      <w:divBdr>
        <w:top w:val="none" w:sz="0" w:space="0" w:color="auto"/>
        <w:left w:val="none" w:sz="0" w:space="0" w:color="auto"/>
        <w:bottom w:val="none" w:sz="0" w:space="0" w:color="auto"/>
        <w:right w:val="none" w:sz="0" w:space="0" w:color="auto"/>
      </w:divBdr>
    </w:div>
    <w:div w:id="1530529973">
      <w:bodyDiv w:val="1"/>
      <w:marLeft w:val="0"/>
      <w:marRight w:val="0"/>
      <w:marTop w:val="0"/>
      <w:marBottom w:val="0"/>
      <w:divBdr>
        <w:top w:val="none" w:sz="0" w:space="0" w:color="auto"/>
        <w:left w:val="none" w:sz="0" w:space="0" w:color="auto"/>
        <w:bottom w:val="none" w:sz="0" w:space="0" w:color="auto"/>
        <w:right w:val="none" w:sz="0" w:space="0" w:color="auto"/>
      </w:divBdr>
    </w:div>
    <w:div w:id="1568105733">
      <w:bodyDiv w:val="1"/>
      <w:marLeft w:val="0"/>
      <w:marRight w:val="0"/>
      <w:marTop w:val="0"/>
      <w:marBottom w:val="0"/>
      <w:divBdr>
        <w:top w:val="none" w:sz="0" w:space="0" w:color="auto"/>
        <w:left w:val="none" w:sz="0" w:space="0" w:color="auto"/>
        <w:bottom w:val="none" w:sz="0" w:space="0" w:color="auto"/>
        <w:right w:val="none" w:sz="0" w:space="0" w:color="auto"/>
      </w:divBdr>
    </w:div>
    <w:div w:id="1615552146">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771047743">
      <w:bodyDiv w:val="1"/>
      <w:marLeft w:val="0"/>
      <w:marRight w:val="0"/>
      <w:marTop w:val="0"/>
      <w:marBottom w:val="0"/>
      <w:divBdr>
        <w:top w:val="none" w:sz="0" w:space="0" w:color="auto"/>
        <w:left w:val="none" w:sz="0" w:space="0" w:color="auto"/>
        <w:bottom w:val="none" w:sz="0" w:space="0" w:color="auto"/>
        <w:right w:val="none" w:sz="0" w:space="0" w:color="auto"/>
      </w:divBdr>
    </w:div>
    <w:div w:id="1945379277">
      <w:bodyDiv w:val="1"/>
      <w:marLeft w:val="0"/>
      <w:marRight w:val="0"/>
      <w:marTop w:val="0"/>
      <w:marBottom w:val="0"/>
      <w:divBdr>
        <w:top w:val="none" w:sz="0" w:space="0" w:color="auto"/>
        <w:left w:val="none" w:sz="0" w:space="0" w:color="auto"/>
        <w:bottom w:val="none" w:sz="0" w:space="0" w:color="auto"/>
        <w:right w:val="none" w:sz="0" w:space="0" w:color="auto"/>
      </w:divBdr>
    </w:div>
    <w:div w:id="202902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8EFD17D1B2C940A0205A853DCFF5BE" ma:contentTypeVersion="13" ma:contentTypeDescription="Create a new document." ma:contentTypeScope="" ma:versionID="16518afeae7e1fdafe3660c774de26fa">
  <xsd:schema xmlns:xsd="http://www.w3.org/2001/XMLSchema" xmlns:xs="http://www.w3.org/2001/XMLSchema" xmlns:p="http://schemas.microsoft.com/office/2006/metadata/properties" xmlns:ns2="1397b5fe-6d08-4547-93d5-cd383ce49b7c" xmlns:ns3="0963286d-53f8-40d2-b059-4a7ab95b224f" targetNamespace="http://schemas.microsoft.com/office/2006/metadata/properties" ma:root="true" ma:fieldsID="9061bccd2e9f3a8aadd250741dfaf715" ns2:_="" ns3:_="">
    <xsd:import namespace="1397b5fe-6d08-4547-93d5-cd383ce49b7c"/>
    <xsd:import namespace="0963286d-53f8-40d2-b059-4a7ab95b22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7b5fe-6d08-4547-93d5-cd383ce49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63286d-53f8-40d2-b059-4a7ab95b22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0963286d-53f8-40d2-b059-4a7ab95b224f">
      <UserInfo>
        <DisplayName>Juliette De Montmollin</DisplayName>
        <AccountId>14</AccountId>
        <AccountType/>
      </UserInfo>
    </SharedWithUsers>
  </documentManagement>
</p:properties>
</file>

<file path=customXml/itemProps1.xml><?xml version="1.0" encoding="utf-8"?>
<ds:datastoreItem xmlns:ds="http://schemas.openxmlformats.org/officeDocument/2006/customXml" ds:itemID="{8005F1EB-F2B3-4AB8-AF90-D5BEBF1BA471}">
  <ds:schemaRefs>
    <ds:schemaRef ds:uri="http://schemas.openxmlformats.org/officeDocument/2006/bibliography"/>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6F008090-5AD5-4FC7-B41E-1DED96F1C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7b5fe-6d08-4547-93d5-cd383ce49b7c"/>
    <ds:schemaRef ds:uri="0963286d-53f8-40d2-b059-4a7ab95b2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0963286d-53f8-40d2-b059-4a7ab95b22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8034</Words>
  <Characters>42099</Characters>
  <Application>Microsoft Office Word</Application>
  <DocSecurity>0</DocSecurity>
  <Lines>1451</Lines>
  <Paragraphs>482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Annual REPORTING of the Joint Steering Committee on the implementation status of the Priority Plan to PBSO/PBF</vt: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constanze schimmel</cp:lastModifiedBy>
  <cp:revision>3</cp:revision>
  <cp:lastPrinted>2014-02-11T01:12:00Z</cp:lastPrinted>
  <dcterms:created xsi:type="dcterms:W3CDTF">2021-11-12T09:00:00Z</dcterms:created>
  <dcterms:modified xsi:type="dcterms:W3CDTF">2021-11-12T09:01:00Z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0x010100248EFD17D1B2C940A0205A853DCFF5BE</vt:lpwstr>
  </property>
</Properties>
</file>