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4F5958" w:rsidRDefault="00E76CA1" w:rsidP="00826923">
      <w:pPr>
        <w:rPr>
          <w:b/>
        </w:rPr>
      </w:pPr>
    </w:p>
    <w:p w14:paraId="1C839BA4" w14:textId="77777777" w:rsidR="000F43A8" w:rsidRPr="004F5958" w:rsidRDefault="00B12FB8" w:rsidP="00826923">
      <w:pPr>
        <w:numPr>
          <w:ilvl w:val="12"/>
          <w:numId w:val="0"/>
        </w:numPr>
        <w:tabs>
          <w:tab w:val="left" w:pos="0"/>
        </w:tabs>
        <w:suppressAutoHyphens/>
        <w:rPr>
          <w:b/>
          <w:bCs/>
          <w:caps/>
        </w:rPr>
      </w:pPr>
      <w:r w:rsidRPr="004F5958">
        <w:rPr>
          <w:spacing w:val="-3"/>
        </w:rPr>
        <w:t xml:space="preserve"> </w:t>
      </w:r>
      <w:r w:rsidRPr="004F5958">
        <w:rPr>
          <w:spacing w:val="-3"/>
        </w:rPr>
        <w:tab/>
      </w:r>
      <w:r w:rsidRPr="004F5958">
        <w:rPr>
          <w:spacing w:val="-3"/>
        </w:rPr>
        <w:tab/>
      </w:r>
      <w:r w:rsidR="00ED6399" w:rsidRPr="004F5958">
        <w:rPr>
          <w:spacing w:val="-3"/>
        </w:rPr>
        <w:tab/>
      </w:r>
      <w:r w:rsidR="000F43A8" w:rsidRPr="004F5958">
        <w:rPr>
          <w:b/>
        </w:rPr>
        <w:t>RAPPORT DE PROGRES DE PROJET PBF</w:t>
      </w:r>
    </w:p>
    <w:p w14:paraId="7FF6AF87" w14:textId="45FC75A3" w:rsidR="000F43A8" w:rsidRPr="004F5958" w:rsidRDefault="000F43A8" w:rsidP="000F43A8">
      <w:pPr>
        <w:jc w:val="center"/>
        <w:rPr>
          <w:b/>
          <w:bCs/>
          <w:caps/>
        </w:rPr>
      </w:pPr>
      <w:proofErr w:type="gramStart"/>
      <w:r w:rsidRPr="004F5958">
        <w:rPr>
          <w:b/>
          <w:bCs/>
          <w:caps/>
        </w:rPr>
        <w:t>PAYS:</w:t>
      </w:r>
      <w:proofErr w:type="gramEnd"/>
      <w:r w:rsidRPr="004F5958">
        <w:rPr>
          <w:bCs/>
          <w:snapToGrid w:val="0"/>
        </w:rPr>
        <w:t xml:space="preserve"> </w:t>
      </w:r>
      <w:r w:rsidR="00DB248D" w:rsidRPr="004F5958">
        <w:rPr>
          <w:bCs/>
          <w:snapToGrid w:val="0"/>
        </w:rPr>
        <w:t>COTE D’IVOIRE</w:t>
      </w:r>
    </w:p>
    <w:p w14:paraId="35B8BCCA" w14:textId="61505A84" w:rsidR="000F43A8" w:rsidRPr="004F5958" w:rsidRDefault="000F43A8" w:rsidP="000F43A8">
      <w:pPr>
        <w:jc w:val="center"/>
        <w:rPr>
          <w:b/>
          <w:bCs/>
          <w:caps/>
        </w:rPr>
      </w:pPr>
      <w:r w:rsidRPr="004F5958">
        <w:rPr>
          <w:b/>
          <w:bCs/>
          <w:caps/>
        </w:rPr>
        <w:t xml:space="preserve">TYPE DE </w:t>
      </w:r>
      <w:proofErr w:type="gramStart"/>
      <w:r w:rsidRPr="004F5958">
        <w:rPr>
          <w:b/>
          <w:bCs/>
          <w:caps/>
        </w:rPr>
        <w:t>RAPPORT:</w:t>
      </w:r>
      <w:proofErr w:type="gramEnd"/>
      <w:r w:rsidRPr="004F5958">
        <w:rPr>
          <w:b/>
          <w:bCs/>
          <w:caps/>
        </w:rPr>
        <w:t xml:space="preserve"> FINAL</w:t>
      </w:r>
      <w:r w:rsidR="001948EA" w:rsidRPr="004F5958">
        <w:rPr>
          <w:b/>
          <w:bCs/>
          <w:caps/>
        </w:rPr>
        <w:t> :</w:t>
      </w:r>
      <w:r w:rsidR="007C7B57" w:rsidRPr="004F5958">
        <w:rPr>
          <w:b/>
        </w:rPr>
        <w:fldChar w:fldCharType="begin">
          <w:ffData>
            <w:name w:val=""/>
            <w:enabled/>
            <w:calcOnExit w:val="0"/>
            <w:ddList>
              <w:listEntry w:val="Veuillez sélectionner"/>
              <w:listEntry w:val="Semestriel"/>
              <w:listEntry w:val="Annuel"/>
              <w:listEntry w:val="Final"/>
            </w:ddList>
          </w:ffData>
        </w:fldChar>
      </w:r>
      <w:r w:rsidR="007C7B57" w:rsidRPr="004F5958">
        <w:rPr>
          <w:b/>
        </w:rPr>
        <w:instrText xml:space="preserve"> FORMDROPDOWN </w:instrText>
      </w:r>
      <w:r w:rsidR="00A918FD">
        <w:rPr>
          <w:b/>
        </w:rPr>
      </w:r>
      <w:r w:rsidR="00A918FD">
        <w:rPr>
          <w:b/>
        </w:rPr>
        <w:fldChar w:fldCharType="separate"/>
      </w:r>
      <w:r w:rsidR="007C7B57" w:rsidRPr="004F5958">
        <w:rPr>
          <w:b/>
        </w:rPr>
        <w:fldChar w:fldCharType="end"/>
      </w:r>
    </w:p>
    <w:p w14:paraId="0B2F56D8" w14:textId="60A2D4D4" w:rsidR="000554F8" w:rsidRPr="004F5958" w:rsidRDefault="00500587" w:rsidP="000F43A8">
      <w:pPr>
        <w:jc w:val="center"/>
        <w:rPr>
          <w:bCs/>
          <w:snapToGrid w:val="0"/>
        </w:rPr>
      </w:pPr>
      <w:r w:rsidRPr="004F5958">
        <w:rPr>
          <w:b/>
          <w:bCs/>
          <w:caps/>
        </w:rPr>
        <w:t>ANNEE</w:t>
      </w:r>
      <w:r w:rsidR="000F43A8" w:rsidRPr="004F5958">
        <w:rPr>
          <w:b/>
          <w:bCs/>
          <w:caps/>
        </w:rPr>
        <w:t xml:space="preserve"> DE </w:t>
      </w:r>
      <w:proofErr w:type="gramStart"/>
      <w:r w:rsidR="000F43A8" w:rsidRPr="004F5958">
        <w:rPr>
          <w:b/>
          <w:bCs/>
          <w:caps/>
        </w:rPr>
        <w:t>RAPPORT:</w:t>
      </w:r>
      <w:proofErr w:type="gramEnd"/>
      <w:r w:rsidR="000F43A8" w:rsidRPr="004F5958">
        <w:rPr>
          <w:b/>
          <w:bCs/>
          <w:caps/>
        </w:rPr>
        <w:t xml:space="preserve"> </w:t>
      </w:r>
      <w:r w:rsidR="008C0203" w:rsidRPr="004F5958">
        <w:rPr>
          <w:bCs/>
          <w:snapToGrid w:val="0"/>
        </w:rPr>
        <w:t>202</w:t>
      </w:r>
      <w:r w:rsidR="00DB248D" w:rsidRPr="004F5958">
        <w:rPr>
          <w:bCs/>
          <w:snapToGrid w:val="0"/>
        </w:rPr>
        <w:t>1</w:t>
      </w:r>
    </w:p>
    <w:p w14:paraId="32235E8F" w14:textId="77777777" w:rsidR="000F43A8" w:rsidRPr="004F5958"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4F5958" w:rsidRPr="004F5958" w14:paraId="26E9F2DE" w14:textId="77777777" w:rsidTr="00F23D0F">
        <w:trPr>
          <w:trHeight w:val="422"/>
        </w:trPr>
        <w:tc>
          <w:tcPr>
            <w:tcW w:w="10080" w:type="dxa"/>
            <w:gridSpan w:val="2"/>
          </w:tcPr>
          <w:p w14:paraId="11EF4F5F" w14:textId="13BB3DAF" w:rsidR="000F43A8" w:rsidRPr="004F5958"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rPr>
            </w:pPr>
            <w:r w:rsidRPr="004F5958">
              <w:rPr>
                <w:rFonts w:ascii="Times New Roman" w:hAnsi="Times New Roman" w:cs="Times New Roman"/>
                <w:b/>
                <w:sz w:val="24"/>
                <w:szCs w:val="24"/>
              </w:rPr>
              <w:t xml:space="preserve">Titre du </w:t>
            </w:r>
            <w:proofErr w:type="gramStart"/>
            <w:r w:rsidRPr="004F5958">
              <w:rPr>
                <w:rFonts w:ascii="Times New Roman" w:hAnsi="Times New Roman" w:cs="Times New Roman"/>
                <w:b/>
                <w:sz w:val="24"/>
                <w:szCs w:val="24"/>
              </w:rPr>
              <w:t>projet:</w:t>
            </w:r>
            <w:proofErr w:type="gramEnd"/>
            <w:r w:rsidRPr="004F5958">
              <w:rPr>
                <w:rFonts w:ascii="Times New Roman" w:hAnsi="Times New Roman" w:cs="Times New Roman"/>
                <w:b/>
                <w:sz w:val="24"/>
                <w:szCs w:val="24"/>
              </w:rPr>
              <w:t xml:space="preserve"> </w:t>
            </w:r>
            <w:r w:rsidR="008C0203" w:rsidRPr="004F5958">
              <w:rPr>
                <w:rFonts w:ascii="Times New Roman" w:hAnsi="Times New Roman" w:cs="Times New Roman"/>
                <w:bCs/>
                <w:snapToGrid w:val="0"/>
                <w:sz w:val="24"/>
                <w:szCs w:val="24"/>
              </w:rPr>
              <w:fldChar w:fldCharType="begin">
                <w:ffData>
                  <w:name w:val=""/>
                  <w:enabled/>
                  <w:calcOnExit w:val="0"/>
                  <w:textInput>
                    <w:default w:val=" PROMOUVOIR L’ETAT DE DROIT  ET LES DROITS HUMAINS POUR CONSOLIDER LA PAIX EN COTE D’IVOIRE"/>
                    <w:format w:val="FIRST CAPITAL"/>
                  </w:textInput>
                </w:ffData>
              </w:fldChar>
            </w:r>
            <w:r w:rsidR="008C0203" w:rsidRPr="004F5958">
              <w:rPr>
                <w:rFonts w:ascii="Times New Roman" w:hAnsi="Times New Roman" w:cs="Times New Roman"/>
                <w:bCs/>
                <w:snapToGrid w:val="0"/>
                <w:sz w:val="24"/>
                <w:szCs w:val="24"/>
              </w:rPr>
              <w:instrText xml:space="preserve"> FORMTEXT </w:instrText>
            </w:r>
            <w:r w:rsidR="008C0203" w:rsidRPr="004F5958">
              <w:rPr>
                <w:rFonts w:ascii="Times New Roman" w:hAnsi="Times New Roman" w:cs="Times New Roman"/>
                <w:bCs/>
                <w:snapToGrid w:val="0"/>
                <w:sz w:val="24"/>
                <w:szCs w:val="24"/>
              </w:rPr>
            </w:r>
            <w:r w:rsidR="008C0203" w:rsidRPr="004F5958">
              <w:rPr>
                <w:rFonts w:ascii="Times New Roman" w:hAnsi="Times New Roman" w:cs="Times New Roman"/>
                <w:bCs/>
                <w:snapToGrid w:val="0"/>
                <w:sz w:val="24"/>
                <w:szCs w:val="24"/>
              </w:rPr>
              <w:fldChar w:fldCharType="separate"/>
            </w:r>
            <w:r w:rsidR="008C0203" w:rsidRPr="004F5958">
              <w:rPr>
                <w:rFonts w:ascii="Times New Roman" w:hAnsi="Times New Roman" w:cs="Times New Roman"/>
                <w:bCs/>
                <w:noProof/>
                <w:snapToGrid w:val="0"/>
                <w:sz w:val="24"/>
                <w:szCs w:val="24"/>
              </w:rPr>
              <w:tab/>
              <w:t>PROMOUVOIR L’ETAT DE DROIT  ET LES DROITS HUMAINS POUR CONSOLIDER LA PAIX EN COTE D’IVOIRE</w:t>
            </w:r>
            <w:r w:rsidR="008C0203" w:rsidRPr="004F5958">
              <w:rPr>
                <w:rFonts w:ascii="Times New Roman" w:hAnsi="Times New Roman" w:cs="Times New Roman"/>
                <w:bCs/>
                <w:snapToGrid w:val="0"/>
                <w:sz w:val="24"/>
                <w:szCs w:val="24"/>
              </w:rPr>
              <w:fldChar w:fldCharType="end"/>
            </w:r>
          </w:p>
          <w:p w14:paraId="24C4A490" w14:textId="77777777" w:rsidR="00793DE6" w:rsidRPr="004F5958" w:rsidRDefault="000F43A8" w:rsidP="000F43A8">
            <w:pPr>
              <w:rPr>
                <w:b/>
              </w:rPr>
            </w:pPr>
            <w:r w:rsidRPr="004F5958">
              <w:rPr>
                <w:b/>
              </w:rPr>
              <w:t xml:space="preserve">Numéro Projet / MPTF </w:t>
            </w:r>
            <w:proofErr w:type="gramStart"/>
            <w:r w:rsidRPr="004F5958">
              <w:rPr>
                <w:b/>
              </w:rPr>
              <w:t>Gateway</w:t>
            </w:r>
            <w:r w:rsidR="00793DE6" w:rsidRPr="004F5958">
              <w:rPr>
                <w:b/>
              </w:rPr>
              <w:t>:</w:t>
            </w:r>
            <w:proofErr w:type="gramEnd"/>
            <w:r w:rsidR="00793DE6" w:rsidRPr="004F5958">
              <w:rPr>
                <w:b/>
              </w:rPr>
              <w:t xml:space="preserve"> </w:t>
            </w:r>
            <w:r w:rsidR="00280FEA" w:rsidRPr="004F5958">
              <w:rPr>
                <w:b/>
              </w:rPr>
              <w:fldChar w:fldCharType="begin">
                <w:ffData>
                  <w:name w:val="projtype"/>
                  <w:enabled/>
                  <w:calcOnExit w:val="0"/>
                  <w:ddList>
                    <w:listEntry w:val="Veuillez sélectionner"/>
                    <w:listEntry w:val="IRF"/>
                    <w:listEntry w:val="PRF"/>
                  </w:ddList>
                </w:ffData>
              </w:fldChar>
            </w:r>
            <w:bookmarkStart w:id="0" w:name="projtype"/>
            <w:r w:rsidR="00280FEA" w:rsidRPr="004F5958">
              <w:rPr>
                <w:b/>
              </w:rPr>
              <w:instrText xml:space="preserve"> FORMDROPDOWN </w:instrText>
            </w:r>
            <w:r w:rsidR="00A918FD">
              <w:rPr>
                <w:b/>
              </w:rPr>
            </w:r>
            <w:r w:rsidR="00A918FD">
              <w:rPr>
                <w:b/>
              </w:rPr>
              <w:fldChar w:fldCharType="separate"/>
            </w:r>
            <w:r w:rsidR="00280FEA" w:rsidRPr="004F5958">
              <w:rPr>
                <w:b/>
              </w:rPr>
              <w:fldChar w:fldCharType="end"/>
            </w:r>
            <w:bookmarkEnd w:id="0"/>
            <w:r w:rsidR="00A43B9C" w:rsidRPr="004F5958">
              <w:rPr>
                <w:b/>
              </w:rPr>
              <w:t xml:space="preserve">   </w:t>
            </w:r>
            <w:r w:rsidR="00A43B9C" w:rsidRPr="004F5958">
              <w:rPr>
                <w:b/>
              </w:rPr>
              <w:fldChar w:fldCharType="begin">
                <w:ffData>
                  <w:name w:val="Text39"/>
                  <w:enabled/>
                  <w:calcOnExit w:val="0"/>
                  <w:textInput/>
                </w:ffData>
              </w:fldChar>
            </w:r>
            <w:bookmarkStart w:id="1" w:name="Text39"/>
            <w:r w:rsidR="00A43B9C" w:rsidRPr="004F5958">
              <w:rPr>
                <w:b/>
              </w:rPr>
              <w:instrText xml:space="preserve"> FORMTEXT </w:instrText>
            </w:r>
            <w:r w:rsidR="00A43B9C" w:rsidRPr="004F5958">
              <w:rPr>
                <w:b/>
              </w:rPr>
            </w:r>
            <w:r w:rsidR="00A43B9C" w:rsidRPr="004F5958">
              <w:rPr>
                <w:b/>
              </w:rPr>
              <w:fldChar w:fldCharType="separate"/>
            </w:r>
            <w:r w:rsidR="00A43B9C" w:rsidRPr="004F5958">
              <w:rPr>
                <w:b/>
                <w:noProof/>
              </w:rPr>
              <w:t> </w:t>
            </w:r>
            <w:r w:rsidR="00A43B9C" w:rsidRPr="004F5958">
              <w:rPr>
                <w:b/>
                <w:noProof/>
              </w:rPr>
              <w:t> </w:t>
            </w:r>
            <w:r w:rsidR="00A43B9C" w:rsidRPr="004F5958">
              <w:rPr>
                <w:b/>
                <w:noProof/>
              </w:rPr>
              <w:t> </w:t>
            </w:r>
            <w:r w:rsidR="00A43B9C" w:rsidRPr="004F5958">
              <w:rPr>
                <w:b/>
                <w:noProof/>
              </w:rPr>
              <w:t> </w:t>
            </w:r>
            <w:r w:rsidR="00A43B9C" w:rsidRPr="004F5958">
              <w:rPr>
                <w:b/>
                <w:noProof/>
              </w:rPr>
              <w:t> </w:t>
            </w:r>
            <w:r w:rsidR="00A43B9C" w:rsidRPr="004F5958">
              <w:rPr>
                <w:b/>
              </w:rPr>
              <w:fldChar w:fldCharType="end"/>
            </w:r>
            <w:bookmarkEnd w:id="1"/>
          </w:p>
        </w:tc>
      </w:tr>
      <w:tr w:rsidR="004F5958" w:rsidRPr="004F5958" w14:paraId="27B16979" w14:textId="77777777" w:rsidTr="00A43B9C">
        <w:trPr>
          <w:trHeight w:val="422"/>
        </w:trPr>
        <w:tc>
          <w:tcPr>
            <w:tcW w:w="4163" w:type="dxa"/>
          </w:tcPr>
          <w:p w14:paraId="7816FE38" w14:textId="77777777" w:rsidR="000F43A8" w:rsidRPr="004F5958"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sidRPr="004F5958">
              <w:rPr>
                <w:rFonts w:ascii="Times New Roman" w:hAnsi="Times New Roman" w:cs="Times New Roman"/>
                <w:b/>
                <w:sz w:val="24"/>
                <w:szCs w:val="24"/>
              </w:rPr>
              <w:t xml:space="preserve">Si le financement passe par un Fonds Fiduciaire (“Trust </w:t>
            </w:r>
            <w:proofErr w:type="spellStart"/>
            <w:r w:rsidRPr="004F5958">
              <w:rPr>
                <w:rFonts w:ascii="Times New Roman" w:hAnsi="Times New Roman" w:cs="Times New Roman"/>
                <w:b/>
                <w:sz w:val="24"/>
                <w:szCs w:val="24"/>
              </w:rPr>
              <w:t>fund</w:t>
            </w:r>
            <w:proofErr w:type="spellEnd"/>
            <w:r w:rsidRPr="004F5958">
              <w:rPr>
                <w:rFonts w:ascii="Times New Roman" w:hAnsi="Times New Roman" w:cs="Times New Roman"/>
                <w:b/>
                <w:sz w:val="24"/>
                <w:szCs w:val="24"/>
              </w:rPr>
              <w:t>”</w:t>
            </w:r>
            <w:proofErr w:type="gramStart"/>
            <w:r w:rsidRPr="004F5958">
              <w:rPr>
                <w:rFonts w:ascii="Times New Roman" w:hAnsi="Times New Roman" w:cs="Times New Roman"/>
                <w:b/>
                <w:sz w:val="24"/>
                <w:szCs w:val="24"/>
              </w:rPr>
              <w:t>):</w:t>
            </w:r>
            <w:proofErr w:type="gramEnd"/>
            <w:r w:rsidRPr="004F5958">
              <w:rPr>
                <w:rFonts w:ascii="Times New Roman" w:hAnsi="Times New Roman" w:cs="Times New Roman"/>
                <w:b/>
                <w:sz w:val="24"/>
                <w:szCs w:val="24"/>
              </w:rPr>
              <w:t xml:space="preserve"> </w:t>
            </w:r>
          </w:p>
          <w:p w14:paraId="2523A6CD" w14:textId="77777777" w:rsidR="000F43A8" w:rsidRPr="004F5958" w:rsidRDefault="000F43A8" w:rsidP="000F43A8">
            <w:pPr>
              <w:tabs>
                <w:tab w:val="left" w:pos="0"/>
              </w:tabs>
              <w:suppressAutoHyphens/>
              <w:rPr>
                <w:b/>
                <w:spacing w:val="-3"/>
              </w:rPr>
            </w:pPr>
            <w:r w:rsidRPr="004F5958">
              <w:fldChar w:fldCharType="begin">
                <w:ffData>
                  <w:name w:val="Check1"/>
                  <w:enabled/>
                  <w:calcOnExit w:val="0"/>
                  <w:checkBox>
                    <w:sizeAuto/>
                    <w:default w:val="0"/>
                  </w:checkBox>
                </w:ffData>
              </w:fldChar>
            </w:r>
            <w:r w:rsidRPr="004F5958">
              <w:instrText xml:space="preserve"> FORMCHECKBOX </w:instrText>
            </w:r>
            <w:r w:rsidR="00A918FD">
              <w:fldChar w:fldCharType="separate"/>
            </w:r>
            <w:r w:rsidRPr="004F5958">
              <w:fldChar w:fldCharType="end"/>
            </w:r>
            <w:r w:rsidRPr="004F5958">
              <w:tab/>
            </w:r>
            <w:r w:rsidRPr="004F5958">
              <w:tab/>
            </w:r>
            <w:r w:rsidRPr="004F5958">
              <w:rPr>
                <w:spacing w:val="-3"/>
              </w:rPr>
              <w:t>Fonds fiduciaire pays</w:t>
            </w:r>
            <w:r w:rsidRPr="004F5958">
              <w:rPr>
                <w:b/>
                <w:spacing w:val="-3"/>
              </w:rPr>
              <w:t xml:space="preserve"> </w:t>
            </w:r>
          </w:p>
          <w:p w14:paraId="63C2D512" w14:textId="77777777" w:rsidR="000F43A8" w:rsidRPr="004F5958" w:rsidRDefault="000F43A8" w:rsidP="000F43A8">
            <w:pPr>
              <w:tabs>
                <w:tab w:val="left" w:pos="0"/>
              </w:tabs>
              <w:suppressAutoHyphens/>
              <w:rPr>
                <w:b/>
              </w:rPr>
            </w:pPr>
            <w:r w:rsidRPr="004F5958">
              <w:fldChar w:fldCharType="begin">
                <w:ffData>
                  <w:name w:val="Check1"/>
                  <w:enabled/>
                  <w:calcOnExit w:val="0"/>
                  <w:checkBox>
                    <w:sizeAuto/>
                    <w:default w:val="0"/>
                  </w:checkBox>
                </w:ffData>
              </w:fldChar>
            </w:r>
            <w:r w:rsidRPr="004F5958">
              <w:instrText xml:space="preserve"> FORMCHECKBOX </w:instrText>
            </w:r>
            <w:r w:rsidR="00A918FD">
              <w:fldChar w:fldCharType="separate"/>
            </w:r>
            <w:r w:rsidRPr="004F5958">
              <w:fldChar w:fldCharType="end"/>
            </w:r>
            <w:r w:rsidRPr="004F5958">
              <w:tab/>
            </w:r>
            <w:r w:rsidRPr="004F5958">
              <w:tab/>
              <w:t>Fonds fiduciaire régional</w:t>
            </w:r>
            <w:r w:rsidRPr="004F5958">
              <w:rPr>
                <w:b/>
              </w:rPr>
              <w:t xml:space="preserve"> </w:t>
            </w:r>
          </w:p>
          <w:p w14:paraId="44750222" w14:textId="77777777" w:rsidR="000F43A8" w:rsidRPr="004F5958" w:rsidRDefault="000F43A8" w:rsidP="000F43A8">
            <w:pPr>
              <w:tabs>
                <w:tab w:val="left" w:pos="0"/>
              </w:tabs>
              <w:suppressAutoHyphens/>
              <w:rPr>
                <w:b/>
              </w:rPr>
            </w:pPr>
          </w:p>
          <w:p w14:paraId="57DFB016" w14:textId="77777777" w:rsidR="000F43A8" w:rsidRPr="004F5958"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sidRPr="004F5958">
              <w:rPr>
                <w:rFonts w:ascii="Times New Roman" w:hAnsi="Times New Roman" w:cs="Times New Roman"/>
                <w:b/>
                <w:sz w:val="24"/>
                <w:szCs w:val="24"/>
              </w:rPr>
              <w:t xml:space="preserve">Nom du fonds </w:t>
            </w:r>
            <w:proofErr w:type="gramStart"/>
            <w:r w:rsidRPr="004F5958">
              <w:rPr>
                <w:rFonts w:ascii="Times New Roman" w:hAnsi="Times New Roman" w:cs="Times New Roman"/>
                <w:b/>
                <w:sz w:val="24"/>
                <w:szCs w:val="24"/>
              </w:rPr>
              <w:t>fiduciaire:</w:t>
            </w:r>
            <w:proofErr w:type="gramEnd"/>
            <w:r w:rsidRPr="004F5958">
              <w:rPr>
                <w:rFonts w:ascii="Times New Roman" w:hAnsi="Times New Roman" w:cs="Times New Roman"/>
                <w:b/>
                <w:sz w:val="24"/>
                <w:szCs w:val="24"/>
              </w:rPr>
              <w:t xml:space="preserve"> </w:t>
            </w:r>
            <w:r w:rsidR="005D5A4A" w:rsidRPr="004F5958">
              <w:rPr>
                <w:rFonts w:ascii="Times New Roman" w:hAnsi="Times New Roman" w:cs="Times New Roman"/>
                <w:bCs/>
                <w:snapToGrid w:val="0"/>
                <w:sz w:val="24"/>
                <w:szCs w:val="24"/>
              </w:rPr>
              <w:fldChar w:fldCharType="begin">
                <w:ffData>
                  <w:name w:val=""/>
                  <w:enabled/>
                  <w:calcOnExit w:val="0"/>
                  <w:textInput>
                    <w:format w:val="FIRST CAPITAL"/>
                  </w:textInput>
                </w:ffData>
              </w:fldChar>
            </w:r>
            <w:r w:rsidR="005D5A4A" w:rsidRPr="004F5958">
              <w:rPr>
                <w:rFonts w:ascii="Times New Roman" w:hAnsi="Times New Roman" w:cs="Times New Roman"/>
                <w:bCs/>
                <w:snapToGrid w:val="0"/>
                <w:sz w:val="24"/>
                <w:szCs w:val="24"/>
              </w:rPr>
              <w:instrText xml:space="preserve"> FORMTEXT </w:instrText>
            </w:r>
            <w:r w:rsidR="005D5A4A" w:rsidRPr="004F5958">
              <w:rPr>
                <w:rFonts w:ascii="Times New Roman" w:hAnsi="Times New Roman" w:cs="Times New Roman"/>
                <w:bCs/>
                <w:snapToGrid w:val="0"/>
                <w:sz w:val="24"/>
                <w:szCs w:val="24"/>
              </w:rPr>
            </w:r>
            <w:r w:rsidR="005D5A4A" w:rsidRPr="004F5958">
              <w:rPr>
                <w:rFonts w:ascii="Times New Roman" w:hAnsi="Times New Roman" w:cs="Times New Roman"/>
                <w:bCs/>
                <w:snapToGrid w:val="0"/>
                <w:sz w:val="24"/>
                <w:szCs w:val="24"/>
              </w:rPr>
              <w:fldChar w:fldCharType="separate"/>
            </w:r>
            <w:r w:rsidR="005D5A4A" w:rsidRPr="004F5958">
              <w:rPr>
                <w:rFonts w:ascii="Times New Roman" w:hAnsi="Times New Roman" w:cs="Times New Roman"/>
                <w:bCs/>
                <w:noProof/>
                <w:snapToGrid w:val="0"/>
                <w:sz w:val="24"/>
                <w:szCs w:val="24"/>
              </w:rPr>
              <w:t> </w:t>
            </w:r>
            <w:r w:rsidR="005D5A4A" w:rsidRPr="004F5958">
              <w:rPr>
                <w:rFonts w:ascii="Times New Roman" w:hAnsi="Times New Roman" w:cs="Times New Roman"/>
                <w:bCs/>
                <w:noProof/>
                <w:snapToGrid w:val="0"/>
                <w:sz w:val="24"/>
                <w:szCs w:val="24"/>
              </w:rPr>
              <w:t> </w:t>
            </w:r>
            <w:r w:rsidR="005D5A4A" w:rsidRPr="004F5958">
              <w:rPr>
                <w:rFonts w:ascii="Times New Roman" w:hAnsi="Times New Roman" w:cs="Times New Roman"/>
                <w:bCs/>
                <w:noProof/>
                <w:snapToGrid w:val="0"/>
                <w:sz w:val="24"/>
                <w:szCs w:val="24"/>
              </w:rPr>
              <w:t> </w:t>
            </w:r>
            <w:r w:rsidR="005D5A4A" w:rsidRPr="004F5958">
              <w:rPr>
                <w:rFonts w:ascii="Times New Roman" w:hAnsi="Times New Roman" w:cs="Times New Roman"/>
                <w:bCs/>
                <w:noProof/>
                <w:snapToGrid w:val="0"/>
                <w:sz w:val="24"/>
                <w:szCs w:val="24"/>
              </w:rPr>
              <w:t> </w:t>
            </w:r>
            <w:r w:rsidR="005D5A4A" w:rsidRPr="004F5958">
              <w:rPr>
                <w:rFonts w:ascii="Times New Roman" w:hAnsi="Times New Roman" w:cs="Times New Roman"/>
                <w:bCs/>
                <w:noProof/>
                <w:snapToGrid w:val="0"/>
                <w:sz w:val="24"/>
                <w:szCs w:val="24"/>
              </w:rPr>
              <w:t> </w:t>
            </w:r>
            <w:r w:rsidR="005D5A4A" w:rsidRPr="004F5958">
              <w:rPr>
                <w:rFonts w:ascii="Times New Roman" w:hAnsi="Times New Roman" w:cs="Times New Roman"/>
                <w:bCs/>
                <w:snapToGrid w:val="0"/>
                <w:sz w:val="24"/>
                <w:szCs w:val="24"/>
              </w:rPr>
              <w:fldChar w:fldCharType="end"/>
            </w:r>
          </w:p>
          <w:p w14:paraId="3B731EC0" w14:textId="77777777" w:rsidR="00A43B9C" w:rsidRPr="004F5958" w:rsidRDefault="00A43B9C" w:rsidP="00F23D0F">
            <w:pPr>
              <w:tabs>
                <w:tab w:val="left" w:pos="0"/>
              </w:tabs>
              <w:suppressAutoHyphens/>
              <w:jc w:val="both"/>
              <w:rPr>
                <w:b/>
              </w:rPr>
            </w:pPr>
          </w:p>
        </w:tc>
        <w:tc>
          <w:tcPr>
            <w:tcW w:w="5917" w:type="dxa"/>
          </w:tcPr>
          <w:p w14:paraId="4A6F6EA9" w14:textId="61CBC116" w:rsidR="00A43B9C" w:rsidRPr="004F5958" w:rsidRDefault="00A43B9C" w:rsidP="00A43B9C">
            <w:pPr>
              <w:rPr>
                <w:b/>
                <w:bCs/>
              </w:rPr>
            </w:pPr>
            <w:r w:rsidRPr="004F5958">
              <w:rPr>
                <w:b/>
                <w:bCs/>
              </w:rPr>
              <w:t xml:space="preserve">Type </w:t>
            </w:r>
            <w:r w:rsidR="000F43A8" w:rsidRPr="004F5958">
              <w:rPr>
                <w:b/>
                <w:bCs/>
              </w:rPr>
              <w:t>et nom d’agence récipiendaire</w:t>
            </w:r>
            <w:r w:rsidR="00DB248D" w:rsidRPr="004F5958">
              <w:rPr>
                <w:b/>
                <w:bCs/>
              </w:rPr>
              <w:t xml:space="preserve"> </w:t>
            </w:r>
            <w:r w:rsidRPr="004F5958">
              <w:rPr>
                <w:b/>
                <w:bCs/>
              </w:rPr>
              <w:t xml:space="preserve">: </w:t>
            </w:r>
          </w:p>
          <w:p w14:paraId="2FF52B1A" w14:textId="77777777" w:rsidR="00A43B9C" w:rsidRPr="004F5958" w:rsidRDefault="00A43B9C" w:rsidP="00A43B9C">
            <w:pPr>
              <w:rPr>
                <w:b/>
                <w:bCs/>
              </w:rPr>
            </w:pPr>
          </w:p>
          <w:p w14:paraId="6B8358E3" w14:textId="5C1B0D25" w:rsidR="00A43B9C" w:rsidRPr="004F5958" w:rsidRDefault="007C7B57" w:rsidP="00A43B9C">
            <w:pPr>
              <w:pStyle w:val="Textedebulles"/>
              <w:numPr>
                <w:ilvl w:val="12"/>
                <w:numId w:val="0"/>
              </w:numPr>
              <w:tabs>
                <w:tab w:val="left" w:pos="-720"/>
                <w:tab w:val="left" w:pos="4500"/>
              </w:tabs>
              <w:rPr>
                <w:rFonts w:ascii="Times New Roman" w:hAnsi="Times New Roman" w:cs="Times New Roman"/>
                <w:b/>
                <w:sz w:val="24"/>
                <w:szCs w:val="24"/>
              </w:rPr>
            </w:pPr>
            <w:r w:rsidRPr="004F5958">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4F5958">
              <w:rPr>
                <w:rFonts w:ascii="Times New Roman" w:hAnsi="Times New Roman" w:cs="Times New Roman"/>
                <w:b/>
                <w:sz w:val="24"/>
                <w:szCs w:val="24"/>
              </w:rPr>
              <w:instrText xml:space="preserve"> FORMDROPDOWN </w:instrText>
            </w:r>
            <w:r w:rsidR="00A918FD">
              <w:rPr>
                <w:rFonts w:ascii="Times New Roman" w:hAnsi="Times New Roman" w:cs="Times New Roman"/>
                <w:b/>
                <w:sz w:val="24"/>
                <w:szCs w:val="24"/>
              </w:rPr>
            </w:r>
            <w:r w:rsidR="00A918FD">
              <w:rPr>
                <w:rFonts w:ascii="Times New Roman" w:hAnsi="Times New Roman" w:cs="Times New Roman"/>
                <w:b/>
                <w:sz w:val="24"/>
                <w:szCs w:val="24"/>
              </w:rPr>
              <w:fldChar w:fldCharType="separate"/>
            </w:r>
            <w:r w:rsidRPr="004F5958">
              <w:rPr>
                <w:rFonts w:ascii="Times New Roman" w:hAnsi="Times New Roman" w:cs="Times New Roman"/>
                <w:b/>
                <w:sz w:val="24"/>
                <w:szCs w:val="24"/>
              </w:rPr>
              <w:fldChar w:fldCharType="end"/>
            </w:r>
            <w:r w:rsidR="00A43B9C" w:rsidRPr="004F5958">
              <w:rPr>
                <w:rFonts w:ascii="Times New Roman" w:hAnsi="Times New Roman" w:cs="Times New Roman"/>
                <w:b/>
                <w:sz w:val="24"/>
                <w:szCs w:val="24"/>
              </w:rPr>
              <w:t xml:space="preserve">     </w:t>
            </w:r>
            <w:r w:rsidR="008C0203" w:rsidRPr="004F5958">
              <w:rPr>
                <w:rFonts w:ascii="Times New Roman" w:hAnsi="Times New Roman" w:cs="Times New Roman"/>
                <w:b/>
                <w:sz w:val="24"/>
                <w:szCs w:val="24"/>
              </w:rPr>
              <w:fldChar w:fldCharType="begin">
                <w:ffData>
                  <w:name w:val="Text40"/>
                  <w:enabled/>
                  <w:calcOnExit w:val="0"/>
                  <w:textInput>
                    <w:default w:val="UNDP"/>
                  </w:textInput>
                </w:ffData>
              </w:fldChar>
            </w:r>
            <w:bookmarkStart w:id="2" w:name="Text40"/>
            <w:r w:rsidR="008C0203" w:rsidRPr="004F5958">
              <w:rPr>
                <w:rFonts w:ascii="Times New Roman" w:hAnsi="Times New Roman" w:cs="Times New Roman"/>
                <w:b/>
                <w:sz w:val="24"/>
                <w:szCs w:val="24"/>
              </w:rPr>
              <w:instrText xml:space="preserve"> FORMTEXT </w:instrText>
            </w:r>
            <w:r w:rsidR="008C0203" w:rsidRPr="004F5958">
              <w:rPr>
                <w:rFonts w:ascii="Times New Roman" w:hAnsi="Times New Roman" w:cs="Times New Roman"/>
                <w:b/>
                <w:sz w:val="24"/>
                <w:szCs w:val="24"/>
              </w:rPr>
            </w:r>
            <w:r w:rsidR="008C0203" w:rsidRPr="004F5958">
              <w:rPr>
                <w:rFonts w:ascii="Times New Roman" w:hAnsi="Times New Roman" w:cs="Times New Roman"/>
                <w:b/>
                <w:sz w:val="24"/>
                <w:szCs w:val="24"/>
              </w:rPr>
              <w:fldChar w:fldCharType="separate"/>
            </w:r>
            <w:r w:rsidR="008C0203" w:rsidRPr="004F5958">
              <w:rPr>
                <w:rFonts w:ascii="Times New Roman" w:hAnsi="Times New Roman" w:cs="Times New Roman"/>
                <w:b/>
                <w:noProof/>
                <w:sz w:val="24"/>
                <w:szCs w:val="24"/>
              </w:rPr>
              <w:t>UNDP</w:t>
            </w:r>
            <w:r w:rsidR="008C0203" w:rsidRPr="004F5958">
              <w:rPr>
                <w:rFonts w:ascii="Times New Roman" w:hAnsi="Times New Roman" w:cs="Times New Roman"/>
                <w:b/>
                <w:sz w:val="24"/>
                <w:szCs w:val="24"/>
              </w:rPr>
              <w:fldChar w:fldCharType="end"/>
            </w:r>
            <w:bookmarkEnd w:id="2"/>
            <w:r w:rsidR="00A43B9C" w:rsidRPr="004F5958">
              <w:rPr>
                <w:rFonts w:ascii="Times New Roman" w:hAnsi="Times New Roman" w:cs="Times New Roman"/>
                <w:b/>
                <w:sz w:val="24"/>
                <w:szCs w:val="24"/>
              </w:rPr>
              <w:t xml:space="preserve">  (</w:t>
            </w:r>
            <w:r w:rsidR="000F43A8" w:rsidRPr="004F5958">
              <w:rPr>
                <w:rFonts w:ascii="Times New Roman" w:hAnsi="Times New Roman" w:cs="Times New Roman"/>
                <w:b/>
                <w:sz w:val="24"/>
                <w:szCs w:val="24"/>
              </w:rPr>
              <w:t>Agence coordinatrice</w:t>
            </w:r>
            <w:r w:rsidR="00A43B9C" w:rsidRPr="004F5958">
              <w:rPr>
                <w:rFonts w:ascii="Times New Roman" w:hAnsi="Times New Roman" w:cs="Times New Roman"/>
                <w:b/>
                <w:sz w:val="24"/>
                <w:szCs w:val="24"/>
              </w:rPr>
              <w:t>)</w:t>
            </w:r>
          </w:p>
          <w:p w14:paraId="28F5F181" w14:textId="493F6235" w:rsidR="00A43B9C" w:rsidRPr="004F5958"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sidRPr="004F5958">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4F5958">
              <w:rPr>
                <w:rFonts w:ascii="Times New Roman" w:hAnsi="Times New Roman" w:cs="Times New Roman"/>
                <w:b/>
                <w:sz w:val="24"/>
                <w:szCs w:val="24"/>
              </w:rPr>
              <w:instrText xml:space="preserve"> FORMDROPDOWN </w:instrText>
            </w:r>
            <w:r w:rsidR="00A918FD">
              <w:rPr>
                <w:rFonts w:ascii="Times New Roman" w:hAnsi="Times New Roman" w:cs="Times New Roman"/>
                <w:b/>
                <w:sz w:val="24"/>
                <w:szCs w:val="24"/>
              </w:rPr>
            </w:r>
            <w:r w:rsidR="00A918FD">
              <w:rPr>
                <w:rFonts w:ascii="Times New Roman" w:hAnsi="Times New Roman" w:cs="Times New Roman"/>
                <w:b/>
                <w:sz w:val="24"/>
                <w:szCs w:val="24"/>
              </w:rPr>
              <w:fldChar w:fldCharType="separate"/>
            </w:r>
            <w:r w:rsidRPr="004F5958">
              <w:rPr>
                <w:rFonts w:ascii="Times New Roman" w:hAnsi="Times New Roman" w:cs="Times New Roman"/>
                <w:b/>
                <w:sz w:val="24"/>
                <w:szCs w:val="24"/>
              </w:rPr>
              <w:fldChar w:fldCharType="end"/>
            </w:r>
            <w:r w:rsidR="00A43B9C" w:rsidRPr="004F5958">
              <w:rPr>
                <w:rFonts w:ascii="Times New Roman" w:hAnsi="Times New Roman" w:cs="Times New Roman"/>
                <w:b/>
                <w:sz w:val="24"/>
                <w:szCs w:val="24"/>
              </w:rPr>
              <w:t xml:space="preserve">     </w:t>
            </w:r>
            <w:r w:rsidR="008C0203" w:rsidRPr="004F5958">
              <w:rPr>
                <w:rFonts w:ascii="Times New Roman" w:hAnsi="Times New Roman" w:cs="Times New Roman"/>
                <w:b/>
                <w:sz w:val="24"/>
                <w:szCs w:val="24"/>
              </w:rPr>
              <w:fldChar w:fldCharType="begin">
                <w:ffData>
                  <w:name w:val="Text41"/>
                  <w:enabled/>
                  <w:calcOnExit w:val="0"/>
                  <w:textInput>
                    <w:default w:val="FAO"/>
                  </w:textInput>
                </w:ffData>
              </w:fldChar>
            </w:r>
            <w:bookmarkStart w:id="3" w:name="Text41"/>
            <w:r w:rsidR="008C0203" w:rsidRPr="004F5958">
              <w:rPr>
                <w:rFonts w:ascii="Times New Roman" w:hAnsi="Times New Roman" w:cs="Times New Roman"/>
                <w:b/>
                <w:sz w:val="24"/>
                <w:szCs w:val="24"/>
              </w:rPr>
              <w:instrText xml:space="preserve"> FORMTEXT </w:instrText>
            </w:r>
            <w:r w:rsidR="008C0203" w:rsidRPr="004F5958">
              <w:rPr>
                <w:rFonts w:ascii="Times New Roman" w:hAnsi="Times New Roman" w:cs="Times New Roman"/>
                <w:b/>
                <w:sz w:val="24"/>
                <w:szCs w:val="24"/>
              </w:rPr>
            </w:r>
            <w:r w:rsidR="008C0203" w:rsidRPr="004F5958">
              <w:rPr>
                <w:rFonts w:ascii="Times New Roman" w:hAnsi="Times New Roman" w:cs="Times New Roman"/>
                <w:b/>
                <w:sz w:val="24"/>
                <w:szCs w:val="24"/>
              </w:rPr>
              <w:fldChar w:fldCharType="separate"/>
            </w:r>
            <w:r w:rsidR="008C0203" w:rsidRPr="004F5958">
              <w:rPr>
                <w:rFonts w:ascii="Times New Roman" w:hAnsi="Times New Roman" w:cs="Times New Roman"/>
                <w:b/>
                <w:noProof/>
                <w:sz w:val="24"/>
                <w:szCs w:val="24"/>
              </w:rPr>
              <w:t>FAO</w:t>
            </w:r>
            <w:r w:rsidR="008C0203" w:rsidRPr="004F5958">
              <w:rPr>
                <w:rFonts w:ascii="Times New Roman" w:hAnsi="Times New Roman" w:cs="Times New Roman"/>
                <w:b/>
                <w:sz w:val="24"/>
                <w:szCs w:val="24"/>
              </w:rPr>
              <w:fldChar w:fldCharType="end"/>
            </w:r>
            <w:bookmarkEnd w:id="3"/>
          </w:p>
          <w:p w14:paraId="7E3EB135" w14:textId="77777777" w:rsidR="00A43B9C" w:rsidRPr="004F5958"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sidRPr="004F5958">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4" w:name="recipeinttype"/>
            <w:r w:rsidRPr="004F5958">
              <w:rPr>
                <w:rFonts w:ascii="Times New Roman" w:hAnsi="Times New Roman" w:cs="Times New Roman"/>
                <w:b/>
                <w:sz w:val="24"/>
                <w:szCs w:val="24"/>
              </w:rPr>
              <w:instrText xml:space="preserve"> FORMDROPDOWN </w:instrText>
            </w:r>
            <w:r w:rsidR="00A918FD">
              <w:rPr>
                <w:rFonts w:ascii="Times New Roman" w:hAnsi="Times New Roman" w:cs="Times New Roman"/>
                <w:b/>
                <w:sz w:val="24"/>
                <w:szCs w:val="24"/>
              </w:rPr>
            </w:r>
            <w:r w:rsidR="00A918FD">
              <w:rPr>
                <w:rFonts w:ascii="Times New Roman" w:hAnsi="Times New Roman" w:cs="Times New Roman"/>
                <w:b/>
                <w:sz w:val="24"/>
                <w:szCs w:val="24"/>
              </w:rPr>
              <w:fldChar w:fldCharType="separate"/>
            </w:r>
            <w:r w:rsidRPr="004F5958">
              <w:rPr>
                <w:rFonts w:ascii="Times New Roman" w:hAnsi="Times New Roman" w:cs="Times New Roman"/>
                <w:b/>
                <w:sz w:val="24"/>
                <w:szCs w:val="24"/>
              </w:rPr>
              <w:fldChar w:fldCharType="end"/>
            </w:r>
            <w:bookmarkEnd w:id="4"/>
            <w:r w:rsidR="00A43B9C" w:rsidRPr="004F5958">
              <w:rPr>
                <w:rFonts w:ascii="Times New Roman" w:hAnsi="Times New Roman" w:cs="Times New Roman"/>
                <w:b/>
                <w:sz w:val="24"/>
                <w:szCs w:val="24"/>
              </w:rPr>
              <w:t xml:space="preserve">     </w:t>
            </w:r>
            <w:r w:rsidR="00A43B9C" w:rsidRPr="004F5958">
              <w:rPr>
                <w:rFonts w:ascii="Times New Roman" w:hAnsi="Times New Roman" w:cs="Times New Roman"/>
                <w:b/>
                <w:sz w:val="24"/>
                <w:szCs w:val="24"/>
              </w:rPr>
              <w:fldChar w:fldCharType="begin">
                <w:ffData>
                  <w:name w:val="Text42"/>
                  <w:enabled/>
                  <w:calcOnExit w:val="0"/>
                  <w:textInput/>
                </w:ffData>
              </w:fldChar>
            </w:r>
            <w:bookmarkStart w:id="5" w:name="Text42"/>
            <w:r w:rsidR="00A43B9C" w:rsidRPr="004F5958">
              <w:rPr>
                <w:rFonts w:ascii="Times New Roman" w:hAnsi="Times New Roman" w:cs="Times New Roman"/>
                <w:b/>
                <w:sz w:val="24"/>
                <w:szCs w:val="24"/>
              </w:rPr>
              <w:instrText xml:space="preserve"> FORMTEXT </w:instrText>
            </w:r>
            <w:r w:rsidR="00A43B9C" w:rsidRPr="004F5958">
              <w:rPr>
                <w:rFonts w:ascii="Times New Roman" w:hAnsi="Times New Roman" w:cs="Times New Roman"/>
                <w:b/>
                <w:sz w:val="24"/>
                <w:szCs w:val="24"/>
              </w:rPr>
            </w:r>
            <w:r w:rsidR="00A43B9C" w:rsidRPr="004F5958">
              <w:rPr>
                <w:rFonts w:ascii="Times New Roman" w:hAnsi="Times New Roman" w:cs="Times New Roman"/>
                <w:b/>
                <w:sz w:val="24"/>
                <w:szCs w:val="24"/>
              </w:rPr>
              <w:fldChar w:fldCharType="separate"/>
            </w:r>
            <w:r w:rsidR="00A43B9C" w:rsidRPr="004F5958">
              <w:rPr>
                <w:rFonts w:ascii="Times New Roman" w:hAnsi="Times New Roman" w:cs="Times New Roman"/>
                <w:b/>
                <w:noProof/>
                <w:sz w:val="24"/>
                <w:szCs w:val="24"/>
              </w:rPr>
              <w:t> </w:t>
            </w:r>
            <w:r w:rsidR="00A43B9C" w:rsidRPr="004F5958">
              <w:rPr>
                <w:rFonts w:ascii="Times New Roman" w:hAnsi="Times New Roman" w:cs="Times New Roman"/>
                <w:b/>
                <w:noProof/>
                <w:sz w:val="24"/>
                <w:szCs w:val="24"/>
              </w:rPr>
              <w:t> </w:t>
            </w:r>
            <w:r w:rsidR="00A43B9C" w:rsidRPr="004F5958">
              <w:rPr>
                <w:rFonts w:ascii="Times New Roman" w:hAnsi="Times New Roman" w:cs="Times New Roman"/>
                <w:b/>
                <w:noProof/>
                <w:sz w:val="24"/>
                <w:szCs w:val="24"/>
              </w:rPr>
              <w:t> </w:t>
            </w:r>
            <w:r w:rsidR="00A43B9C" w:rsidRPr="004F5958">
              <w:rPr>
                <w:rFonts w:ascii="Times New Roman" w:hAnsi="Times New Roman" w:cs="Times New Roman"/>
                <w:b/>
                <w:noProof/>
                <w:sz w:val="24"/>
                <w:szCs w:val="24"/>
              </w:rPr>
              <w:t> </w:t>
            </w:r>
            <w:r w:rsidR="00A43B9C" w:rsidRPr="004F5958">
              <w:rPr>
                <w:rFonts w:ascii="Times New Roman" w:hAnsi="Times New Roman" w:cs="Times New Roman"/>
                <w:b/>
                <w:noProof/>
                <w:sz w:val="24"/>
                <w:szCs w:val="24"/>
              </w:rPr>
              <w:t> </w:t>
            </w:r>
            <w:r w:rsidR="00A43B9C" w:rsidRPr="004F5958">
              <w:rPr>
                <w:rFonts w:ascii="Times New Roman" w:hAnsi="Times New Roman" w:cs="Times New Roman"/>
                <w:b/>
                <w:sz w:val="24"/>
                <w:szCs w:val="24"/>
              </w:rPr>
              <w:fldChar w:fldCharType="end"/>
            </w:r>
            <w:bookmarkEnd w:id="5"/>
          </w:p>
          <w:p w14:paraId="46214C2B" w14:textId="77777777" w:rsidR="00A43B9C" w:rsidRPr="004F5958"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sidRPr="004F5958">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4F5958">
              <w:rPr>
                <w:rFonts w:ascii="Times New Roman" w:hAnsi="Times New Roman" w:cs="Times New Roman"/>
                <w:b/>
                <w:sz w:val="24"/>
                <w:szCs w:val="24"/>
              </w:rPr>
              <w:instrText xml:space="preserve"> FORMDROPDOWN </w:instrText>
            </w:r>
            <w:r w:rsidR="00A918FD">
              <w:rPr>
                <w:rFonts w:ascii="Times New Roman" w:hAnsi="Times New Roman" w:cs="Times New Roman"/>
                <w:b/>
                <w:sz w:val="24"/>
                <w:szCs w:val="24"/>
              </w:rPr>
            </w:r>
            <w:r w:rsidR="00A918FD">
              <w:rPr>
                <w:rFonts w:ascii="Times New Roman" w:hAnsi="Times New Roman" w:cs="Times New Roman"/>
                <w:b/>
                <w:sz w:val="24"/>
                <w:szCs w:val="24"/>
              </w:rPr>
              <w:fldChar w:fldCharType="separate"/>
            </w:r>
            <w:r w:rsidRPr="004F5958">
              <w:rPr>
                <w:rFonts w:ascii="Times New Roman" w:hAnsi="Times New Roman" w:cs="Times New Roman"/>
                <w:b/>
                <w:sz w:val="24"/>
                <w:szCs w:val="24"/>
              </w:rPr>
              <w:fldChar w:fldCharType="end"/>
            </w:r>
            <w:r w:rsidR="00A43B9C" w:rsidRPr="004F5958">
              <w:rPr>
                <w:rFonts w:ascii="Times New Roman" w:hAnsi="Times New Roman" w:cs="Times New Roman"/>
                <w:b/>
                <w:sz w:val="24"/>
                <w:szCs w:val="24"/>
              </w:rPr>
              <w:t xml:space="preserve">     </w:t>
            </w:r>
            <w:r w:rsidR="00A43B9C" w:rsidRPr="004F5958">
              <w:rPr>
                <w:rFonts w:ascii="Times New Roman" w:hAnsi="Times New Roman" w:cs="Times New Roman"/>
                <w:b/>
                <w:sz w:val="24"/>
                <w:szCs w:val="24"/>
              </w:rPr>
              <w:fldChar w:fldCharType="begin">
                <w:ffData>
                  <w:name w:val="Text43"/>
                  <w:enabled/>
                  <w:calcOnExit w:val="0"/>
                  <w:textInput/>
                </w:ffData>
              </w:fldChar>
            </w:r>
            <w:bookmarkStart w:id="6" w:name="Text43"/>
            <w:r w:rsidR="00A43B9C" w:rsidRPr="004F5958">
              <w:rPr>
                <w:rFonts w:ascii="Times New Roman" w:hAnsi="Times New Roman" w:cs="Times New Roman"/>
                <w:b/>
                <w:sz w:val="24"/>
                <w:szCs w:val="24"/>
              </w:rPr>
              <w:instrText xml:space="preserve"> FORMTEXT </w:instrText>
            </w:r>
            <w:r w:rsidR="00A43B9C" w:rsidRPr="004F5958">
              <w:rPr>
                <w:rFonts w:ascii="Times New Roman" w:hAnsi="Times New Roman" w:cs="Times New Roman"/>
                <w:b/>
                <w:sz w:val="24"/>
                <w:szCs w:val="24"/>
              </w:rPr>
            </w:r>
            <w:r w:rsidR="00A43B9C" w:rsidRPr="004F5958">
              <w:rPr>
                <w:rFonts w:ascii="Times New Roman" w:hAnsi="Times New Roman" w:cs="Times New Roman"/>
                <w:b/>
                <w:sz w:val="24"/>
                <w:szCs w:val="24"/>
              </w:rPr>
              <w:fldChar w:fldCharType="separate"/>
            </w:r>
            <w:r w:rsidR="00A43B9C" w:rsidRPr="004F5958">
              <w:rPr>
                <w:rFonts w:ascii="Times New Roman" w:hAnsi="Times New Roman" w:cs="Times New Roman"/>
                <w:b/>
                <w:noProof/>
                <w:sz w:val="24"/>
                <w:szCs w:val="24"/>
              </w:rPr>
              <w:t> </w:t>
            </w:r>
            <w:r w:rsidR="00A43B9C" w:rsidRPr="004F5958">
              <w:rPr>
                <w:rFonts w:ascii="Times New Roman" w:hAnsi="Times New Roman" w:cs="Times New Roman"/>
                <w:b/>
                <w:noProof/>
                <w:sz w:val="24"/>
                <w:szCs w:val="24"/>
              </w:rPr>
              <w:t> </w:t>
            </w:r>
            <w:r w:rsidR="00A43B9C" w:rsidRPr="004F5958">
              <w:rPr>
                <w:rFonts w:ascii="Times New Roman" w:hAnsi="Times New Roman" w:cs="Times New Roman"/>
                <w:b/>
                <w:noProof/>
                <w:sz w:val="24"/>
                <w:szCs w:val="24"/>
              </w:rPr>
              <w:t> </w:t>
            </w:r>
            <w:r w:rsidR="00A43B9C" w:rsidRPr="004F5958">
              <w:rPr>
                <w:rFonts w:ascii="Times New Roman" w:hAnsi="Times New Roman" w:cs="Times New Roman"/>
                <w:b/>
                <w:noProof/>
                <w:sz w:val="24"/>
                <w:szCs w:val="24"/>
              </w:rPr>
              <w:t> </w:t>
            </w:r>
            <w:r w:rsidR="00A43B9C" w:rsidRPr="004F5958">
              <w:rPr>
                <w:rFonts w:ascii="Times New Roman" w:hAnsi="Times New Roman" w:cs="Times New Roman"/>
                <w:b/>
                <w:noProof/>
                <w:sz w:val="24"/>
                <w:szCs w:val="24"/>
              </w:rPr>
              <w:t> </w:t>
            </w:r>
            <w:r w:rsidR="00A43B9C" w:rsidRPr="004F5958">
              <w:rPr>
                <w:rFonts w:ascii="Times New Roman" w:hAnsi="Times New Roman" w:cs="Times New Roman"/>
                <w:b/>
                <w:sz w:val="24"/>
                <w:szCs w:val="24"/>
              </w:rPr>
              <w:fldChar w:fldCharType="end"/>
            </w:r>
            <w:bookmarkEnd w:id="6"/>
          </w:p>
          <w:p w14:paraId="0673E8AA" w14:textId="77777777" w:rsidR="00A43B9C" w:rsidRPr="004F5958"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sidRPr="004F5958">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7" w:name="recipienttype"/>
            <w:r w:rsidRPr="004F5958">
              <w:rPr>
                <w:rFonts w:ascii="Times New Roman" w:hAnsi="Times New Roman" w:cs="Times New Roman"/>
                <w:b/>
                <w:sz w:val="24"/>
                <w:szCs w:val="24"/>
              </w:rPr>
              <w:instrText xml:space="preserve"> FORMDROPDOWN </w:instrText>
            </w:r>
            <w:r w:rsidR="00A918FD">
              <w:rPr>
                <w:rFonts w:ascii="Times New Roman" w:hAnsi="Times New Roman" w:cs="Times New Roman"/>
                <w:b/>
                <w:sz w:val="24"/>
                <w:szCs w:val="24"/>
              </w:rPr>
            </w:r>
            <w:r w:rsidR="00A918FD">
              <w:rPr>
                <w:rFonts w:ascii="Times New Roman" w:hAnsi="Times New Roman" w:cs="Times New Roman"/>
                <w:b/>
                <w:sz w:val="24"/>
                <w:szCs w:val="24"/>
              </w:rPr>
              <w:fldChar w:fldCharType="separate"/>
            </w:r>
            <w:r w:rsidRPr="004F5958">
              <w:rPr>
                <w:rFonts w:ascii="Times New Roman" w:hAnsi="Times New Roman" w:cs="Times New Roman"/>
                <w:b/>
                <w:sz w:val="24"/>
                <w:szCs w:val="24"/>
              </w:rPr>
              <w:fldChar w:fldCharType="end"/>
            </w:r>
            <w:bookmarkEnd w:id="7"/>
            <w:r w:rsidR="00A43B9C" w:rsidRPr="004F5958">
              <w:rPr>
                <w:rFonts w:ascii="Times New Roman" w:hAnsi="Times New Roman" w:cs="Times New Roman"/>
                <w:b/>
                <w:sz w:val="24"/>
                <w:szCs w:val="24"/>
              </w:rPr>
              <w:t xml:space="preserve">     </w:t>
            </w:r>
            <w:r w:rsidR="00A43B9C" w:rsidRPr="004F5958">
              <w:rPr>
                <w:rFonts w:ascii="Times New Roman" w:hAnsi="Times New Roman" w:cs="Times New Roman"/>
                <w:b/>
                <w:sz w:val="24"/>
                <w:szCs w:val="24"/>
              </w:rPr>
              <w:fldChar w:fldCharType="begin">
                <w:ffData>
                  <w:name w:val="Text44"/>
                  <w:enabled/>
                  <w:calcOnExit w:val="0"/>
                  <w:textInput/>
                </w:ffData>
              </w:fldChar>
            </w:r>
            <w:bookmarkStart w:id="8" w:name="Text44"/>
            <w:r w:rsidR="00A43B9C" w:rsidRPr="004F5958">
              <w:rPr>
                <w:rFonts w:ascii="Times New Roman" w:hAnsi="Times New Roman" w:cs="Times New Roman"/>
                <w:b/>
                <w:sz w:val="24"/>
                <w:szCs w:val="24"/>
              </w:rPr>
              <w:instrText xml:space="preserve"> FORMTEXT </w:instrText>
            </w:r>
            <w:r w:rsidR="00A43B9C" w:rsidRPr="004F5958">
              <w:rPr>
                <w:rFonts w:ascii="Times New Roman" w:hAnsi="Times New Roman" w:cs="Times New Roman"/>
                <w:b/>
                <w:sz w:val="24"/>
                <w:szCs w:val="24"/>
              </w:rPr>
            </w:r>
            <w:r w:rsidR="00A43B9C" w:rsidRPr="004F5958">
              <w:rPr>
                <w:rFonts w:ascii="Times New Roman" w:hAnsi="Times New Roman" w:cs="Times New Roman"/>
                <w:b/>
                <w:sz w:val="24"/>
                <w:szCs w:val="24"/>
              </w:rPr>
              <w:fldChar w:fldCharType="separate"/>
            </w:r>
            <w:r w:rsidR="00A43B9C" w:rsidRPr="004F5958">
              <w:rPr>
                <w:rFonts w:ascii="Times New Roman" w:hAnsi="Times New Roman" w:cs="Times New Roman"/>
                <w:b/>
                <w:noProof/>
                <w:sz w:val="24"/>
                <w:szCs w:val="24"/>
              </w:rPr>
              <w:t> </w:t>
            </w:r>
            <w:r w:rsidR="00A43B9C" w:rsidRPr="004F5958">
              <w:rPr>
                <w:rFonts w:ascii="Times New Roman" w:hAnsi="Times New Roman" w:cs="Times New Roman"/>
                <w:b/>
                <w:noProof/>
                <w:sz w:val="24"/>
                <w:szCs w:val="24"/>
              </w:rPr>
              <w:t> </w:t>
            </w:r>
            <w:r w:rsidR="00A43B9C" w:rsidRPr="004F5958">
              <w:rPr>
                <w:rFonts w:ascii="Times New Roman" w:hAnsi="Times New Roman" w:cs="Times New Roman"/>
                <w:b/>
                <w:noProof/>
                <w:sz w:val="24"/>
                <w:szCs w:val="24"/>
              </w:rPr>
              <w:t> </w:t>
            </w:r>
            <w:r w:rsidR="00A43B9C" w:rsidRPr="004F5958">
              <w:rPr>
                <w:rFonts w:ascii="Times New Roman" w:hAnsi="Times New Roman" w:cs="Times New Roman"/>
                <w:b/>
                <w:noProof/>
                <w:sz w:val="24"/>
                <w:szCs w:val="24"/>
              </w:rPr>
              <w:t> </w:t>
            </w:r>
            <w:r w:rsidR="00A43B9C" w:rsidRPr="004F5958">
              <w:rPr>
                <w:rFonts w:ascii="Times New Roman" w:hAnsi="Times New Roman" w:cs="Times New Roman"/>
                <w:b/>
                <w:noProof/>
                <w:sz w:val="24"/>
                <w:szCs w:val="24"/>
              </w:rPr>
              <w:t> </w:t>
            </w:r>
            <w:r w:rsidR="00A43B9C" w:rsidRPr="004F5958">
              <w:rPr>
                <w:rFonts w:ascii="Times New Roman" w:hAnsi="Times New Roman" w:cs="Times New Roman"/>
                <w:b/>
                <w:sz w:val="24"/>
                <w:szCs w:val="24"/>
              </w:rPr>
              <w:fldChar w:fldCharType="end"/>
            </w:r>
            <w:bookmarkEnd w:id="8"/>
          </w:p>
        </w:tc>
      </w:tr>
      <w:tr w:rsidR="004F5958" w:rsidRPr="004F5958" w14:paraId="72CE853D" w14:textId="77777777" w:rsidTr="00F23D0F">
        <w:trPr>
          <w:trHeight w:val="368"/>
        </w:trPr>
        <w:tc>
          <w:tcPr>
            <w:tcW w:w="10080" w:type="dxa"/>
            <w:gridSpan w:val="2"/>
          </w:tcPr>
          <w:p w14:paraId="5C2804C5" w14:textId="6E480B57" w:rsidR="00793DE6" w:rsidRPr="004F5958" w:rsidRDefault="000F43A8" w:rsidP="00F23D0F">
            <w:pPr>
              <w:rPr>
                <w:b/>
                <w:bCs/>
              </w:rPr>
            </w:pPr>
            <w:r w:rsidRPr="004F5958">
              <w:rPr>
                <w:b/>
                <w:bCs/>
              </w:rPr>
              <w:t xml:space="preserve">Date du premier transfert de </w:t>
            </w:r>
            <w:proofErr w:type="gramStart"/>
            <w:r w:rsidRPr="004F5958">
              <w:rPr>
                <w:b/>
                <w:bCs/>
              </w:rPr>
              <w:t>fonds</w:t>
            </w:r>
            <w:r w:rsidR="00793DE6" w:rsidRPr="004F5958">
              <w:rPr>
                <w:b/>
                <w:bCs/>
              </w:rPr>
              <w:t>:</w:t>
            </w:r>
            <w:proofErr w:type="gramEnd"/>
            <w:r w:rsidR="00793DE6" w:rsidRPr="004F5958">
              <w:rPr>
                <w:b/>
                <w:bCs/>
              </w:rPr>
              <w:t xml:space="preserve"> </w:t>
            </w:r>
            <w:r w:rsidR="008C0203" w:rsidRPr="004F5958">
              <w:rPr>
                <w:bCs/>
                <w:snapToGrid w:val="0"/>
              </w:rPr>
              <w:fldChar w:fldCharType="begin">
                <w:ffData>
                  <w:name w:val=""/>
                  <w:enabled/>
                  <w:calcOnExit w:val="0"/>
                  <w:textInput>
                    <w:default w:val="19 NOVEMBRE 2018"/>
                    <w:format w:val="FIRST CAPITAL"/>
                  </w:textInput>
                </w:ffData>
              </w:fldChar>
            </w:r>
            <w:r w:rsidR="008C0203" w:rsidRPr="004F5958">
              <w:rPr>
                <w:bCs/>
                <w:snapToGrid w:val="0"/>
              </w:rPr>
              <w:instrText xml:space="preserve"> FORMTEXT </w:instrText>
            </w:r>
            <w:r w:rsidR="008C0203" w:rsidRPr="004F5958">
              <w:rPr>
                <w:bCs/>
                <w:snapToGrid w:val="0"/>
              </w:rPr>
            </w:r>
            <w:r w:rsidR="008C0203" w:rsidRPr="004F5958">
              <w:rPr>
                <w:bCs/>
                <w:snapToGrid w:val="0"/>
              </w:rPr>
              <w:fldChar w:fldCharType="separate"/>
            </w:r>
            <w:r w:rsidR="008C0203" w:rsidRPr="004F5958">
              <w:rPr>
                <w:bCs/>
                <w:noProof/>
                <w:snapToGrid w:val="0"/>
              </w:rPr>
              <w:t>19 NOVEMBRE 2018</w:t>
            </w:r>
            <w:r w:rsidR="008C0203" w:rsidRPr="004F5958">
              <w:rPr>
                <w:bCs/>
                <w:snapToGrid w:val="0"/>
              </w:rPr>
              <w:fldChar w:fldCharType="end"/>
            </w:r>
          </w:p>
          <w:p w14:paraId="064BF427" w14:textId="7342994D" w:rsidR="004D141E" w:rsidRPr="004F5958" w:rsidRDefault="000F43A8" w:rsidP="00F23D0F">
            <w:pPr>
              <w:rPr>
                <w:bCs/>
                <w:snapToGrid w:val="0"/>
              </w:rPr>
            </w:pPr>
            <w:r w:rsidRPr="004F5958">
              <w:rPr>
                <w:b/>
                <w:bCs/>
              </w:rPr>
              <w:t xml:space="preserve">Date de fin de </w:t>
            </w:r>
            <w:proofErr w:type="gramStart"/>
            <w:r w:rsidRPr="004F5958">
              <w:rPr>
                <w:b/>
                <w:bCs/>
              </w:rPr>
              <w:t>projet</w:t>
            </w:r>
            <w:r w:rsidR="00793DE6" w:rsidRPr="004F5958">
              <w:rPr>
                <w:b/>
                <w:bCs/>
              </w:rPr>
              <w:t>:</w:t>
            </w:r>
            <w:proofErr w:type="gramEnd"/>
            <w:r w:rsidR="00793DE6" w:rsidRPr="004F5958">
              <w:rPr>
                <w:b/>
                <w:bCs/>
              </w:rPr>
              <w:t xml:space="preserve"> </w:t>
            </w:r>
            <w:r w:rsidR="008C0203" w:rsidRPr="004F5958">
              <w:rPr>
                <w:bCs/>
                <w:snapToGrid w:val="0"/>
              </w:rPr>
              <w:fldChar w:fldCharType="begin">
                <w:ffData>
                  <w:name w:val=""/>
                  <w:enabled/>
                  <w:calcOnExit w:val="0"/>
                  <w:textInput>
                    <w:default w:val="19 NOVEMBRE 2018"/>
                    <w:format w:val="FIRST CAPITAL"/>
                  </w:textInput>
                </w:ffData>
              </w:fldChar>
            </w:r>
            <w:r w:rsidR="008C0203" w:rsidRPr="004F5958">
              <w:rPr>
                <w:bCs/>
                <w:snapToGrid w:val="0"/>
              </w:rPr>
              <w:instrText xml:space="preserve"> FORMTEXT </w:instrText>
            </w:r>
            <w:r w:rsidR="008C0203" w:rsidRPr="004F5958">
              <w:rPr>
                <w:bCs/>
                <w:snapToGrid w:val="0"/>
              </w:rPr>
            </w:r>
            <w:r w:rsidR="008C0203" w:rsidRPr="004F5958">
              <w:rPr>
                <w:bCs/>
                <w:snapToGrid w:val="0"/>
              </w:rPr>
              <w:fldChar w:fldCharType="separate"/>
            </w:r>
            <w:r w:rsidR="008C0203" w:rsidRPr="004F5958">
              <w:rPr>
                <w:bCs/>
                <w:noProof/>
                <w:snapToGrid w:val="0"/>
              </w:rPr>
              <w:t>19 NOVEMBRE 2018</w:t>
            </w:r>
            <w:r w:rsidR="008C0203" w:rsidRPr="004F5958">
              <w:rPr>
                <w:bCs/>
                <w:snapToGrid w:val="0"/>
              </w:rPr>
              <w:fldChar w:fldCharType="end"/>
            </w:r>
            <w:r w:rsidR="0025220B" w:rsidRPr="004F5958">
              <w:rPr>
                <w:bCs/>
                <w:snapToGrid w:val="0"/>
              </w:rPr>
              <w:t xml:space="preserve">     </w:t>
            </w:r>
          </w:p>
          <w:p w14:paraId="2AE235F0" w14:textId="77777777" w:rsidR="00793DE6" w:rsidRPr="004F5958" w:rsidRDefault="000F43A8" w:rsidP="000F43A8">
            <w:pPr>
              <w:rPr>
                <w:bCs/>
                <w:snapToGrid w:val="0"/>
              </w:rPr>
            </w:pPr>
            <w:r w:rsidRPr="004F5958">
              <w:rPr>
                <w:b/>
                <w:snapToGrid w:val="0"/>
              </w:rPr>
              <w:t xml:space="preserve">Le projet est-il dans ces six derniers mois de mise en </w:t>
            </w:r>
            <w:proofErr w:type="gramStart"/>
            <w:r w:rsidRPr="004F5958">
              <w:rPr>
                <w:b/>
                <w:snapToGrid w:val="0"/>
              </w:rPr>
              <w:t>œuvre</w:t>
            </w:r>
            <w:r w:rsidR="0025220B" w:rsidRPr="004F5958">
              <w:rPr>
                <w:b/>
                <w:snapToGrid w:val="0"/>
              </w:rPr>
              <w:t>?</w:t>
            </w:r>
            <w:proofErr w:type="gramEnd"/>
            <w:r w:rsidR="0025220B" w:rsidRPr="004F5958">
              <w:rPr>
                <w:bCs/>
                <w:snapToGrid w:val="0"/>
              </w:rPr>
              <w:t xml:space="preserve"> </w:t>
            </w:r>
            <w:r w:rsidR="00280FEA" w:rsidRPr="004F5958">
              <w:rPr>
                <w:bCs/>
                <w:snapToGrid w:val="0"/>
              </w:rPr>
              <w:fldChar w:fldCharType="begin">
                <w:ffData>
                  <w:name w:val="enddate"/>
                  <w:enabled/>
                  <w:calcOnExit w:val="0"/>
                  <w:ddList>
                    <w:listEntry w:val="Veuillez sélectionner"/>
                    <w:listEntry w:val="Oui"/>
                    <w:listEntry w:val="Non"/>
                  </w:ddList>
                </w:ffData>
              </w:fldChar>
            </w:r>
            <w:bookmarkStart w:id="9" w:name="enddate"/>
            <w:r w:rsidR="00280FEA" w:rsidRPr="004F5958">
              <w:rPr>
                <w:bCs/>
                <w:snapToGrid w:val="0"/>
              </w:rPr>
              <w:instrText xml:space="preserve"> FORMDROPDOWN </w:instrText>
            </w:r>
            <w:r w:rsidR="00A918FD">
              <w:rPr>
                <w:bCs/>
                <w:snapToGrid w:val="0"/>
              </w:rPr>
            </w:r>
            <w:r w:rsidR="00A918FD">
              <w:rPr>
                <w:bCs/>
                <w:snapToGrid w:val="0"/>
              </w:rPr>
              <w:fldChar w:fldCharType="separate"/>
            </w:r>
            <w:r w:rsidR="00280FEA" w:rsidRPr="004F5958">
              <w:rPr>
                <w:bCs/>
                <w:snapToGrid w:val="0"/>
              </w:rPr>
              <w:fldChar w:fldCharType="end"/>
            </w:r>
            <w:bookmarkEnd w:id="9"/>
          </w:p>
          <w:p w14:paraId="433C13C0" w14:textId="77777777" w:rsidR="000F43A8" w:rsidRPr="004F5958" w:rsidRDefault="000F43A8" w:rsidP="000F43A8">
            <w:pPr>
              <w:rPr>
                <w:b/>
                <w:bCs/>
              </w:rPr>
            </w:pPr>
          </w:p>
        </w:tc>
      </w:tr>
      <w:tr w:rsidR="004F5958" w:rsidRPr="004F5958" w14:paraId="3A707F8C" w14:textId="77777777" w:rsidTr="00F23D0F">
        <w:trPr>
          <w:trHeight w:val="368"/>
        </w:trPr>
        <w:tc>
          <w:tcPr>
            <w:tcW w:w="10080" w:type="dxa"/>
            <w:gridSpan w:val="2"/>
          </w:tcPr>
          <w:p w14:paraId="77DA62DA" w14:textId="77777777" w:rsidR="000F43A8" w:rsidRPr="004F5958" w:rsidRDefault="000F43A8" w:rsidP="000F43A8">
            <w:pPr>
              <w:rPr>
                <w:b/>
                <w:bCs/>
              </w:rPr>
            </w:pPr>
            <w:r w:rsidRPr="004F5958">
              <w:rPr>
                <w:b/>
                <w:bCs/>
              </w:rPr>
              <w:t xml:space="preserve">Est-ce que le projet fait part d’une des fenêtres prioritaires spécifiques du </w:t>
            </w:r>
            <w:proofErr w:type="gramStart"/>
            <w:r w:rsidRPr="004F5958">
              <w:rPr>
                <w:b/>
                <w:bCs/>
              </w:rPr>
              <w:t>PBF:</w:t>
            </w:r>
            <w:proofErr w:type="gramEnd"/>
          </w:p>
          <w:p w14:paraId="100F4267" w14:textId="77777777" w:rsidR="000F43A8" w:rsidRPr="004F5958" w:rsidRDefault="000F43A8" w:rsidP="000F43A8">
            <w:r w:rsidRPr="004F5958">
              <w:fldChar w:fldCharType="begin">
                <w:ffData>
                  <w:name w:val=""/>
                  <w:enabled/>
                  <w:calcOnExit w:val="0"/>
                  <w:checkBox>
                    <w:sizeAuto/>
                    <w:default w:val="0"/>
                  </w:checkBox>
                </w:ffData>
              </w:fldChar>
            </w:r>
            <w:r w:rsidRPr="004F5958">
              <w:instrText xml:space="preserve"> FORMCHECKBOX </w:instrText>
            </w:r>
            <w:r w:rsidR="00A918FD">
              <w:fldChar w:fldCharType="separate"/>
            </w:r>
            <w:r w:rsidRPr="004F5958">
              <w:fldChar w:fldCharType="end"/>
            </w:r>
            <w:r w:rsidRPr="004F5958">
              <w:t xml:space="preserve"> Initiative de promotion du genre</w:t>
            </w:r>
          </w:p>
          <w:p w14:paraId="347330FA" w14:textId="77777777" w:rsidR="000F43A8" w:rsidRPr="004F5958" w:rsidRDefault="000F43A8" w:rsidP="000F43A8">
            <w:r w:rsidRPr="004F5958">
              <w:fldChar w:fldCharType="begin">
                <w:ffData>
                  <w:name w:val=""/>
                  <w:enabled/>
                  <w:calcOnExit w:val="0"/>
                  <w:checkBox>
                    <w:sizeAuto/>
                    <w:default w:val="0"/>
                  </w:checkBox>
                </w:ffData>
              </w:fldChar>
            </w:r>
            <w:r w:rsidRPr="004F5958">
              <w:instrText xml:space="preserve"> FORMCHECKBOX </w:instrText>
            </w:r>
            <w:r w:rsidR="00A918FD">
              <w:fldChar w:fldCharType="separate"/>
            </w:r>
            <w:r w:rsidRPr="004F5958">
              <w:fldChar w:fldCharType="end"/>
            </w:r>
            <w:r w:rsidRPr="004F5958">
              <w:t xml:space="preserve"> Initiative de promotion de la jeunesse</w:t>
            </w:r>
          </w:p>
          <w:p w14:paraId="422AAC34" w14:textId="4C317AE0" w:rsidR="000F43A8" w:rsidRPr="004F5958" w:rsidRDefault="008C0203" w:rsidP="000F43A8">
            <w:r w:rsidRPr="004F5958">
              <w:fldChar w:fldCharType="begin">
                <w:ffData>
                  <w:name w:val=""/>
                  <w:enabled/>
                  <w:calcOnExit w:val="0"/>
                  <w:checkBox>
                    <w:sizeAuto/>
                    <w:default w:val="1"/>
                  </w:checkBox>
                </w:ffData>
              </w:fldChar>
            </w:r>
            <w:r w:rsidRPr="004F5958">
              <w:instrText xml:space="preserve"> FORMCHECKBOX </w:instrText>
            </w:r>
            <w:r w:rsidR="00A918FD">
              <w:fldChar w:fldCharType="separate"/>
            </w:r>
            <w:r w:rsidRPr="004F5958">
              <w:fldChar w:fldCharType="end"/>
            </w:r>
            <w:r w:rsidR="000F43A8" w:rsidRPr="004F5958">
              <w:t xml:space="preserve"> Transition entre différentes configurations de l’ONU (e.g. sortie de la mission de maintien de la paix)</w:t>
            </w:r>
          </w:p>
          <w:p w14:paraId="7A1D285E" w14:textId="77777777" w:rsidR="00793DE6" w:rsidRPr="004F5958" w:rsidRDefault="000F43A8" w:rsidP="000F43A8">
            <w:r w:rsidRPr="004F5958">
              <w:fldChar w:fldCharType="begin">
                <w:ffData>
                  <w:name w:val=""/>
                  <w:enabled/>
                  <w:calcOnExit w:val="0"/>
                  <w:checkBox>
                    <w:sizeAuto/>
                    <w:default w:val="0"/>
                  </w:checkBox>
                </w:ffData>
              </w:fldChar>
            </w:r>
            <w:r w:rsidRPr="004F5958">
              <w:instrText xml:space="preserve"> FORMCHECKBOX </w:instrText>
            </w:r>
            <w:r w:rsidR="00A918FD">
              <w:fldChar w:fldCharType="separate"/>
            </w:r>
            <w:r w:rsidRPr="004F5958">
              <w:fldChar w:fldCharType="end"/>
            </w:r>
            <w:r w:rsidRPr="004F5958">
              <w:t xml:space="preserve"> Projet transfrontalier ou régional</w:t>
            </w:r>
          </w:p>
          <w:p w14:paraId="4BA2AA6A" w14:textId="77777777" w:rsidR="000F43A8" w:rsidRPr="004F5958" w:rsidRDefault="000F43A8" w:rsidP="000F43A8">
            <w:pPr>
              <w:rPr>
                <w:b/>
                <w:bCs/>
              </w:rPr>
            </w:pPr>
          </w:p>
        </w:tc>
      </w:tr>
      <w:tr w:rsidR="004F5958" w:rsidRPr="004F5958" w14:paraId="65120CDF" w14:textId="77777777" w:rsidTr="00F23D0F">
        <w:trPr>
          <w:trHeight w:val="1124"/>
        </w:trPr>
        <w:tc>
          <w:tcPr>
            <w:tcW w:w="10080" w:type="dxa"/>
            <w:gridSpan w:val="2"/>
          </w:tcPr>
          <w:p w14:paraId="08D9EBF0" w14:textId="77777777" w:rsidR="00793DE6" w:rsidRPr="004F5958" w:rsidRDefault="000F43A8" w:rsidP="00F23D0F">
            <w:pPr>
              <w:rPr>
                <w:b/>
                <w:bCs/>
              </w:rPr>
            </w:pPr>
            <w:r w:rsidRPr="004F5958">
              <w:rPr>
                <w:b/>
                <w:bCs/>
              </w:rPr>
              <w:t>Budget PBF total approuvé</w:t>
            </w:r>
            <w:r w:rsidR="00793DE6" w:rsidRPr="004F5958">
              <w:rPr>
                <w:b/>
                <w:bCs/>
              </w:rPr>
              <w:t xml:space="preserve"> (</w:t>
            </w:r>
            <w:r w:rsidRPr="004F5958">
              <w:rPr>
                <w:b/>
                <w:bCs/>
              </w:rPr>
              <w:t>par agence récipiendaire</w:t>
            </w:r>
            <w:proofErr w:type="gramStart"/>
            <w:r w:rsidR="00793DE6" w:rsidRPr="004F5958">
              <w:rPr>
                <w:b/>
                <w:bCs/>
              </w:rPr>
              <w:t>):</w:t>
            </w:r>
            <w:proofErr w:type="gramEnd"/>
            <w:r w:rsidR="00793DE6" w:rsidRPr="004F5958">
              <w:rPr>
                <w:b/>
                <w:bCs/>
              </w:rPr>
              <w:t xml:space="preserve"> </w:t>
            </w:r>
          </w:p>
          <w:p w14:paraId="2B3D1401" w14:textId="3FD9CAD4" w:rsidR="00006EC0" w:rsidRPr="004F5958" w:rsidRDefault="000F43A8" w:rsidP="00F23D0F">
            <w:pPr>
              <w:rPr>
                <w:b/>
                <w:snapToGrid w:val="0"/>
              </w:rPr>
            </w:pPr>
            <w:bookmarkStart w:id="10" w:name="_Hlk39507683"/>
            <w:r w:rsidRPr="004F5958">
              <w:rPr>
                <w:b/>
                <w:snapToGrid w:val="0"/>
              </w:rPr>
              <w:t xml:space="preserve">Agence </w:t>
            </w:r>
            <w:r w:rsidRPr="004F5958">
              <w:rPr>
                <w:b/>
                <w:bCs/>
              </w:rPr>
              <w:t>récipiendaire</w:t>
            </w:r>
            <w:r w:rsidRPr="004F5958">
              <w:rPr>
                <w:b/>
                <w:snapToGrid w:val="0"/>
              </w:rPr>
              <w:t xml:space="preserve">                              Budget</w:t>
            </w:r>
            <w:r w:rsidR="00006EC0" w:rsidRPr="004F5958">
              <w:rPr>
                <w:b/>
                <w:snapToGrid w:val="0"/>
              </w:rPr>
              <w:t xml:space="preserve">  </w:t>
            </w:r>
          </w:p>
          <w:bookmarkEnd w:id="10"/>
          <w:p w14:paraId="61353E95" w14:textId="2F07EA41" w:rsidR="00793DE6" w:rsidRPr="004F5958" w:rsidRDefault="008C0203" w:rsidP="00F23D0F">
            <w:r w:rsidRPr="004F5958">
              <w:rPr>
                <w:bCs/>
                <w:snapToGrid w:val="0"/>
              </w:rPr>
              <w:fldChar w:fldCharType="begin">
                <w:ffData>
                  <w:name w:val=""/>
                  <w:enabled/>
                  <w:calcOnExit w:val="0"/>
                  <w:textInput>
                    <w:default w:val="PNUD"/>
                    <w:format w:val="FIRST CAPITAL"/>
                  </w:textInput>
                </w:ffData>
              </w:fldChar>
            </w:r>
            <w:r w:rsidRPr="004F5958">
              <w:rPr>
                <w:bCs/>
                <w:snapToGrid w:val="0"/>
              </w:rPr>
              <w:instrText xml:space="preserve"> FORMTEXT </w:instrText>
            </w:r>
            <w:r w:rsidRPr="004F5958">
              <w:rPr>
                <w:bCs/>
                <w:snapToGrid w:val="0"/>
              </w:rPr>
            </w:r>
            <w:r w:rsidRPr="004F5958">
              <w:rPr>
                <w:bCs/>
                <w:snapToGrid w:val="0"/>
              </w:rPr>
              <w:fldChar w:fldCharType="separate"/>
            </w:r>
            <w:r w:rsidRPr="004F5958">
              <w:rPr>
                <w:bCs/>
                <w:noProof/>
                <w:snapToGrid w:val="0"/>
              </w:rPr>
              <w:t>PNUD</w:t>
            </w:r>
            <w:r w:rsidRPr="004F5958">
              <w:rPr>
                <w:bCs/>
                <w:snapToGrid w:val="0"/>
              </w:rPr>
              <w:fldChar w:fldCharType="end"/>
            </w:r>
            <w:r w:rsidR="00006EC0" w:rsidRPr="004F5958">
              <w:rPr>
                <w:bCs/>
                <w:snapToGrid w:val="0"/>
              </w:rPr>
              <w:t xml:space="preserve">   </w:t>
            </w:r>
            <w:r w:rsidR="00006EC0" w:rsidRPr="004F5958">
              <w:rPr>
                <w:b/>
                <w:bCs/>
              </w:rPr>
              <w:t xml:space="preserve">                                   </w:t>
            </w:r>
            <w:r w:rsidR="000F43A8" w:rsidRPr="004F5958">
              <w:rPr>
                <w:b/>
                <w:bCs/>
              </w:rPr>
              <w:t xml:space="preserve">            </w:t>
            </w:r>
            <w:r w:rsidR="00006EC0" w:rsidRPr="004F5958">
              <w:rPr>
                <w:b/>
                <w:bCs/>
              </w:rPr>
              <w:t xml:space="preserve">      </w:t>
            </w:r>
            <w:r w:rsidR="00793DE6" w:rsidRPr="004F5958">
              <w:t xml:space="preserve">$ </w:t>
            </w:r>
            <w:r w:rsidR="000A4D23" w:rsidRPr="004F5958">
              <w:rPr>
                <w:bCs/>
                <w:snapToGrid w:val="0"/>
              </w:rPr>
              <w:t>2</w:t>
            </w:r>
            <w:r w:rsidR="00523081" w:rsidRPr="004F5958">
              <w:rPr>
                <w:bCs/>
                <w:snapToGrid w:val="0"/>
              </w:rPr>
              <w:t> </w:t>
            </w:r>
            <w:r w:rsidR="000A4D23" w:rsidRPr="004F5958">
              <w:rPr>
                <w:bCs/>
                <w:snapToGrid w:val="0"/>
              </w:rPr>
              <w:t>300</w:t>
            </w:r>
            <w:r w:rsidR="00523081" w:rsidRPr="004F5958">
              <w:rPr>
                <w:bCs/>
                <w:snapToGrid w:val="0"/>
              </w:rPr>
              <w:t xml:space="preserve"> </w:t>
            </w:r>
            <w:r w:rsidR="000A4D23" w:rsidRPr="004F5958">
              <w:rPr>
                <w:bCs/>
                <w:snapToGrid w:val="0"/>
              </w:rPr>
              <w:t>000</w:t>
            </w:r>
          </w:p>
          <w:p w14:paraId="52AEBA43" w14:textId="1D9C99BC" w:rsidR="00793DE6" w:rsidRPr="004F5958" w:rsidRDefault="008C0203" w:rsidP="00F23D0F">
            <w:pPr>
              <w:pStyle w:val="Textedebulles"/>
              <w:numPr>
                <w:ilvl w:val="12"/>
                <w:numId w:val="0"/>
              </w:numPr>
              <w:tabs>
                <w:tab w:val="left" w:pos="-720"/>
                <w:tab w:val="left" w:pos="4500"/>
              </w:tabs>
              <w:suppressAutoHyphens/>
              <w:rPr>
                <w:rFonts w:ascii="Times New Roman" w:hAnsi="Times New Roman" w:cs="Times New Roman"/>
                <w:sz w:val="24"/>
                <w:szCs w:val="24"/>
              </w:rPr>
            </w:pPr>
            <w:r w:rsidRPr="004F5958">
              <w:rPr>
                <w:rFonts w:ascii="Times New Roman" w:hAnsi="Times New Roman" w:cs="Times New Roman"/>
                <w:bCs/>
                <w:snapToGrid w:val="0"/>
                <w:sz w:val="24"/>
                <w:szCs w:val="24"/>
              </w:rPr>
              <w:fldChar w:fldCharType="begin">
                <w:ffData>
                  <w:name w:val=""/>
                  <w:enabled/>
                  <w:calcOnExit w:val="0"/>
                  <w:textInput>
                    <w:default w:val="FAO"/>
                    <w:format w:val="FIRST CAPITAL"/>
                  </w:textInput>
                </w:ffData>
              </w:fldChar>
            </w:r>
            <w:r w:rsidRPr="004F5958">
              <w:rPr>
                <w:rFonts w:ascii="Times New Roman" w:hAnsi="Times New Roman" w:cs="Times New Roman"/>
                <w:bCs/>
                <w:snapToGrid w:val="0"/>
                <w:sz w:val="24"/>
                <w:szCs w:val="24"/>
              </w:rPr>
              <w:instrText xml:space="preserve"> FORMTEXT </w:instrText>
            </w:r>
            <w:r w:rsidRPr="004F5958">
              <w:rPr>
                <w:rFonts w:ascii="Times New Roman" w:hAnsi="Times New Roman" w:cs="Times New Roman"/>
                <w:bCs/>
                <w:snapToGrid w:val="0"/>
                <w:sz w:val="24"/>
                <w:szCs w:val="24"/>
              </w:rPr>
            </w:r>
            <w:r w:rsidRPr="004F5958">
              <w:rPr>
                <w:rFonts w:ascii="Times New Roman" w:hAnsi="Times New Roman" w:cs="Times New Roman"/>
                <w:bCs/>
                <w:snapToGrid w:val="0"/>
                <w:sz w:val="24"/>
                <w:szCs w:val="24"/>
              </w:rPr>
              <w:fldChar w:fldCharType="separate"/>
            </w:r>
            <w:r w:rsidRPr="004F5958">
              <w:rPr>
                <w:rFonts w:ascii="Times New Roman" w:hAnsi="Times New Roman" w:cs="Times New Roman"/>
                <w:bCs/>
                <w:noProof/>
                <w:snapToGrid w:val="0"/>
                <w:sz w:val="24"/>
                <w:szCs w:val="24"/>
              </w:rPr>
              <w:t>FAO</w:t>
            </w:r>
            <w:r w:rsidRPr="004F5958">
              <w:rPr>
                <w:rFonts w:ascii="Times New Roman" w:hAnsi="Times New Roman" w:cs="Times New Roman"/>
                <w:bCs/>
                <w:snapToGrid w:val="0"/>
                <w:sz w:val="24"/>
                <w:szCs w:val="24"/>
              </w:rPr>
              <w:fldChar w:fldCharType="end"/>
            </w:r>
            <w:r w:rsidR="00C12D6A" w:rsidRPr="004F5958">
              <w:rPr>
                <w:rFonts w:ascii="Times New Roman" w:hAnsi="Times New Roman" w:cs="Times New Roman"/>
                <w:bCs/>
                <w:snapToGrid w:val="0"/>
                <w:sz w:val="24"/>
                <w:szCs w:val="24"/>
              </w:rPr>
              <w:t xml:space="preserve">   </w:t>
            </w:r>
            <w:r w:rsidR="00006EC0" w:rsidRPr="004F5958">
              <w:rPr>
                <w:rFonts w:ascii="Times New Roman" w:hAnsi="Times New Roman" w:cs="Times New Roman"/>
                <w:bCs/>
                <w:snapToGrid w:val="0"/>
                <w:sz w:val="24"/>
                <w:szCs w:val="24"/>
              </w:rPr>
              <w:t xml:space="preserve">                                                     </w:t>
            </w:r>
            <w:r w:rsidR="00793DE6" w:rsidRPr="004F5958">
              <w:rPr>
                <w:rFonts w:ascii="Times New Roman" w:hAnsi="Times New Roman" w:cs="Times New Roman"/>
                <w:sz w:val="24"/>
                <w:szCs w:val="24"/>
              </w:rPr>
              <w:t xml:space="preserve">$ </w:t>
            </w:r>
            <w:r w:rsidRPr="004F5958">
              <w:rPr>
                <w:rFonts w:ascii="Times New Roman" w:hAnsi="Times New Roman" w:cs="Times New Roman"/>
                <w:bCs/>
                <w:snapToGrid w:val="0"/>
                <w:sz w:val="24"/>
                <w:szCs w:val="24"/>
              </w:rPr>
              <w:fldChar w:fldCharType="begin">
                <w:ffData>
                  <w:name w:val=""/>
                  <w:enabled/>
                  <w:calcOnExit w:val="0"/>
                  <w:textInput>
                    <w:type w:val="number"/>
                    <w:default w:val="300000.00"/>
                    <w:format w:val="0.00"/>
                  </w:textInput>
                </w:ffData>
              </w:fldChar>
            </w:r>
            <w:r w:rsidRPr="004F5958">
              <w:rPr>
                <w:rFonts w:ascii="Times New Roman" w:hAnsi="Times New Roman" w:cs="Times New Roman"/>
                <w:bCs/>
                <w:snapToGrid w:val="0"/>
                <w:sz w:val="24"/>
                <w:szCs w:val="24"/>
              </w:rPr>
              <w:instrText xml:space="preserve"> FORMTEXT </w:instrText>
            </w:r>
            <w:r w:rsidRPr="004F5958">
              <w:rPr>
                <w:rFonts w:ascii="Times New Roman" w:hAnsi="Times New Roman" w:cs="Times New Roman"/>
                <w:bCs/>
                <w:snapToGrid w:val="0"/>
                <w:sz w:val="24"/>
                <w:szCs w:val="24"/>
              </w:rPr>
            </w:r>
            <w:r w:rsidRPr="004F5958">
              <w:rPr>
                <w:rFonts w:ascii="Times New Roman" w:hAnsi="Times New Roman" w:cs="Times New Roman"/>
                <w:bCs/>
                <w:snapToGrid w:val="0"/>
                <w:sz w:val="24"/>
                <w:szCs w:val="24"/>
              </w:rPr>
              <w:fldChar w:fldCharType="separate"/>
            </w:r>
            <w:r w:rsidRPr="004F5958">
              <w:rPr>
                <w:rFonts w:ascii="Times New Roman" w:hAnsi="Times New Roman" w:cs="Times New Roman"/>
                <w:bCs/>
                <w:noProof/>
                <w:snapToGrid w:val="0"/>
                <w:sz w:val="24"/>
                <w:szCs w:val="24"/>
              </w:rPr>
              <w:t>300000.00</w:t>
            </w:r>
            <w:r w:rsidRPr="004F5958">
              <w:rPr>
                <w:rFonts w:ascii="Times New Roman" w:hAnsi="Times New Roman" w:cs="Times New Roman"/>
                <w:bCs/>
                <w:snapToGrid w:val="0"/>
                <w:sz w:val="24"/>
                <w:szCs w:val="24"/>
              </w:rPr>
              <w:fldChar w:fldCharType="end"/>
            </w:r>
          </w:p>
          <w:p w14:paraId="142C77E8" w14:textId="77777777" w:rsidR="00793DE6" w:rsidRPr="004F5958" w:rsidRDefault="00C12D6A" w:rsidP="00F23D0F">
            <w:pPr>
              <w:pStyle w:val="Textedebulles"/>
              <w:numPr>
                <w:ilvl w:val="12"/>
                <w:numId w:val="0"/>
              </w:numPr>
              <w:tabs>
                <w:tab w:val="left" w:pos="-720"/>
                <w:tab w:val="left" w:pos="4500"/>
              </w:tabs>
              <w:suppressAutoHyphens/>
              <w:rPr>
                <w:rFonts w:ascii="Times New Roman" w:hAnsi="Times New Roman" w:cs="Times New Roman"/>
                <w:bCs/>
                <w:snapToGrid w:val="0"/>
                <w:sz w:val="24"/>
                <w:szCs w:val="24"/>
              </w:rPr>
            </w:pPr>
            <w:r w:rsidRPr="004F5958">
              <w:rPr>
                <w:rFonts w:ascii="Times New Roman" w:hAnsi="Times New Roman" w:cs="Times New Roman"/>
                <w:bCs/>
                <w:snapToGrid w:val="0"/>
                <w:sz w:val="24"/>
                <w:szCs w:val="24"/>
              </w:rPr>
              <w:fldChar w:fldCharType="begin">
                <w:ffData>
                  <w:name w:val="Text11"/>
                  <w:enabled/>
                  <w:calcOnExit w:val="0"/>
                  <w:textInput>
                    <w:format w:val="FIRST CAPITAL"/>
                  </w:textInput>
                </w:ffData>
              </w:fldChar>
            </w:r>
            <w:r w:rsidRPr="004F5958">
              <w:rPr>
                <w:rFonts w:ascii="Times New Roman" w:hAnsi="Times New Roman" w:cs="Times New Roman"/>
                <w:bCs/>
                <w:snapToGrid w:val="0"/>
                <w:sz w:val="24"/>
                <w:szCs w:val="24"/>
              </w:rPr>
              <w:instrText xml:space="preserve"> FORMTEXT </w:instrText>
            </w:r>
            <w:r w:rsidRPr="004F5958">
              <w:rPr>
                <w:rFonts w:ascii="Times New Roman" w:hAnsi="Times New Roman" w:cs="Times New Roman"/>
                <w:bCs/>
                <w:snapToGrid w:val="0"/>
                <w:sz w:val="24"/>
                <w:szCs w:val="24"/>
              </w:rPr>
            </w:r>
            <w:r w:rsidRPr="004F5958">
              <w:rPr>
                <w:rFonts w:ascii="Times New Roman" w:hAnsi="Times New Roman" w:cs="Times New Roman"/>
                <w:bCs/>
                <w:snapToGrid w:val="0"/>
                <w:sz w:val="24"/>
                <w:szCs w:val="24"/>
              </w:rPr>
              <w:fldChar w:fldCharType="separate"/>
            </w:r>
            <w:r w:rsidRPr="004F5958">
              <w:rPr>
                <w:rFonts w:ascii="Times New Roman" w:hAnsi="Times New Roman" w:cs="Times New Roman"/>
                <w:bCs/>
                <w:snapToGrid w:val="0"/>
                <w:sz w:val="24"/>
                <w:szCs w:val="24"/>
              </w:rPr>
              <w:t> </w:t>
            </w:r>
            <w:r w:rsidRPr="004F5958">
              <w:rPr>
                <w:rFonts w:ascii="Times New Roman" w:hAnsi="Times New Roman" w:cs="Times New Roman"/>
                <w:bCs/>
                <w:snapToGrid w:val="0"/>
                <w:sz w:val="24"/>
                <w:szCs w:val="24"/>
              </w:rPr>
              <w:t> </w:t>
            </w:r>
            <w:r w:rsidRPr="004F5958">
              <w:rPr>
                <w:rFonts w:ascii="Times New Roman" w:hAnsi="Times New Roman" w:cs="Times New Roman"/>
                <w:bCs/>
                <w:snapToGrid w:val="0"/>
                <w:sz w:val="24"/>
                <w:szCs w:val="24"/>
              </w:rPr>
              <w:t> </w:t>
            </w:r>
            <w:r w:rsidRPr="004F5958">
              <w:rPr>
                <w:rFonts w:ascii="Times New Roman" w:hAnsi="Times New Roman" w:cs="Times New Roman"/>
                <w:bCs/>
                <w:snapToGrid w:val="0"/>
                <w:sz w:val="24"/>
                <w:szCs w:val="24"/>
              </w:rPr>
              <w:t> </w:t>
            </w:r>
            <w:r w:rsidRPr="004F5958">
              <w:rPr>
                <w:rFonts w:ascii="Times New Roman" w:hAnsi="Times New Roman" w:cs="Times New Roman"/>
                <w:bCs/>
                <w:snapToGrid w:val="0"/>
                <w:sz w:val="24"/>
                <w:szCs w:val="24"/>
              </w:rPr>
              <w:t> </w:t>
            </w:r>
            <w:r w:rsidRPr="004F5958">
              <w:rPr>
                <w:rFonts w:ascii="Times New Roman" w:hAnsi="Times New Roman" w:cs="Times New Roman"/>
                <w:bCs/>
                <w:snapToGrid w:val="0"/>
                <w:sz w:val="24"/>
                <w:szCs w:val="24"/>
              </w:rPr>
              <w:fldChar w:fldCharType="end"/>
            </w:r>
            <w:r w:rsidRPr="004F5958">
              <w:rPr>
                <w:rFonts w:ascii="Times New Roman" w:hAnsi="Times New Roman" w:cs="Times New Roman"/>
                <w:bCs/>
                <w:snapToGrid w:val="0"/>
                <w:sz w:val="24"/>
                <w:szCs w:val="24"/>
              </w:rPr>
              <w:t xml:space="preserve">   </w:t>
            </w:r>
            <w:r w:rsidR="00006EC0" w:rsidRPr="004F5958">
              <w:rPr>
                <w:rFonts w:ascii="Times New Roman" w:hAnsi="Times New Roman" w:cs="Times New Roman"/>
                <w:bCs/>
                <w:snapToGrid w:val="0"/>
                <w:sz w:val="24"/>
                <w:szCs w:val="24"/>
              </w:rPr>
              <w:t xml:space="preserve">                                                     </w:t>
            </w:r>
            <w:r w:rsidR="00793DE6" w:rsidRPr="004F5958">
              <w:rPr>
                <w:rFonts w:ascii="Times New Roman" w:hAnsi="Times New Roman" w:cs="Times New Roman"/>
                <w:sz w:val="24"/>
                <w:szCs w:val="24"/>
              </w:rPr>
              <w:t xml:space="preserve">$ </w:t>
            </w:r>
            <w:r w:rsidR="00006EC0" w:rsidRPr="004F5958">
              <w:rPr>
                <w:rFonts w:ascii="Times New Roman" w:hAnsi="Times New Roman" w:cs="Times New Roman"/>
                <w:bCs/>
                <w:snapToGrid w:val="0"/>
                <w:sz w:val="24"/>
                <w:szCs w:val="24"/>
              </w:rPr>
              <w:fldChar w:fldCharType="begin">
                <w:ffData>
                  <w:name w:val=""/>
                  <w:enabled/>
                  <w:calcOnExit w:val="0"/>
                  <w:textInput>
                    <w:type w:val="number"/>
                    <w:format w:val="0.00"/>
                  </w:textInput>
                </w:ffData>
              </w:fldChar>
            </w:r>
            <w:r w:rsidR="00006EC0" w:rsidRPr="004F5958">
              <w:rPr>
                <w:rFonts w:ascii="Times New Roman" w:hAnsi="Times New Roman" w:cs="Times New Roman"/>
                <w:bCs/>
                <w:snapToGrid w:val="0"/>
                <w:sz w:val="24"/>
                <w:szCs w:val="24"/>
              </w:rPr>
              <w:instrText xml:space="preserve"> FORMTEXT </w:instrText>
            </w:r>
            <w:r w:rsidR="00006EC0" w:rsidRPr="004F5958">
              <w:rPr>
                <w:rFonts w:ascii="Times New Roman" w:hAnsi="Times New Roman" w:cs="Times New Roman"/>
                <w:bCs/>
                <w:snapToGrid w:val="0"/>
                <w:sz w:val="24"/>
                <w:szCs w:val="24"/>
              </w:rPr>
            </w:r>
            <w:r w:rsidR="00006EC0" w:rsidRPr="004F5958">
              <w:rPr>
                <w:rFonts w:ascii="Times New Roman" w:hAnsi="Times New Roman" w:cs="Times New Roman"/>
                <w:bCs/>
                <w:snapToGrid w:val="0"/>
                <w:sz w:val="24"/>
                <w:szCs w:val="24"/>
              </w:rPr>
              <w:fldChar w:fldCharType="separate"/>
            </w:r>
            <w:r w:rsidR="00006EC0" w:rsidRPr="004F5958">
              <w:rPr>
                <w:rFonts w:ascii="Times New Roman" w:hAnsi="Times New Roman" w:cs="Times New Roman"/>
                <w:bCs/>
                <w:noProof/>
                <w:snapToGrid w:val="0"/>
                <w:sz w:val="24"/>
                <w:szCs w:val="24"/>
              </w:rPr>
              <w:t> </w:t>
            </w:r>
            <w:r w:rsidR="00006EC0" w:rsidRPr="004F5958">
              <w:rPr>
                <w:rFonts w:ascii="Times New Roman" w:hAnsi="Times New Roman" w:cs="Times New Roman"/>
                <w:bCs/>
                <w:noProof/>
                <w:snapToGrid w:val="0"/>
                <w:sz w:val="24"/>
                <w:szCs w:val="24"/>
              </w:rPr>
              <w:t> </w:t>
            </w:r>
            <w:r w:rsidR="00006EC0" w:rsidRPr="004F5958">
              <w:rPr>
                <w:rFonts w:ascii="Times New Roman" w:hAnsi="Times New Roman" w:cs="Times New Roman"/>
                <w:bCs/>
                <w:noProof/>
                <w:snapToGrid w:val="0"/>
                <w:sz w:val="24"/>
                <w:szCs w:val="24"/>
              </w:rPr>
              <w:t> </w:t>
            </w:r>
            <w:r w:rsidR="00006EC0" w:rsidRPr="004F5958">
              <w:rPr>
                <w:rFonts w:ascii="Times New Roman" w:hAnsi="Times New Roman" w:cs="Times New Roman"/>
                <w:bCs/>
                <w:noProof/>
                <w:snapToGrid w:val="0"/>
                <w:sz w:val="24"/>
                <w:szCs w:val="24"/>
              </w:rPr>
              <w:t> </w:t>
            </w:r>
            <w:r w:rsidR="00006EC0" w:rsidRPr="004F5958">
              <w:rPr>
                <w:rFonts w:ascii="Times New Roman" w:hAnsi="Times New Roman" w:cs="Times New Roman"/>
                <w:bCs/>
                <w:noProof/>
                <w:snapToGrid w:val="0"/>
                <w:sz w:val="24"/>
                <w:szCs w:val="24"/>
              </w:rPr>
              <w:t> </w:t>
            </w:r>
            <w:r w:rsidR="00006EC0" w:rsidRPr="004F5958">
              <w:rPr>
                <w:rFonts w:ascii="Times New Roman" w:hAnsi="Times New Roman" w:cs="Times New Roman"/>
                <w:bCs/>
                <w:snapToGrid w:val="0"/>
                <w:sz w:val="24"/>
                <w:szCs w:val="24"/>
              </w:rPr>
              <w:fldChar w:fldCharType="end"/>
            </w:r>
          </w:p>
          <w:p w14:paraId="0900B169" w14:textId="77777777" w:rsidR="00C12D6A" w:rsidRPr="004F5958" w:rsidRDefault="00C12D6A" w:rsidP="00C12D6A">
            <w:pPr>
              <w:pStyle w:val="Textedebulles"/>
              <w:numPr>
                <w:ilvl w:val="12"/>
                <w:numId w:val="0"/>
              </w:numPr>
              <w:tabs>
                <w:tab w:val="left" w:pos="-720"/>
                <w:tab w:val="left" w:pos="4500"/>
              </w:tabs>
              <w:suppressAutoHyphens/>
              <w:rPr>
                <w:rFonts w:ascii="Times New Roman" w:hAnsi="Times New Roman" w:cs="Times New Roman"/>
                <w:bCs/>
                <w:snapToGrid w:val="0"/>
                <w:sz w:val="24"/>
                <w:szCs w:val="24"/>
              </w:rPr>
            </w:pPr>
            <w:r w:rsidRPr="004F5958">
              <w:rPr>
                <w:rFonts w:ascii="Times New Roman" w:hAnsi="Times New Roman" w:cs="Times New Roman"/>
                <w:bCs/>
                <w:snapToGrid w:val="0"/>
                <w:sz w:val="24"/>
                <w:szCs w:val="24"/>
              </w:rPr>
              <w:fldChar w:fldCharType="begin">
                <w:ffData>
                  <w:name w:val="Text11"/>
                  <w:enabled/>
                  <w:calcOnExit w:val="0"/>
                  <w:textInput>
                    <w:format w:val="FIRST CAPITAL"/>
                  </w:textInput>
                </w:ffData>
              </w:fldChar>
            </w:r>
            <w:r w:rsidRPr="004F5958">
              <w:rPr>
                <w:rFonts w:ascii="Times New Roman" w:hAnsi="Times New Roman" w:cs="Times New Roman"/>
                <w:bCs/>
                <w:snapToGrid w:val="0"/>
                <w:sz w:val="24"/>
                <w:szCs w:val="24"/>
              </w:rPr>
              <w:instrText xml:space="preserve"> FORMTEXT </w:instrText>
            </w:r>
            <w:r w:rsidRPr="004F5958">
              <w:rPr>
                <w:rFonts w:ascii="Times New Roman" w:hAnsi="Times New Roman" w:cs="Times New Roman"/>
                <w:bCs/>
                <w:snapToGrid w:val="0"/>
                <w:sz w:val="24"/>
                <w:szCs w:val="24"/>
              </w:rPr>
            </w:r>
            <w:r w:rsidRPr="004F5958">
              <w:rPr>
                <w:rFonts w:ascii="Times New Roman" w:hAnsi="Times New Roman" w:cs="Times New Roman"/>
                <w:bCs/>
                <w:snapToGrid w:val="0"/>
                <w:sz w:val="24"/>
                <w:szCs w:val="24"/>
              </w:rPr>
              <w:fldChar w:fldCharType="separate"/>
            </w:r>
            <w:r w:rsidRPr="004F5958">
              <w:rPr>
                <w:rFonts w:ascii="Times New Roman" w:hAnsi="Times New Roman" w:cs="Times New Roman"/>
                <w:bCs/>
                <w:snapToGrid w:val="0"/>
                <w:sz w:val="24"/>
                <w:szCs w:val="24"/>
              </w:rPr>
              <w:t> </w:t>
            </w:r>
            <w:r w:rsidRPr="004F5958">
              <w:rPr>
                <w:rFonts w:ascii="Times New Roman" w:hAnsi="Times New Roman" w:cs="Times New Roman"/>
                <w:bCs/>
                <w:snapToGrid w:val="0"/>
                <w:sz w:val="24"/>
                <w:szCs w:val="24"/>
              </w:rPr>
              <w:t> </w:t>
            </w:r>
            <w:r w:rsidRPr="004F5958">
              <w:rPr>
                <w:rFonts w:ascii="Times New Roman" w:hAnsi="Times New Roman" w:cs="Times New Roman"/>
                <w:bCs/>
                <w:snapToGrid w:val="0"/>
                <w:sz w:val="24"/>
                <w:szCs w:val="24"/>
              </w:rPr>
              <w:t> </w:t>
            </w:r>
            <w:r w:rsidRPr="004F5958">
              <w:rPr>
                <w:rFonts w:ascii="Times New Roman" w:hAnsi="Times New Roman" w:cs="Times New Roman"/>
                <w:bCs/>
                <w:snapToGrid w:val="0"/>
                <w:sz w:val="24"/>
                <w:szCs w:val="24"/>
              </w:rPr>
              <w:t> </w:t>
            </w:r>
            <w:r w:rsidRPr="004F5958">
              <w:rPr>
                <w:rFonts w:ascii="Times New Roman" w:hAnsi="Times New Roman" w:cs="Times New Roman"/>
                <w:bCs/>
                <w:snapToGrid w:val="0"/>
                <w:sz w:val="24"/>
                <w:szCs w:val="24"/>
              </w:rPr>
              <w:t> </w:t>
            </w:r>
            <w:r w:rsidRPr="004F5958">
              <w:rPr>
                <w:rFonts w:ascii="Times New Roman" w:hAnsi="Times New Roman" w:cs="Times New Roman"/>
                <w:bCs/>
                <w:snapToGrid w:val="0"/>
                <w:sz w:val="24"/>
                <w:szCs w:val="24"/>
              </w:rPr>
              <w:fldChar w:fldCharType="end"/>
            </w:r>
            <w:r w:rsidRPr="004F5958">
              <w:rPr>
                <w:rFonts w:ascii="Times New Roman" w:hAnsi="Times New Roman" w:cs="Times New Roman"/>
                <w:bCs/>
                <w:snapToGrid w:val="0"/>
                <w:sz w:val="24"/>
                <w:szCs w:val="24"/>
              </w:rPr>
              <w:t xml:space="preserve">   </w:t>
            </w:r>
            <w:r w:rsidR="00006EC0" w:rsidRPr="004F5958">
              <w:rPr>
                <w:rFonts w:ascii="Times New Roman" w:hAnsi="Times New Roman" w:cs="Times New Roman"/>
                <w:bCs/>
                <w:snapToGrid w:val="0"/>
                <w:sz w:val="24"/>
                <w:szCs w:val="24"/>
              </w:rPr>
              <w:t xml:space="preserve">                                                     </w:t>
            </w:r>
            <w:r w:rsidRPr="004F5958">
              <w:rPr>
                <w:rFonts w:ascii="Times New Roman" w:hAnsi="Times New Roman" w:cs="Times New Roman"/>
                <w:sz w:val="24"/>
                <w:szCs w:val="24"/>
              </w:rPr>
              <w:t xml:space="preserve">$ </w:t>
            </w:r>
            <w:r w:rsidR="00006EC0" w:rsidRPr="004F5958">
              <w:rPr>
                <w:rFonts w:ascii="Times New Roman" w:hAnsi="Times New Roman" w:cs="Times New Roman"/>
                <w:bCs/>
                <w:snapToGrid w:val="0"/>
                <w:sz w:val="24"/>
                <w:szCs w:val="24"/>
              </w:rPr>
              <w:fldChar w:fldCharType="begin">
                <w:ffData>
                  <w:name w:val="Text11"/>
                  <w:enabled/>
                  <w:calcOnExit w:val="0"/>
                  <w:textInput>
                    <w:type w:val="number"/>
                    <w:format w:val="0.00"/>
                  </w:textInput>
                </w:ffData>
              </w:fldChar>
            </w:r>
            <w:r w:rsidR="00006EC0" w:rsidRPr="004F5958">
              <w:rPr>
                <w:rFonts w:ascii="Times New Roman" w:hAnsi="Times New Roman" w:cs="Times New Roman"/>
                <w:bCs/>
                <w:snapToGrid w:val="0"/>
                <w:sz w:val="24"/>
                <w:szCs w:val="24"/>
              </w:rPr>
              <w:instrText xml:space="preserve"> FORMTEXT </w:instrText>
            </w:r>
            <w:r w:rsidR="00006EC0" w:rsidRPr="004F5958">
              <w:rPr>
                <w:rFonts w:ascii="Times New Roman" w:hAnsi="Times New Roman" w:cs="Times New Roman"/>
                <w:bCs/>
                <w:snapToGrid w:val="0"/>
                <w:sz w:val="24"/>
                <w:szCs w:val="24"/>
              </w:rPr>
            </w:r>
            <w:r w:rsidR="00006EC0" w:rsidRPr="004F5958">
              <w:rPr>
                <w:rFonts w:ascii="Times New Roman" w:hAnsi="Times New Roman" w:cs="Times New Roman"/>
                <w:bCs/>
                <w:snapToGrid w:val="0"/>
                <w:sz w:val="24"/>
                <w:szCs w:val="24"/>
              </w:rPr>
              <w:fldChar w:fldCharType="separate"/>
            </w:r>
            <w:r w:rsidR="00006EC0" w:rsidRPr="004F5958">
              <w:rPr>
                <w:rFonts w:ascii="Times New Roman" w:hAnsi="Times New Roman" w:cs="Times New Roman"/>
                <w:bCs/>
                <w:noProof/>
                <w:snapToGrid w:val="0"/>
                <w:sz w:val="24"/>
                <w:szCs w:val="24"/>
              </w:rPr>
              <w:t> </w:t>
            </w:r>
            <w:r w:rsidR="00006EC0" w:rsidRPr="004F5958">
              <w:rPr>
                <w:rFonts w:ascii="Times New Roman" w:hAnsi="Times New Roman" w:cs="Times New Roman"/>
                <w:bCs/>
                <w:noProof/>
                <w:snapToGrid w:val="0"/>
                <w:sz w:val="24"/>
                <w:szCs w:val="24"/>
              </w:rPr>
              <w:t> </w:t>
            </w:r>
            <w:r w:rsidR="00006EC0" w:rsidRPr="004F5958">
              <w:rPr>
                <w:rFonts w:ascii="Times New Roman" w:hAnsi="Times New Roman" w:cs="Times New Roman"/>
                <w:bCs/>
                <w:noProof/>
                <w:snapToGrid w:val="0"/>
                <w:sz w:val="24"/>
                <w:szCs w:val="24"/>
              </w:rPr>
              <w:t> </w:t>
            </w:r>
            <w:r w:rsidR="00006EC0" w:rsidRPr="004F5958">
              <w:rPr>
                <w:rFonts w:ascii="Times New Roman" w:hAnsi="Times New Roman" w:cs="Times New Roman"/>
                <w:bCs/>
                <w:noProof/>
                <w:snapToGrid w:val="0"/>
                <w:sz w:val="24"/>
                <w:szCs w:val="24"/>
              </w:rPr>
              <w:t> </w:t>
            </w:r>
            <w:r w:rsidR="00006EC0" w:rsidRPr="004F5958">
              <w:rPr>
                <w:rFonts w:ascii="Times New Roman" w:hAnsi="Times New Roman" w:cs="Times New Roman"/>
                <w:bCs/>
                <w:noProof/>
                <w:snapToGrid w:val="0"/>
                <w:sz w:val="24"/>
                <w:szCs w:val="24"/>
              </w:rPr>
              <w:t> </w:t>
            </w:r>
            <w:r w:rsidR="00006EC0" w:rsidRPr="004F5958">
              <w:rPr>
                <w:rFonts w:ascii="Times New Roman" w:hAnsi="Times New Roman" w:cs="Times New Roman"/>
                <w:bCs/>
                <w:snapToGrid w:val="0"/>
                <w:sz w:val="24"/>
                <w:szCs w:val="24"/>
              </w:rPr>
              <w:fldChar w:fldCharType="end"/>
            </w:r>
          </w:p>
          <w:p w14:paraId="7AA2D079" w14:textId="68BA48F2" w:rsidR="00793DE6" w:rsidRPr="004F5958" w:rsidRDefault="00006EC0" w:rsidP="001A3157">
            <w:pPr>
              <w:pStyle w:val="Textedebulles"/>
              <w:numPr>
                <w:ilvl w:val="12"/>
                <w:numId w:val="0"/>
              </w:numPr>
              <w:tabs>
                <w:tab w:val="left" w:pos="-720"/>
                <w:tab w:val="left" w:pos="4500"/>
              </w:tabs>
              <w:suppressAutoHyphens/>
              <w:rPr>
                <w:rFonts w:ascii="Times New Roman" w:hAnsi="Times New Roman" w:cs="Times New Roman"/>
                <w:bCs/>
                <w:snapToGrid w:val="0"/>
                <w:sz w:val="24"/>
                <w:szCs w:val="24"/>
              </w:rPr>
            </w:pPr>
            <w:r w:rsidRPr="004F5958">
              <w:rPr>
                <w:rFonts w:ascii="Times New Roman" w:hAnsi="Times New Roman" w:cs="Times New Roman"/>
                <w:sz w:val="24"/>
                <w:szCs w:val="24"/>
              </w:rPr>
              <w:t xml:space="preserve">                                          </w:t>
            </w:r>
            <w:r w:rsidR="000F43A8" w:rsidRPr="004F5958">
              <w:rPr>
                <w:rFonts w:ascii="Times New Roman" w:hAnsi="Times New Roman" w:cs="Times New Roman"/>
                <w:sz w:val="24"/>
                <w:szCs w:val="24"/>
              </w:rPr>
              <w:t xml:space="preserve">            </w:t>
            </w:r>
            <w:r w:rsidRPr="004F5958">
              <w:rPr>
                <w:rFonts w:ascii="Times New Roman" w:hAnsi="Times New Roman" w:cs="Times New Roman"/>
                <w:sz w:val="24"/>
                <w:szCs w:val="24"/>
              </w:rPr>
              <w:t xml:space="preserve"> </w:t>
            </w:r>
            <w:proofErr w:type="gramStart"/>
            <w:r w:rsidR="00793DE6" w:rsidRPr="004F5958">
              <w:rPr>
                <w:rFonts w:ascii="Times New Roman" w:hAnsi="Times New Roman" w:cs="Times New Roman"/>
                <w:sz w:val="24"/>
                <w:szCs w:val="24"/>
              </w:rPr>
              <w:t>Total:</w:t>
            </w:r>
            <w:proofErr w:type="gramEnd"/>
            <w:r w:rsidRPr="004F5958">
              <w:rPr>
                <w:rFonts w:ascii="Times New Roman" w:hAnsi="Times New Roman" w:cs="Times New Roman"/>
                <w:sz w:val="24"/>
                <w:szCs w:val="24"/>
              </w:rPr>
              <w:t xml:space="preserve"> $ </w:t>
            </w:r>
            <w:r w:rsidR="000A4D23" w:rsidRPr="004F5958">
              <w:rPr>
                <w:rFonts w:ascii="Times New Roman" w:hAnsi="Times New Roman" w:cs="Times New Roman"/>
                <w:bCs/>
                <w:snapToGrid w:val="0"/>
                <w:sz w:val="24"/>
                <w:szCs w:val="24"/>
              </w:rPr>
              <w:t>2</w:t>
            </w:r>
            <w:r w:rsidR="00523081" w:rsidRPr="004F5958">
              <w:rPr>
                <w:rFonts w:ascii="Times New Roman" w:hAnsi="Times New Roman" w:cs="Times New Roman"/>
                <w:bCs/>
                <w:snapToGrid w:val="0"/>
                <w:sz w:val="24"/>
                <w:szCs w:val="24"/>
              </w:rPr>
              <w:t> </w:t>
            </w:r>
            <w:r w:rsidR="000A4D23" w:rsidRPr="004F5958">
              <w:rPr>
                <w:rFonts w:ascii="Times New Roman" w:hAnsi="Times New Roman" w:cs="Times New Roman"/>
                <w:bCs/>
                <w:snapToGrid w:val="0"/>
                <w:sz w:val="24"/>
                <w:szCs w:val="24"/>
              </w:rPr>
              <w:t>600</w:t>
            </w:r>
            <w:r w:rsidR="00523081" w:rsidRPr="004F5958">
              <w:rPr>
                <w:rFonts w:ascii="Times New Roman" w:hAnsi="Times New Roman" w:cs="Times New Roman"/>
                <w:bCs/>
                <w:snapToGrid w:val="0"/>
                <w:sz w:val="24"/>
                <w:szCs w:val="24"/>
              </w:rPr>
              <w:t xml:space="preserve"> </w:t>
            </w:r>
            <w:r w:rsidR="000A4D23" w:rsidRPr="004F5958">
              <w:rPr>
                <w:rFonts w:ascii="Times New Roman" w:hAnsi="Times New Roman" w:cs="Times New Roman"/>
                <w:bCs/>
                <w:snapToGrid w:val="0"/>
                <w:sz w:val="24"/>
                <w:szCs w:val="24"/>
              </w:rPr>
              <w:t>000</w:t>
            </w:r>
            <w:r w:rsidR="00C12D6A" w:rsidRPr="004F5958">
              <w:rPr>
                <w:rFonts w:ascii="Times New Roman" w:hAnsi="Times New Roman" w:cs="Times New Roman"/>
                <w:bCs/>
                <w:snapToGrid w:val="0"/>
                <w:sz w:val="24"/>
                <w:szCs w:val="24"/>
              </w:rPr>
              <w:t xml:space="preserve"> </w:t>
            </w:r>
          </w:p>
          <w:p w14:paraId="5324AF29" w14:textId="67AD92F9" w:rsidR="001C56B8" w:rsidRPr="004F5958" w:rsidRDefault="000F43A8" w:rsidP="001A3157">
            <w:pPr>
              <w:pStyle w:val="Textedebulles"/>
              <w:numPr>
                <w:ilvl w:val="12"/>
                <w:numId w:val="0"/>
              </w:numPr>
              <w:tabs>
                <w:tab w:val="left" w:pos="-720"/>
                <w:tab w:val="left" w:pos="4500"/>
              </w:tabs>
              <w:suppressAutoHyphens/>
              <w:rPr>
                <w:rFonts w:ascii="Times New Roman" w:hAnsi="Times New Roman" w:cs="Times New Roman"/>
                <w:bCs/>
                <w:snapToGrid w:val="0"/>
                <w:sz w:val="24"/>
                <w:szCs w:val="24"/>
              </w:rPr>
            </w:pPr>
            <w:r w:rsidRPr="004F5958">
              <w:rPr>
                <w:rFonts w:ascii="Times New Roman" w:hAnsi="Times New Roman" w:cs="Times New Roman"/>
                <w:bCs/>
                <w:snapToGrid w:val="0"/>
                <w:sz w:val="24"/>
                <w:szCs w:val="24"/>
              </w:rPr>
              <w:t xml:space="preserve">Taux de mise en œuvre approximatif comme pourcentage du budget total du </w:t>
            </w:r>
            <w:proofErr w:type="gramStart"/>
            <w:r w:rsidRPr="004F5958">
              <w:rPr>
                <w:rFonts w:ascii="Times New Roman" w:hAnsi="Times New Roman" w:cs="Times New Roman"/>
                <w:bCs/>
                <w:snapToGrid w:val="0"/>
                <w:sz w:val="24"/>
                <w:szCs w:val="24"/>
              </w:rPr>
              <w:t>projet</w:t>
            </w:r>
            <w:r w:rsidR="001C56B8" w:rsidRPr="004F5958">
              <w:rPr>
                <w:rFonts w:ascii="Times New Roman" w:hAnsi="Times New Roman" w:cs="Times New Roman"/>
                <w:bCs/>
                <w:snapToGrid w:val="0"/>
                <w:sz w:val="24"/>
                <w:szCs w:val="24"/>
              </w:rPr>
              <w:t>:</w:t>
            </w:r>
            <w:proofErr w:type="gramEnd"/>
            <w:r w:rsidR="001C56B8" w:rsidRPr="004F5958">
              <w:rPr>
                <w:rFonts w:ascii="Times New Roman" w:hAnsi="Times New Roman" w:cs="Times New Roman"/>
                <w:bCs/>
                <w:snapToGrid w:val="0"/>
                <w:sz w:val="24"/>
                <w:szCs w:val="24"/>
              </w:rPr>
              <w:t xml:space="preserve"> </w:t>
            </w:r>
            <w:r w:rsidR="00DB248D" w:rsidRPr="004F5958">
              <w:rPr>
                <w:rFonts w:ascii="Times New Roman" w:hAnsi="Times New Roman" w:cs="Times New Roman"/>
                <w:bCs/>
                <w:snapToGrid w:val="0"/>
                <w:sz w:val="24"/>
                <w:szCs w:val="24"/>
              </w:rPr>
              <w:t>100</w:t>
            </w:r>
            <w:r w:rsidR="00863A79" w:rsidRPr="004F5958">
              <w:rPr>
                <w:rFonts w:ascii="Times New Roman" w:hAnsi="Times New Roman" w:cs="Times New Roman"/>
                <w:bCs/>
                <w:snapToGrid w:val="0"/>
                <w:sz w:val="24"/>
                <w:szCs w:val="24"/>
              </w:rPr>
              <w:t>%</w:t>
            </w:r>
          </w:p>
          <w:p w14:paraId="4160A5D1" w14:textId="77777777" w:rsidR="00826923" w:rsidRPr="004F5958" w:rsidRDefault="00826923" w:rsidP="001A3157">
            <w:pPr>
              <w:pStyle w:val="Textedebulles"/>
              <w:numPr>
                <w:ilvl w:val="12"/>
                <w:numId w:val="0"/>
              </w:numPr>
              <w:tabs>
                <w:tab w:val="left" w:pos="-720"/>
                <w:tab w:val="left" w:pos="4500"/>
              </w:tabs>
              <w:suppressAutoHyphens/>
              <w:rPr>
                <w:rFonts w:ascii="Times New Roman" w:hAnsi="Times New Roman" w:cs="Times New Roman"/>
                <w:bCs/>
                <w:snapToGrid w:val="0"/>
                <w:sz w:val="24"/>
                <w:szCs w:val="24"/>
              </w:rPr>
            </w:pPr>
            <w:r w:rsidRPr="004F5958">
              <w:rPr>
                <w:rFonts w:ascii="Times New Roman" w:hAnsi="Times New Roman" w:cs="Times New Roman"/>
                <w:bCs/>
                <w:snapToGrid w:val="0"/>
                <w:sz w:val="24"/>
                <w:szCs w:val="24"/>
              </w:rPr>
              <w:t>*JOINDRE LE BUDGET EXCEL DU PROJET MONTRANT LES DÉPENSES APPROXIMATIVES ACTUELLES*</w:t>
            </w:r>
          </w:p>
          <w:p w14:paraId="33C6084F" w14:textId="77777777" w:rsidR="00793DE6" w:rsidRPr="004F5958"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rPr>
            </w:pPr>
          </w:p>
          <w:p w14:paraId="4F39A02E" w14:textId="77777777" w:rsidR="00006EC0" w:rsidRPr="004F595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rPr>
            </w:pPr>
            <w:proofErr w:type="spellStart"/>
            <w:r w:rsidRPr="004F5958">
              <w:rPr>
                <w:rFonts w:ascii="Times New Roman" w:hAnsi="Times New Roman" w:cs="Times New Roman"/>
                <w:b/>
                <w:bCs/>
                <w:sz w:val="24"/>
                <w:szCs w:val="24"/>
              </w:rPr>
              <w:t>Budgetisation</w:t>
            </w:r>
            <w:proofErr w:type="spellEnd"/>
            <w:r w:rsidRPr="004F5958">
              <w:rPr>
                <w:rFonts w:ascii="Times New Roman" w:hAnsi="Times New Roman" w:cs="Times New Roman"/>
                <w:b/>
                <w:bCs/>
                <w:sz w:val="24"/>
                <w:szCs w:val="24"/>
              </w:rPr>
              <w:t xml:space="preserve"> sensible au </w:t>
            </w:r>
            <w:proofErr w:type="gramStart"/>
            <w:r w:rsidRPr="004F5958">
              <w:rPr>
                <w:rFonts w:ascii="Times New Roman" w:hAnsi="Times New Roman" w:cs="Times New Roman"/>
                <w:b/>
                <w:bCs/>
                <w:sz w:val="24"/>
                <w:szCs w:val="24"/>
              </w:rPr>
              <w:t>genre</w:t>
            </w:r>
            <w:r w:rsidR="00006EC0" w:rsidRPr="004F5958">
              <w:rPr>
                <w:rFonts w:ascii="Times New Roman" w:hAnsi="Times New Roman" w:cs="Times New Roman"/>
                <w:b/>
                <w:bCs/>
                <w:sz w:val="24"/>
                <w:szCs w:val="24"/>
              </w:rPr>
              <w:t>:</w:t>
            </w:r>
            <w:proofErr w:type="gramEnd"/>
          </w:p>
          <w:p w14:paraId="70C2EA9C" w14:textId="77E509C2" w:rsidR="00970F4C" w:rsidRPr="004F5958" w:rsidRDefault="000F43A8" w:rsidP="000F43A8">
            <w:r w:rsidRPr="004F5958">
              <w:t xml:space="preserve">Indiquez le montant ($) du budget dans le document de projet alloué aux activités dédiées à l’égalité des sexes ou à l’autonomisation des </w:t>
            </w:r>
            <w:r w:rsidR="00144CF8" w:rsidRPr="004F5958">
              <w:t>femmes :</w:t>
            </w:r>
            <w:r w:rsidR="00970F4C" w:rsidRPr="004F5958">
              <w:t xml:space="preserve"> </w:t>
            </w:r>
            <w:r w:rsidR="00006EC0" w:rsidRPr="004F5958">
              <w:fldChar w:fldCharType="begin">
                <w:ffData>
                  <w:name w:val="Text1"/>
                  <w:enabled/>
                  <w:calcOnExit w:val="0"/>
                  <w:textInput>
                    <w:type w:val="number"/>
                    <w:maxLength w:val="500"/>
                    <w:format w:val="0.00"/>
                  </w:textInput>
                </w:ffData>
              </w:fldChar>
            </w:r>
            <w:bookmarkStart w:id="11" w:name="Text1"/>
            <w:r w:rsidR="00006EC0" w:rsidRPr="004F5958">
              <w:instrText xml:space="preserve"> FORMTEXT </w:instrText>
            </w:r>
            <w:r w:rsidR="00006EC0" w:rsidRPr="004F5958">
              <w:fldChar w:fldCharType="separate"/>
            </w:r>
            <w:r w:rsidR="00006EC0" w:rsidRPr="004F5958">
              <w:rPr>
                <w:noProof/>
              </w:rPr>
              <w:t> </w:t>
            </w:r>
            <w:r w:rsidR="00006EC0" w:rsidRPr="004F5958">
              <w:rPr>
                <w:noProof/>
              </w:rPr>
              <w:t> </w:t>
            </w:r>
            <w:r w:rsidR="00006EC0" w:rsidRPr="004F5958">
              <w:rPr>
                <w:noProof/>
              </w:rPr>
              <w:t> </w:t>
            </w:r>
            <w:r w:rsidR="00006EC0" w:rsidRPr="004F5958">
              <w:rPr>
                <w:noProof/>
              </w:rPr>
              <w:t> </w:t>
            </w:r>
            <w:r w:rsidR="00006EC0" w:rsidRPr="004F5958">
              <w:rPr>
                <w:noProof/>
              </w:rPr>
              <w:t> </w:t>
            </w:r>
            <w:r w:rsidR="00006EC0" w:rsidRPr="004F5958">
              <w:fldChar w:fldCharType="end"/>
            </w:r>
            <w:bookmarkEnd w:id="11"/>
            <w:r w:rsidR="00564187" w:rsidRPr="004F5958">
              <w:t xml:space="preserve">des </w:t>
            </w:r>
            <w:r w:rsidR="00DB248D" w:rsidRPr="004F5958">
              <w:t>40%</w:t>
            </w:r>
          </w:p>
          <w:p w14:paraId="00AF6414" w14:textId="61EED0A3" w:rsidR="00006EC0" w:rsidRPr="004F5958" w:rsidRDefault="000F43A8" w:rsidP="00006EC0">
            <w:r w:rsidRPr="004F5958">
              <w:t xml:space="preserve">Indiquez le montant ($) du budget dépensé jusqu’à maintenant pour les activités dédiées à l’égalité des sexes ou à l’autonomisation des </w:t>
            </w:r>
            <w:r w:rsidR="00144CF8" w:rsidRPr="004F5958">
              <w:t>femmes :</w:t>
            </w:r>
            <w:r w:rsidR="00006EC0" w:rsidRPr="004F5958">
              <w:t xml:space="preserve"> </w:t>
            </w:r>
            <w:r w:rsidR="00006EC0" w:rsidRPr="004F5958">
              <w:fldChar w:fldCharType="begin">
                <w:ffData>
                  <w:name w:val="Text1"/>
                  <w:enabled/>
                  <w:calcOnExit w:val="0"/>
                  <w:textInput>
                    <w:type w:val="number"/>
                    <w:maxLength w:val="500"/>
                    <w:format w:val="0.00"/>
                  </w:textInput>
                </w:ffData>
              </w:fldChar>
            </w:r>
            <w:r w:rsidR="00006EC0" w:rsidRPr="004F5958">
              <w:instrText xml:space="preserve"> FORMTEXT </w:instrText>
            </w:r>
            <w:r w:rsidR="00006EC0" w:rsidRPr="004F5958">
              <w:fldChar w:fldCharType="separate"/>
            </w:r>
            <w:r w:rsidR="00006EC0" w:rsidRPr="004F5958">
              <w:rPr>
                <w:noProof/>
              </w:rPr>
              <w:t> </w:t>
            </w:r>
            <w:r w:rsidR="00006EC0" w:rsidRPr="004F5958">
              <w:rPr>
                <w:noProof/>
              </w:rPr>
              <w:t> </w:t>
            </w:r>
            <w:r w:rsidR="00006EC0" w:rsidRPr="004F5958">
              <w:rPr>
                <w:noProof/>
              </w:rPr>
              <w:t> </w:t>
            </w:r>
            <w:r w:rsidR="00006EC0" w:rsidRPr="004F5958">
              <w:rPr>
                <w:noProof/>
              </w:rPr>
              <w:t> </w:t>
            </w:r>
            <w:r w:rsidR="00006EC0" w:rsidRPr="004F5958">
              <w:rPr>
                <w:noProof/>
              </w:rPr>
              <w:t> </w:t>
            </w:r>
            <w:r w:rsidR="00006EC0" w:rsidRPr="004F5958">
              <w:fldChar w:fldCharType="end"/>
            </w:r>
            <w:r w:rsidR="00144CF8" w:rsidRPr="004F5958">
              <w:t>5</w:t>
            </w:r>
            <w:r w:rsidR="00861F2E" w:rsidRPr="004F5958">
              <w:t>2</w:t>
            </w:r>
            <w:r w:rsidR="00DB248D" w:rsidRPr="004F5958">
              <w:t>%</w:t>
            </w:r>
          </w:p>
          <w:p w14:paraId="639EFB0D" w14:textId="77777777" w:rsidR="00952DE4" w:rsidRPr="004F595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rPr>
            </w:pPr>
          </w:p>
        </w:tc>
      </w:tr>
      <w:tr w:rsidR="004F5958" w:rsidRPr="004F5958" w14:paraId="0DF7F010" w14:textId="77777777" w:rsidTr="00F23D0F">
        <w:trPr>
          <w:trHeight w:val="1124"/>
        </w:trPr>
        <w:tc>
          <w:tcPr>
            <w:tcW w:w="10080" w:type="dxa"/>
            <w:gridSpan w:val="2"/>
          </w:tcPr>
          <w:p w14:paraId="0084A294" w14:textId="77777777" w:rsidR="009B18EB" w:rsidRPr="004F5958" w:rsidRDefault="000F43A8" w:rsidP="00F23D0F">
            <w:pPr>
              <w:rPr>
                <w:b/>
                <w:bCs/>
              </w:rPr>
            </w:pPr>
            <w:r w:rsidRPr="004F5958">
              <w:rPr>
                <w:b/>
                <w:bCs/>
              </w:rPr>
              <w:t xml:space="preserve">Marquer de genre du </w:t>
            </w:r>
            <w:proofErr w:type="gramStart"/>
            <w:r w:rsidRPr="004F5958">
              <w:rPr>
                <w:b/>
                <w:bCs/>
              </w:rPr>
              <w:t>projet</w:t>
            </w:r>
            <w:r w:rsidR="009B18EB" w:rsidRPr="004F5958">
              <w:rPr>
                <w:b/>
                <w:bCs/>
              </w:rPr>
              <w:t>:</w:t>
            </w:r>
            <w:proofErr w:type="gramEnd"/>
            <w:r w:rsidR="009B18EB" w:rsidRPr="004F5958">
              <w:rPr>
                <w:b/>
                <w:bCs/>
              </w:rPr>
              <w:t xml:space="preserve"> </w:t>
            </w:r>
            <w:r w:rsidR="00280FEA" w:rsidRPr="004F5958">
              <w:rPr>
                <w:b/>
                <w:bCs/>
              </w:rPr>
              <w:fldChar w:fldCharType="begin">
                <w:ffData>
                  <w:name w:val="gendermarker"/>
                  <w:enabled/>
                  <w:calcOnExit w:val="0"/>
                  <w:ddList>
                    <w:listEntry w:val="Veuillez sélectionner"/>
                    <w:listEntry w:val="GM3"/>
                    <w:listEntry w:val="GM2"/>
                    <w:listEntry w:val="GM1"/>
                  </w:ddList>
                </w:ffData>
              </w:fldChar>
            </w:r>
            <w:bookmarkStart w:id="12" w:name="gendermarker"/>
            <w:r w:rsidR="00280FEA" w:rsidRPr="004F5958">
              <w:rPr>
                <w:b/>
                <w:bCs/>
              </w:rPr>
              <w:instrText xml:space="preserve"> FORMDROPDOWN </w:instrText>
            </w:r>
            <w:r w:rsidR="00A918FD">
              <w:rPr>
                <w:b/>
                <w:bCs/>
              </w:rPr>
            </w:r>
            <w:r w:rsidR="00A918FD">
              <w:rPr>
                <w:b/>
                <w:bCs/>
              </w:rPr>
              <w:fldChar w:fldCharType="separate"/>
            </w:r>
            <w:r w:rsidR="00280FEA" w:rsidRPr="004F5958">
              <w:rPr>
                <w:b/>
                <w:bCs/>
              </w:rPr>
              <w:fldChar w:fldCharType="end"/>
            </w:r>
            <w:bookmarkEnd w:id="12"/>
          </w:p>
          <w:p w14:paraId="7B5DB9E4" w14:textId="77777777" w:rsidR="009B18EB" w:rsidRPr="004F5958" w:rsidRDefault="000F43A8" w:rsidP="00F23D0F">
            <w:pPr>
              <w:rPr>
                <w:b/>
                <w:bCs/>
              </w:rPr>
            </w:pPr>
            <w:r w:rsidRPr="004F5958">
              <w:rPr>
                <w:b/>
                <w:bCs/>
              </w:rPr>
              <w:t xml:space="preserve">Marquer de risque du </w:t>
            </w:r>
            <w:proofErr w:type="gramStart"/>
            <w:r w:rsidRPr="004F5958">
              <w:rPr>
                <w:b/>
                <w:bCs/>
              </w:rPr>
              <w:t>projet</w:t>
            </w:r>
            <w:r w:rsidR="009B18EB" w:rsidRPr="004F5958">
              <w:rPr>
                <w:b/>
                <w:bCs/>
              </w:rPr>
              <w:t>:</w:t>
            </w:r>
            <w:proofErr w:type="gramEnd"/>
            <w:r w:rsidR="009B18EB" w:rsidRPr="004F5958">
              <w:rPr>
                <w:b/>
                <w:bCs/>
              </w:rPr>
              <w:t xml:space="preserve"> </w:t>
            </w:r>
            <w:r w:rsidR="00280FEA" w:rsidRPr="004F5958">
              <w:rPr>
                <w:b/>
                <w:bCs/>
              </w:rPr>
              <w:fldChar w:fldCharType="begin">
                <w:ffData>
                  <w:name w:val="riskmarker"/>
                  <w:enabled/>
                  <w:calcOnExit w:val="0"/>
                  <w:ddList>
                    <w:listEntry w:val="Veuillez sélectionner"/>
                    <w:listEntry w:val="Faible"/>
                    <w:listEntry w:val="Moyen"/>
                    <w:listEntry w:val="Élevé"/>
                  </w:ddList>
                </w:ffData>
              </w:fldChar>
            </w:r>
            <w:bookmarkStart w:id="13" w:name="riskmarker"/>
            <w:r w:rsidR="00280FEA" w:rsidRPr="004F5958">
              <w:rPr>
                <w:b/>
                <w:bCs/>
              </w:rPr>
              <w:instrText xml:space="preserve"> FORMDROPDOWN </w:instrText>
            </w:r>
            <w:r w:rsidR="00A918FD">
              <w:rPr>
                <w:b/>
                <w:bCs/>
              </w:rPr>
            </w:r>
            <w:r w:rsidR="00A918FD">
              <w:rPr>
                <w:b/>
                <w:bCs/>
              </w:rPr>
              <w:fldChar w:fldCharType="separate"/>
            </w:r>
            <w:r w:rsidR="00280FEA" w:rsidRPr="004F5958">
              <w:rPr>
                <w:b/>
                <w:bCs/>
              </w:rPr>
              <w:fldChar w:fldCharType="end"/>
            </w:r>
            <w:bookmarkEnd w:id="13"/>
          </w:p>
          <w:p w14:paraId="55B14D86" w14:textId="77777777" w:rsidR="009B18EB" w:rsidRPr="004F5958" w:rsidRDefault="000F43A8" w:rsidP="00F23D0F">
            <w:pPr>
              <w:rPr>
                <w:b/>
                <w:bCs/>
              </w:rPr>
            </w:pPr>
            <w:r w:rsidRPr="004F5958">
              <w:rPr>
                <w:b/>
                <w:bCs/>
              </w:rPr>
              <w:t xml:space="preserve">Domaine de priorité de l’intervention PBF (« PBF </w:t>
            </w:r>
            <w:r w:rsidR="009B18EB" w:rsidRPr="004F5958">
              <w:rPr>
                <w:b/>
                <w:bCs/>
              </w:rPr>
              <w:t>focus area</w:t>
            </w:r>
            <w:r w:rsidRPr="004F5958">
              <w:rPr>
                <w:b/>
                <w:bCs/>
              </w:rPr>
              <w:t> »</w:t>
            </w:r>
            <w:proofErr w:type="gramStart"/>
            <w:r w:rsidRPr="004F5958">
              <w:rPr>
                <w:b/>
                <w:bCs/>
              </w:rPr>
              <w:t>)</w:t>
            </w:r>
            <w:r w:rsidR="009B18EB" w:rsidRPr="004F5958">
              <w:rPr>
                <w:b/>
                <w:bCs/>
              </w:rPr>
              <w:t>:</w:t>
            </w:r>
            <w:proofErr w:type="gramEnd"/>
            <w:r w:rsidR="009B18EB" w:rsidRPr="004F5958">
              <w:rPr>
                <w:b/>
                <w:bCs/>
              </w:rPr>
              <w:t xml:space="preserve"> </w:t>
            </w:r>
            <w:r w:rsidR="00280FEA" w:rsidRPr="004F5958">
              <w:rPr>
                <w:b/>
                <w:bCs/>
              </w:rPr>
              <w:fldChar w:fldCharType="begin">
                <w:ffData>
                  <w:name w:val="focusarea"/>
                  <w:enabled/>
                  <w:calcOnExit w:val="0"/>
                  <w:ddList>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4" w:name="focusarea"/>
            <w:r w:rsidR="00280FEA" w:rsidRPr="004F5958">
              <w:rPr>
                <w:b/>
                <w:bCs/>
              </w:rPr>
              <w:instrText xml:space="preserve"> FORMDROPDOWN </w:instrText>
            </w:r>
            <w:r w:rsidR="00A918FD">
              <w:rPr>
                <w:b/>
                <w:bCs/>
              </w:rPr>
            </w:r>
            <w:r w:rsidR="00A918FD">
              <w:rPr>
                <w:b/>
                <w:bCs/>
              </w:rPr>
              <w:fldChar w:fldCharType="separate"/>
            </w:r>
            <w:r w:rsidR="00280FEA" w:rsidRPr="004F5958">
              <w:rPr>
                <w:b/>
                <w:bCs/>
              </w:rPr>
              <w:fldChar w:fldCharType="end"/>
            </w:r>
            <w:bookmarkEnd w:id="14"/>
          </w:p>
        </w:tc>
      </w:tr>
      <w:tr w:rsidR="004F5958" w:rsidRPr="004F5958" w14:paraId="27192C5C" w14:textId="77777777" w:rsidTr="00F23D0F">
        <w:trPr>
          <w:trHeight w:val="1124"/>
        </w:trPr>
        <w:tc>
          <w:tcPr>
            <w:tcW w:w="10080" w:type="dxa"/>
            <w:gridSpan w:val="2"/>
          </w:tcPr>
          <w:p w14:paraId="7BC15C3E" w14:textId="77777777" w:rsidR="000F43A8" w:rsidRPr="004F5958" w:rsidRDefault="000F43A8" w:rsidP="000F43A8">
            <w:pPr>
              <w:rPr>
                <w:b/>
                <w:bCs/>
              </w:rPr>
            </w:pPr>
            <w:r w:rsidRPr="004F5958">
              <w:rPr>
                <w:b/>
                <w:bCs/>
              </w:rPr>
              <w:t xml:space="preserve">Préparation du </w:t>
            </w:r>
            <w:proofErr w:type="gramStart"/>
            <w:r w:rsidRPr="004F5958">
              <w:rPr>
                <w:b/>
                <w:bCs/>
              </w:rPr>
              <w:t>rapport:</w:t>
            </w:r>
            <w:proofErr w:type="gramEnd"/>
          </w:p>
          <w:p w14:paraId="43FCACD6" w14:textId="222BCC9D" w:rsidR="000F43A8" w:rsidRPr="004F5958" w:rsidRDefault="000F43A8" w:rsidP="000F43A8">
            <w:r w:rsidRPr="004F5958">
              <w:t xml:space="preserve">Rapport préparé </w:t>
            </w:r>
            <w:proofErr w:type="gramStart"/>
            <w:r w:rsidRPr="004F5958">
              <w:t>par:</w:t>
            </w:r>
            <w:proofErr w:type="gramEnd"/>
            <w:r w:rsidRPr="004F5958">
              <w:t xml:space="preserve"> </w:t>
            </w:r>
            <w:r w:rsidRPr="004F5958">
              <w:fldChar w:fldCharType="begin">
                <w:ffData>
                  <w:name w:val="Text11"/>
                  <w:enabled/>
                  <w:calcOnExit w:val="0"/>
                  <w:textInput>
                    <w:format w:val="FIRST CAPITAL"/>
                  </w:textInput>
                </w:ffData>
              </w:fldChar>
            </w:r>
            <w:r w:rsidRPr="004F5958">
              <w:instrText xml:space="preserve"> FORMTEXT </w:instrText>
            </w:r>
            <w:r w:rsidRPr="004F5958">
              <w:fldChar w:fldCharType="separate"/>
            </w:r>
            <w:r w:rsidRPr="004F5958">
              <w:t> </w:t>
            </w:r>
            <w:r w:rsidRPr="004F5958">
              <w:t> </w:t>
            </w:r>
            <w:r w:rsidRPr="004F5958">
              <w:t> </w:t>
            </w:r>
            <w:r w:rsidRPr="004F5958">
              <w:t> </w:t>
            </w:r>
            <w:r w:rsidR="00346E6A" w:rsidRPr="004F5958">
              <w:fldChar w:fldCharType="begin">
                <w:ffData>
                  <w:name w:val=""/>
                  <w:enabled/>
                  <w:calcOnExit w:val="0"/>
                  <w:textInput>
                    <w:default w:val="Fanja Harizo Rajoelison"/>
                    <w:format w:val="FIRST CAPITAL"/>
                  </w:textInput>
                </w:ffData>
              </w:fldChar>
            </w:r>
            <w:r w:rsidR="00346E6A" w:rsidRPr="004F5958">
              <w:instrText xml:space="preserve"> FORMTEXT </w:instrText>
            </w:r>
            <w:r w:rsidR="00346E6A" w:rsidRPr="004F5958">
              <w:fldChar w:fldCharType="separate"/>
            </w:r>
            <w:r w:rsidR="00346E6A" w:rsidRPr="004F5958">
              <w:rPr>
                <w:noProof/>
              </w:rPr>
              <w:t>Fanja Harizo Rajoelison</w:t>
            </w:r>
            <w:r w:rsidR="00346E6A" w:rsidRPr="004F5958">
              <w:fldChar w:fldCharType="end"/>
            </w:r>
            <w:r w:rsidRPr="004F5958">
              <w:t> </w:t>
            </w:r>
            <w:r w:rsidRPr="004F5958">
              <w:fldChar w:fldCharType="end"/>
            </w:r>
          </w:p>
          <w:p w14:paraId="4F7F6063" w14:textId="4470459F" w:rsidR="000F43A8" w:rsidRPr="004F5958" w:rsidRDefault="000F43A8" w:rsidP="000F43A8">
            <w:r w:rsidRPr="004F5958">
              <w:t xml:space="preserve">Rapport approuvé </w:t>
            </w:r>
            <w:proofErr w:type="gramStart"/>
            <w:r w:rsidRPr="004F5958">
              <w:t>par:</w:t>
            </w:r>
            <w:proofErr w:type="gramEnd"/>
            <w:r w:rsidRPr="004F5958">
              <w:t xml:space="preserve"> </w:t>
            </w:r>
          </w:p>
          <w:p w14:paraId="64A19D37" w14:textId="77777777" w:rsidR="000F43A8" w:rsidRPr="004F5958" w:rsidRDefault="000F43A8" w:rsidP="000F43A8">
            <w:r w:rsidRPr="004F5958">
              <w:t xml:space="preserve">Le Secrétariat PBF a-t-il revu le </w:t>
            </w:r>
            <w:proofErr w:type="gramStart"/>
            <w:r w:rsidRPr="004F5958">
              <w:t>rapport:</w:t>
            </w:r>
            <w:proofErr w:type="gramEnd"/>
            <w:r w:rsidRPr="004F5958">
              <w:t xml:space="preserve"> </w:t>
            </w:r>
            <w:r w:rsidR="00280FEA" w:rsidRPr="004F5958">
              <w:fldChar w:fldCharType="begin">
                <w:ffData>
                  <w:name w:val="secretariatreview"/>
                  <w:enabled/>
                  <w:calcOnExit w:val="0"/>
                  <w:ddList>
                    <w:listEntry w:val="Veuillez sélectionner"/>
                    <w:listEntry w:val="Oui"/>
                    <w:listEntry w:val="Non"/>
                  </w:ddList>
                </w:ffData>
              </w:fldChar>
            </w:r>
            <w:bookmarkStart w:id="15" w:name="secretariatreview"/>
            <w:r w:rsidR="00280FEA" w:rsidRPr="004F5958">
              <w:instrText xml:space="preserve"> FORMDROPDOWN </w:instrText>
            </w:r>
            <w:r w:rsidR="00A918FD">
              <w:fldChar w:fldCharType="separate"/>
            </w:r>
            <w:r w:rsidR="00280FEA" w:rsidRPr="004F5958">
              <w:fldChar w:fldCharType="end"/>
            </w:r>
            <w:bookmarkEnd w:id="15"/>
          </w:p>
        </w:tc>
      </w:tr>
    </w:tbl>
    <w:p w14:paraId="0BC7960C" w14:textId="77777777" w:rsidR="00272A58" w:rsidRPr="004F5958" w:rsidRDefault="00272A58" w:rsidP="00E76CA1">
      <w:pPr>
        <w:rPr>
          <w:b/>
        </w:rPr>
        <w:sectPr w:rsidR="00272A58" w:rsidRPr="004F595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26DC265F" w:rsidR="00F778A1" w:rsidRPr="004F5958" w:rsidRDefault="00F778A1" w:rsidP="00F778A1">
      <w:pPr>
        <w:ind w:hanging="810"/>
        <w:jc w:val="both"/>
        <w:rPr>
          <w:b/>
        </w:rPr>
      </w:pPr>
      <w:r w:rsidRPr="004F5958">
        <w:rPr>
          <w:b/>
        </w:rPr>
        <w:t>NOTES POUR REMPLIR LE RAPPORT</w:t>
      </w:r>
      <w:r w:rsidR="00C50541">
        <w:rPr>
          <w:b/>
        </w:rPr>
        <w:t xml:space="preserve"> </w:t>
      </w:r>
      <w:r w:rsidRPr="004F5958">
        <w:rPr>
          <w:b/>
        </w:rPr>
        <w:t>:</w:t>
      </w:r>
    </w:p>
    <w:p w14:paraId="1C4D2EEE" w14:textId="77777777" w:rsidR="00F778A1" w:rsidRPr="004F5958" w:rsidRDefault="00F778A1" w:rsidP="001857D0">
      <w:pPr>
        <w:numPr>
          <w:ilvl w:val="0"/>
          <w:numId w:val="1"/>
        </w:numPr>
        <w:ind w:left="-540"/>
      </w:pPr>
      <w:r w:rsidRPr="004F5958">
        <w:t>Évitez les acronymes et le jargon des Nations Unies, utilisez un langage général / commun.</w:t>
      </w:r>
    </w:p>
    <w:p w14:paraId="580E26F8" w14:textId="77777777" w:rsidR="00F778A1" w:rsidRPr="004F5958" w:rsidRDefault="00F778A1" w:rsidP="001857D0">
      <w:pPr>
        <w:numPr>
          <w:ilvl w:val="0"/>
          <w:numId w:val="1"/>
        </w:numPr>
        <w:ind w:left="-540"/>
      </w:pPr>
      <w:r w:rsidRPr="004F5958">
        <w:t>Décrivez ce que le projet a fait dans la période de rapport, plutôt que les intentions du projet.</w:t>
      </w:r>
    </w:p>
    <w:p w14:paraId="52D465A1" w14:textId="77777777" w:rsidR="001857D0" w:rsidRPr="004F5958" w:rsidRDefault="00F778A1" w:rsidP="001857D0">
      <w:pPr>
        <w:numPr>
          <w:ilvl w:val="0"/>
          <w:numId w:val="1"/>
        </w:numPr>
        <w:ind w:left="-540"/>
      </w:pPr>
      <w:r w:rsidRPr="004F5958">
        <w:t>Soyez aussi concret que possible. Évitez les discours théoriques, vagues ou conceptuels.</w:t>
      </w:r>
    </w:p>
    <w:p w14:paraId="43742605" w14:textId="77777777" w:rsidR="001857D0" w:rsidRPr="004F5958" w:rsidRDefault="00F778A1" w:rsidP="001857D0">
      <w:pPr>
        <w:numPr>
          <w:ilvl w:val="0"/>
          <w:numId w:val="1"/>
        </w:numPr>
        <w:ind w:left="-540"/>
      </w:pPr>
      <w:r w:rsidRPr="004F5958">
        <w:t>Veillez à ce que l'analyse et l'évaluation des progrès du projet tiennent compte des spécificités du sexe et de l'âge.</w:t>
      </w:r>
    </w:p>
    <w:p w14:paraId="40FFAF39" w14:textId="7114BBC3" w:rsidR="00476758" w:rsidRPr="004F5958" w:rsidRDefault="00C955F4" w:rsidP="001857D0">
      <w:pPr>
        <w:numPr>
          <w:ilvl w:val="0"/>
          <w:numId w:val="1"/>
        </w:numPr>
        <w:ind w:left="-540"/>
      </w:pPr>
      <w:r w:rsidRPr="004F5958">
        <w:t xml:space="preserve">Veuillez inclure </w:t>
      </w:r>
      <w:r w:rsidR="001B4FC7" w:rsidRPr="004F5958">
        <w:t>des</w:t>
      </w:r>
      <w:r w:rsidRPr="004F5958">
        <w:t xml:space="preserve"> considérations, ajustements et résultats liés au COVID-19 et répond</w:t>
      </w:r>
      <w:r w:rsidR="001B4FC7" w:rsidRPr="004F5958">
        <w:t>ez</w:t>
      </w:r>
      <w:r w:rsidRPr="004F5958">
        <w:t xml:space="preserve"> à la section IV.</w:t>
      </w:r>
    </w:p>
    <w:p w14:paraId="2BF2039C" w14:textId="77777777" w:rsidR="00476758" w:rsidRPr="004F5958" w:rsidRDefault="00476758" w:rsidP="00476758">
      <w:pPr>
        <w:rPr>
          <w:b/>
        </w:rPr>
      </w:pPr>
    </w:p>
    <w:p w14:paraId="0664C3DA" w14:textId="77777777" w:rsidR="00812A9C" w:rsidRPr="004F5958" w:rsidRDefault="00812A9C" w:rsidP="00812A9C">
      <w:pPr>
        <w:rPr>
          <w:rFonts w:ascii="inherit" w:hAnsi="inherit"/>
          <w:b/>
          <w:bCs/>
          <w:u w:val="single"/>
        </w:rPr>
      </w:pPr>
      <w:r w:rsidRPr="004F5958">
        <w:rPr>
          <w:b/>
          <w:u w:val="single"/>
        </w:rPr>
        <w:t xml:space="preserve">Partie 1 : </w:t>
      </w:r>
      <w:r w:rsidRPr="004F5958">
        <w:rPr>
          <w:rFonts w:ascii="inherit" w:hAnsi="inherit"/>
          <w:b/>
          <w:bCs/>
          <w:u w:val="single"/>
        </w:rPr>
        <w:t xml:space="preserve">Progrès global du projet </w:t>
      </w:r>
    </w:p>
    <w:p w14:paraId="62BA3598" w14:textId="77777777" w:rsidR="00812A9C" w:rsidRPr="004F5958" w:rsidRDefault="00812A9C" w:rsidP="00812A9C">
      <w:pPr>
        <w:rPr>
          <w:b/>
        </w:rPr>
      </w:pPr>
    </w:p>
    <w:p w14:paraId="1CA6F94A" w14:textId="77777777" w:rsidR="00812A9C" w:rsidRPr="004F5958" w:rsidRDefault="00812A9C" w:rsidP="00812A9C">
      <w:pPr>
        <w:ind w:left="-810"/>
        <w:jc w:val="both"/>
        <w:rPr>
          <w:b/>
          <w:bCs/>
        </w:rPr>
      </w:pPr>
      <w:r w:rsidRPr="004F5958">
        <w:rPr>
          <w:b/>
          <w:bCs/>
        </w:rP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 </w:t>
      </w:r>
    </w:p>
    <w:p w14:paraId="4CB64308" w14:textId="77777777" w:rsidR="00812A9C" w:rsidRPr="004F5958" w:rsidRDefault="00812A9C" w:rsidP="00812A9C">
      <w:pPr>
        <w:ind w:firstLine="708"/>
        <w:jc w:val="both"/>
        <w:rPr>
          <w:bCs/>
          <w:iCs/>
          <w:sz w:val="22"/>
          <w:szCs w:val="22"/>
        </w:rPr>
      </w:pPr>
      <w:r w:rsidRPr="004F5958">
        <w:rPr>
          <w:bCs/>
          <w:iCs/>
          <w:sz w:val="22"/>
          <w:szCs w:val="22"/>
        </w:rPr>
        <w:t xml:space="preserve">Presque toutes les activités ont pu être exécutées malgré la crise sanitaire liée à la </w:t>
      </w:r>
      <w:proofErr w:type="spellStart"/>
      <w:r w:rsidRPr="004F5958">
        <w:rPr>
          <w:bCs/>
          <w:iCs/>
          <w:sz w:val="22"/>
          <w:szCs w:val="22"/>
        </w:rPr>
        <w:t>Covid</w:t>
      </w:r>
      <w:proofErr w:type="spellEnd"/>
      <w:r w:rsidRPr="004F5958">
        <w:rPr>
          <w:bCs/>
          <w:iCs/>
          <w:sz w:val="22"/>
          <w:szCs w:val="22"/>
        </w:rPr>
        <w:t xml:space="preserve"> 19. L’évaluation finale du projet est en cours. Parmi les principales réalisations : </w:t>
      </w:r>
    </w:p>
    <w:p w14:paraId="073657C3" w14:textId="77777777" w:rsidR="00812A9C" w:rsidRPr="004F5958" w:rsidRDefault="00812A9C" w:rsidP="001C352F">
      <w:pPr>
        <w:numPr>
          <w:ilvl w:val="0"/>
          <w:numId w:val="6"/>
        </w:numPr>
        <w:spacing w:after="160" w:line="259" w:lineRule="auto"/>
        <w:contextualSpacing/>
        <w:jc w:val="both"/>
        <w:rPr>
          <w:bCs/>
          <w:iCs/>
          <w:sz w:val="22"/>
          <w:szCs w:val="22"/>
        </w:rPr>
      </w:pPr>
      <w:proofErr w:type="gramStart"/>
      <w:r w:rsidRPr="004F5958">
        <w:rPr>
          <w:bCs/>
          <w:iCs/>
          <w:sz w:val="22"/>
          <w:szCs w:val="22"/>
          <w:lang w:val="fr-CI"/>
        </w:rPr>
        <w:t>cinq</w:t>
      </w:r>
      <w:proofErr w:type="gramEnd"/>
      <w:r w:rsidRPr="004F5958">
        <w:rPr>
          <w:bCs/>
          <w:iCs/>
          <w:sz w:val="22"/>
          <w:szCs w:val="22"/>
          <w:lang w:val="fr-CI"/>
        </w:rPr>
        <w:t xml:space="preserve"> projets à impact rapide et 16 projet de réparation communautaire dans le cadre de l’amélioration de la consolidation de la paix et du renforcement de la cohésion sociale ont été réalisés; </w:t>
      </w:r>
    </w:p>
    <w:p w14:paraId="368D7F7C" w14:textId="061BD8C8" w:rsidR="000466D0" w:rsidRPr="004F5958" w:rsidRDefault="00812A9C" w:rsidP="001C352F">
      <w:pPr>
        <w:numPr>
          <w:ilvl w:val="0"/>
          <w:numId w:val="6"/>
        </w:numPr>
        <w:spacing w:after="160" w:line="259" w:lineRule="auto"/>
        <w:contextualSpacing/>
        <w:rPr>
          <w:bCs/>
          <w:iCs/>
          <w:sz w:val="22"/>
          <w:szCs w:val="22"/>
        </w:rPr>
      </w:pPr>
      <w:proofErr w:type="gramStart"/>
      <w:r w:rsidRPr="004F5958">
        <w:rPr>
          <w:bCs/>
          <w:iCs/>
          <w:sz w:val="22"/>
          <w:szCs w:val="22"/>
          <w:lang w:val="fr-CI"/>
        </w:rPr>
        <w:t>une</w:t>
      </w:r>
      <w:proofErr w:type="gramEnd"/>
      <w:r w:rsidRPr="004F5958">
        <w:rPr>
          <w:bCs/>
          <w:iCs/>
          <w:sz w:val="22"/>
          <w:szCs w:val="22"/>
          <w:lang w:val="fr-CI"/>
        </w:rPr>
        <w:t xml:space="preserve"> revue de la stratégie nationale de réconciliation et de cohésion sociale</w:t>
      </w:r>
      <w:r w:rsidR="00EA4B10" w:rsidRPr="004F5958">
        <w:rPr>
          <w:bCs/>
          <w:iCs/>
          <w:sz w:val="22"/>
          <w:szCs w:val="22"/>
          <w:lang w:val="fr-CI"/>
        </w:rPr>
        <w:t xml:space="preserve"> (SNRCS)</w:t>
      </w:r>
      <w:r w:rsidRPr="004F5958">
        <w:rPr>
          <w:bCs/>
          <w:iCs/>
          <w:sz w:val="22"/>
          <w:szCs w:val="22"/>
          <w:lang w:val="fr-CI"/>
        </w:rPr>
        <w:t>, y compris le plan de réparation communautaire a été effectuée</w:t>
      </w:r>
      <w:r w:rsidR="00A13FE9" w:rsidRPr="004F5958">
        <w:rPr>
          <w:bCs/>
          <w:iCs/>
          <w:sz w:val="22"/>
          <w:szCs w:val="22"/>
          <w:lang w:val="fr-CI"/>
        </w:rPr>
        <w:t xml:space="preserve"> </w:t>
      </w:r>
      <w:r w:rsidR="00F7400D" w:rsidRPr="004F5958">
        <w:rPr>
          <w:bCs/>
          <w:iCs/>
          <w:sz w:val="22"/>
          <w:szCs w:val="22"/>
        </w:rPr>
        <w:t xml:space="preserve">ayant permis </w:t>
      </w:r>
      <w:r w:rsidR="000466D0" w:rsidRPr="004F5958">
        <w:rPr>
          <w:bCs/>
          <w:iCs/>
          <w:sz w:val="22"/>
          <w:szCs w:val="22"/>
        </w:rPr>
        <w:t xml:space="preserve">de noter que 78% des personnes interrogées pensent que la mise en œuvre de la SNRCS et du </w:t>
      </w:r>
      <w:proofErr w:type="spellStart"/>
      <w:r w:rsidR="000466D0" w:rsidRPr="004F5958">
        <w:rPr>
          <w:bCs/>
          <w:iCs/>
          <w:sz w:val="22"/>
          <w:szCs w:val="22"/>
        </w:rPr>
        <w:t>PNRCo</w:t>
      </w:r>
      <w:proofErr w:type="spellEnd"/>
      <w:r w:rsidR="000466D0" w:rsidRPr="004F5958">
        <w:rPr>
          <w:bCs/>
          <w:iCs/>
          <w:sz w:val="22"/>
          <w:szCs w:val="22"/>
        </w:rPr>
        <w:t xml:space="preserve"> ont apporté des changements positifs dans la vie des populations ;</w:t>
      </w:r>
    </w:p>
    <w:p w14:paraId="61ABB255" w14:textId="4AA447C8" w:rsidR="00812A9C" w:rsidRPr="004F5958" w:rsidRDefault="00812A9C" w:rsidP="001C352F">
      <w:pPr>
        <w:numPr>
          <w:ilvl w:val="0"/>
          <w:numId w:val="6"/>
        </w:numPr>
        <w:spacing w:after="160" w:line="259" w:lineRule="auto"/>
        <w:contextualSpacing/>
        <w:jc w:val="both"/>
        <w:rPr>
          <w:bCs/>
          <w:iCs/>
          <w:sz w:val="22"/>
          <w:szCs w:val="22"/>
        </w:rPr>
      </w:pPr>
      <w:proofErr w:type="gramStart"/>
      <w:r w:rsidRPr="004F5958">
        <w:rPr>
          <w:bCs/>
          <w:iCs/>
          <w:sz w:val="22"/>
          <w:szCs w:val="22"/>
          <w:lang w:val="fr-CI"/>
        </w:rPr>
        <w:t>la</w:t>
      </w:r>
      <w:proofErr w:type="gramEnd"/>
      <w:r w:rsidRPr="004F5958">
        <w:rPr>
          <w:bCs/>
          <w:iCs/>
          <w:sz w:val="22"/>
          <w:szCs w:val="22"/>
          <w:lang w:val="fr-CI"/>
        </w:rPr>
        <w:t xml:space="preserve"> réforme du système judicaire pénal a été accompagnée</w:t>
      </w:r>
      <w:r w:rsidR="0055382B" w:rsidRPr="004F5958">
        <w:rPr>
          <w:bCs/>
          <w:iCs/>
          <w:sz w:val="22"/>
          <w:szCs w:val="22"/>
          <w:lang w:val="fr-CI"/>
        </w:rPr>
        <w:t xml:space="preserve"> et vulgarisée</w:t>
      </w:r>
      <w:r w:rsidRPr="004F5958">
        <w:rPr>
          <w:bCs/>
          <w:iCs/>
          <w:sz w:val="22"/>
          <w:szCs w:val="22"/>
          <w:lang w:val="fr-CI"/>
        </w:rPr>
        <w:t>;</w:t>
      </w:r>
    </w:p>
    <w:p w14:paraId="12E545E4" w14:textId="77777777" w:rsidR="00812A9C" w:rsidRPr="004F5958" w:rsidRDefault="00812A9C" w:rsidP="001C352F">
      <w:pPr>
        <w:numPr>
          <w:ilvl w:val="0"/>
          <w:numId w:val="6"/>
        </w:numPr>
        <w:spacing w:after="160" w:line="259" w:lineRule="auto"/>
        <w:contextualSpacing/>
        <w:jc w:val="both"/>
        <w:rPr>
          <w:bCs/>
          <w:iCs/>
          <w:sz w:val="22"/>
          <w:szCs w:val="22"/>
          <w:lang w:val="fr-CI"/>
        </w:rPr>
      </w:pPr>
      <w:proofErr w:type="gramStart"/>
      <w:r w:rsidRPr="004F5958">
        <w:rPr>
          <w:bCs/>
          <w:iCs/>
          <w:sz w:val="22"/>
          <w:szCs w:val="22"/>
          <w:lang w:val="fr-CI"/>
        </w:rPr>
        <w:t>l’assistance</w:t>
      </w:r>
      <w:proofErr w:type="gramEnd"/>
      <w:r w:rsidRPr="004F5958">
        <w:rPr>
          <w:bCs/>
          <w:iCs/>
          <w:sz w:val="22"/>
          <w:szCs w:val="22"/>
          <w:lang w:val="fr-CI"/>
        </w:rPr>
        <w:t xml:space="preserve"> judiciaire dans le cadre de l’accélération du traitement des dossiers criminels, de VBG et de pédo criminalités a été renforcée et le dialogue entre les acteurs de la chaine pénale a été rétabli;</w:t>
      </w:r>
    </w:p>
    <w:p w14:paraId="00B6FB99" w14:textId="77777777" w:rsidR="00812A9C" w:rsidRPr="004F5958" w:rsidRDefault="00812A9C" w:rsidP="001C352F">
      <w:pPr>
        <w:numPr>
          <w:ilvl w:val="0"/>
          <w:numId w:val="6"/>
        </w:numPr>
        <w:spacing w:after="160" w:line="259" w:lineRule="auto"/>
        <w:contextualSpacing/>
        <w:jc w:val="both"/>
        <w:rPr>
          <w:bCs/>
          <w:iCs/>
          <w:sz w:val="22"/>
          <w:szCs w:val="22"/>
        </w:rPr>
      </w:pPr>
      <w:proofErr w:type="gramStart"/>
      <w:r w:rsidRPr="004F5958">
        <w:rPr>
          <w:bCs/>
          <w:iCs/>
          <w:sz w:val="22"/>
          <w:szCs w:val="22"/>
        </w:rPr>
        <w:t>les</w:t>
      </w:r>
      <w:proofErr w:type="gramEnd"/>
      <w:r w:rsidRPr="004F5958">
        <w:rPr>
          <w:bCs/>
          <w:iCs/>
          <w:sz w:val="22"/>
          <w:szCs w:val="22"/>
        </w:rPr>
        <w:t xml:space="preserve"> études sur le fonctionnement du système judiciaire pénal et sur la révision et la mise à jour des curricula de formations initiale et continue à l'Institut National de Formation Judiciaire ont été réalisées et disponibles;</w:t>
      </w:r>
    </w:p>
    <w:p w14:paraId="06DEBFCD" w14:textId="6C36C51C" w:rsidR="00812A9C" w:rsidRPr="004F5958" w:rsidRDefault="00812A9C" w:rsidP="001C352F">
      <w:pPr>
        <w:numPr>
          <w:ilvl w:val="0"/>
          <w:numId w:val="6"/>
        </w:numPr>
        <w:spacing w:after="160" w:line="259" w:lineRule="auto"/>
        <w:contextualSpacing/>
        <w:jc w:val="both"/>
        <w:rPr>
          <w:bCs/>
          <w:iCs/>
          <w:sz w:val="22"/>
          <w:szCs w:val="22"/>
        </w:rPr>
      </w:pPr>
      <w:proofErr w:type="gramStart"/>
      <w:r w:rsidRPr="004F5958">
        <w:rPr>
          <w:bCs/>
          <w:iCs/>
          <w:sz w:val="22"/>
          <w:szCs w:val="22"/>
        </w:rPr>
        <w:t>le</w:t>
      </w:r>
      <w:proofErr w:type="gramEnd"/>
      <w:r w:rsidRPr="004F5958">
        <w:rPr>
          <w:bCs/>
          <w:iCs/>
          <w:sz w:val="22"/>
          <w:szCs w:val="22"/>
        </w:rPr>
        <w:t xml:space="preserve"> Conseil National des Droits de l’homme a été accrédité au Statut A, il dispose de 31 antennes régionales</w:t>
      </w:r>
      <w:r w:rsidR="0055382B" w:rsidRPr="004F5958">
        <w:rPr>
          <w:bCs/>
          <w:iCs/>
          <w:sz w:val="22"/>
          <w:szCs w:val="22"/>
        </w:rPr>
        <w:t xml:space="preserve"> opérationnelles pour exercer leurs mandats</w:t>
      </w:r>
      <w:r w:rsidRPr="004F5958">
        <w:rPr>
          <w:bCs/>
          <w:iCs/>
          <w:sz w:val="22"/>
          <w:szCs w:val="22"/>
        </w:rPr>
        <w:t>;</w:t>
      </w:r>
    </w:p>
    <w:p w14:paraId="2A70DD30" w14:textId="25ED357D" w:rsidR="00812A9C" w:rsidRPr="004F5958" w:rsidRDefault="00812A9C" w:rsidP="001C352F">
      <w:pPr>
        <w:numPr>
          <w:ilvl w:val="0"/>
          <w:numId w:val="6"/>
        </w:numPr>
        <w:spacing w:after="160" w:line="259" w:lineRule="auto"/>
        <w:contextualSpacing/>
        <w:jc w:val="both"/>
        <w:rPr>
          <w:bCs/>
          <w:iCs/>
          <w:sz w:val="22"/>
          <w:szCs w:val="22"/>
        </w:rPr>
      </w:pPr>
      <w:proofErr w:type="gramStart"/>
      <w:r w:rsidRPr="004F5958">
        <w:rPr>
          <w:bCs/>
          <w:iCs/>
          <w:sz w:val="22"/>
          <w:szCs w:val="22"/>
        </w:rPr>
        <w:t>le</w:t>
      </w:r>
      <w:proofErr w:type="gramEnd"/>
      <w:r w:rsidRPr="004F5958">
        <w:rPr>
          <w:bCs/>
          <w:iCs/>
          <w:sz w:val="22"/>
          <w:szCs w:val="22"/>
        </w:rPr>
        <w:t xml:space="preserve"> Comité interministériel des droits de l’homme est redynamisé, a pu produire 2 rapports et le 3</w:t>
      </w:r>
      <w:r w:rsidRPr="004F5958">
        <w:rPr>
          <w:bCs/>
          <w:iCs/>
          <w:sz w:val="22"/>
          <w:szCs w:val="22"/>
          <w:vertAlign w:val="superscript"/>
        </w:rPr>
        <w:t>ème</w:t>
      </w:r>
      <w:r w:rsidRPr="004F5958">
        <w:rPr>
          <w:bCs/>
          <w:iCs/>
          <w:sz w:val="22"/>
          <w:szCs w:val="22"/>
        </w:rPr>
        <w:t xml:space="preserve"> rapport dans le cadre de l’Examen Périodique Universel (EPU)</w:t>
      </w:r>
      <w:r w:rsidR="0055382B" w:rsidRPr="004F5958">
        <w:rPr>
          <w:bCs/>
          <w:iCs/>
          <w:sz w:val="22"/>
          <w:szCs w:val="22"/>
        </w:rPr>
        <w:t>.</w:t>
      </w:r>
    </w:p>
    <w:p w14:paraId="7179440A" w14:textId="77777777" w:rsidR="00812A9C" w:rsidRPr="004F5958" w:rsidRDefault="00812A9C" w:rsidP="00812A9C">
      <w:pPr>
        <w:ind w:firstLine="708"/>
        <w:jc w:val="both"/>
        <w:rPr>
          <w:bCs/>
          <w:iCs/>
          <w:sz w:val="22"/>
          <w:szCs w:val="22"/>
          <w:lang w:val="fr-CI"/>
        </w:rPr>
      </w:pPr>
    </w:p>
    <w:p w14:paraId="54342320" w14:textId="77777777" w:rsidR="00812A9C" w:rsidRPr="004F5958" w:rsidRDefault="00812A9C" w:rsidP="00812A9C">
      <w:pPr>
        <w:jc w:val="both"/>
        <w:rPr>
          <w:bCs/>
          <w:iCs/>
          <w:sz w:val="22"/>
          <w:szCs w:val="22"/>
        </w:rPr>
      </w:pPr>
    </w:p>
    <w:p w14:paraId="6F346740" w14:textId="77777777" w:rsidR="00812A9C" w:rsidRPr="004F5958" w:rsidRDefault="00812A9C" w:rsidP="00812A9C">
      <w:pPr>
        <w:ind w:left="-810"/>
        <w:rPr>
          <w:b/>
          <w:bCs/>
        </w:rPr>
      </w:pPr>
      <w:r w:rsidRPr="004F5958">
        <w:rPr>
          <w:b/>
          <w:bCs/>
          <w:lang w:eastAsia="en-US"/>
        </w:rPr>
        <w:t xml:space="preserve">Veuillez indiquer tout événement important lié au projet prévu au cours des six prochains mois, par exemple : les dialogues nationaux, les congrès des jeunes, les projections de films </w:t>
      </w:r>
      <w:r w:rsidRPr="004F5958">
        <w:rPr>
          <w:b/>
          <w:bCs/>
        </w:rPr>
        <w:t xml:space="preserve">(limite de 1000 caractères) : </w:t>
      </w:r>
    </w:p>
    <w:p w14:paraId="486A0047" w14:textId="77777777" w:rsidR="00812A9C" w:rsidRPr="004F5958" w:rsidRDefault="00812A9C" w:rsidP="00812A9C">
      <w:pPr>
        <w:spacing w:after="160" w:line="259" w:lineRule="auto"/>
        <w:ind w:firstLine="708"/>
        <w:jc w:val="both"/>
        <w:rPr>
          <w:rFonts w:eastAsia="Calibri"/>
          <w:sz w:val="22"/>
          <w:szCs w:val="22"/>
          <w:lang w:eastAsia="en-US"/>
        </w:rPr>
      </w:pPr>
      <w:r w:rsidRPr="004F5958">
        <w:rPr>
          <w:rFonts w:eastAsia="Calibri"/>
          <w:sz w:val="22"/>
          <w:szCs w:val="22"/>
          <w:lang w:eastAsia="en-US"/>
        </w:rPr>
        <w:t xml:space="preserve">Le Ministère de la justice et des droits de l’homme (MJDH) a consacré, au sein du Ministère, des locaux de bureaux pour le Projet PEDDH depuis fin janvier 2021. </w:t>
      </w:r>
    </w:p>
    <w:p w14:paraId="259991B7" w14:textId="77777777" w:rsidR="00812A9C" w:rsidRPr="004F5958" w:rsidRDefault="00812A9C" w:rsidP="00812A9C">
      <w:pPr>
        <w:spacing w:after="160" w:line="259" w:lineRule="auto"/>
        <w:ind w:firstLine="708"/>
        <w:jc w:val="both"/>
        <w:rPr>
          <w:rFonts w:eastAsia="Calibri"/>
          <w:sz w:val="22"/>
          <w:szCs w:val="22"/>
          <w:lang w:eastAsia="en-US"/>
        </w:rPr>
      </w:pPr>
      <w:r w:rsidRPr="004F5958">
        <w:rPr>
          <w:rFonts w:eastAsia="Calibri"/>
          <w:sz w:val="22"/>
          <w:szCs w:val="22"/>
          <w:lang w:eastAsia="en-US"/>
        </w:rPr>
        <w:t xml:space="preserve">Le Projet sera clôturé le 30 juin 2021 après 32 mois de mise en œuvre et une extension sans coût de huit mois. </w:t>
      </w:r>
    </w:p>
    <w:p w14:paraId="0F77DEDE" w14:textId="77777777" w:rsidR="00812A9C" w:rsidRPr="004F5958" w:rsidRDefault="00812A9C" w:rsidP="00812A9C">
      <w:pPr>
        <w:spacing w:after="160" w:line="259" w:lineRule="auto"/>
        <w:ind w:firstLine="708"/>
        <w:jc w:val="both"/>
        <w:rPr>
          <w:rFonts w:eastAsia="Calibri"/>
          <w:sz w:val="22"/>
          <w:szCs w:val="22"/>
          <w:lang w:eastAsia="en-US"/>
        </w:rPr>
      </w:pPr>
      <w:r w:rsidRPr="004F5958">
        <w:rPr>
          <w:rFonts w:eastAsia="Calibri"/>
          <w:sz w:val="22"/>
          <w:szCs w:val="22"/>
          <w:lang w:eastAsia="en-US"/>
        </w:rPr>
        <w:t>La question de l’Etat de droit demeure un défi persistant suivant le PND 2021-2025, le Bilan Commun Pays du SNU et le nouveau cadre de coopération pour le développement durable des Nations Unies. Afin de conserver les acquis du Projet et poursuivre l’initiative et contribuer de façon qualitative à améliorer l’Etat de droit et le respect des droits humains dans le pays, en lien avec le MJDH, une assistance préparatoire a été lancée pour l’élaboration du nouveau programme Etat de droit et à poursuivre les activités de démarrage du nouveau programme. Cette assistance préparatoire a fait l’objet de programmation au Plan d’Investissement Public. La formulation du nouveau programme Justice-Sécurité-Etat de droit est initiée et en cours de finalisation. Le PRODOC sera présenté à la partie nationale le 27 octobre 2021.</w:t>
      </w:r>
    </w:p>
    <w:p w14:paraId="04ADA5C5" w14:textId="77777777" w:rsidR="00812A9C" w:rsidRPr="004F5958" w:rsidRDefault="00812A9C" w:rsidP="00812A9C">
      <w:pPr>
        <w:spacing w:after="160" w:line="259" w:lineRule="auto"/>
        <w:ind w:firstLine="708"/>
        <w:jc w:val="both"/>
        <w:rPr>
          <w:rFonts w:eastAsia="Calibri"/>
          <w:bCs/>
          <w:iCs/>
          <w:sz w:val="22"/>
          <w:szCs w:val="22"/>
          <w:lang w:val="fr-CI" w:eastAsia="en-US"/>
        </w:rPr>
      </w:pPr>
      <w:r w:rsidRPr="004F5958">
        <w:rPr>
          <w:rFonts w:eastAsia="Calibri"/>
          <w:bCs/>
          <w:iCs/>
          <w:sz w:val="22"/>
          <w:szCs w:val="22"/>
          <w:lang w:eastAsia="en-US"/>
        </w:rPr>
        <w:t>L'élaboration du plan national de promotion et de protection des Droits Humains et la mise en œuvre de la stratégie de communication relative au processus de réparation de communautaire</w:t>
      </w:r>
      <w:r w:rsidRPr="004F5958">
        <w:rPr>
          <w:rFonts w:eastAsia="Calibri"/>
          <w:bCs/>
          <w:iCs/>
          <w:sz w:val="22"/>
          <w:szCs w:val="22"/>
          <w:lang w:val="fr-CI" w:eastAsia="en-US"/>
        </w:rPr>
        <w:t xml:space="preserve"> sont en cours et leur finalisation. Le retard est lié à la suppression du secrétariat d’Etat chargé des droits de l’homme et la mise en place du nouveau ministère de la réconciliation nationale.</w:t>
      </w:r>
    </w:p>
    <w:p w14:paraId="14BD361C" w14:textId="77777777" w:rsidR="00812A9C" w:rsidRPr="004F5958" w:rsidRDefault="00812A9C" w:rsidP="00812A9C">
      <w:pPr>
        <w:spacing w:after="160" w:line="259" w:lineRule="auto"/>
        <w:ind w:firstLine="708"/>
        <w:jc w:val="both"/>
        <w:rPr>
          <w:rFonts w:eastAsia="Calibri"/>
          <w:sz w:val="22"/>
          <w:szCs w:val="22"/>
          <w:lang w:eastAsia="en-US"/>
        </w:rPr>
      </w:pPr>
    </w:p>
    <w:p w14:paraId="39D184D9" w14:textId="77777777" w:rsidR="00812A9C" w:rsidRPr="004F5958" w:rsidRDefault="00812A9C" w:rsidP="00812A9C">
      <w:pPr>
        <w:ind w:left="-810" w:right="-154"/>
        <w:jc w:val="both"/>
        <w:rPr>
          <w:b/>
          <w:bCs/>
        </w:rPr>
      </w:pPr>
      <w:r w:rsidRPr="004F5958">
        <w:rPr>
          <w:b/>
          <w:bCs/>
        </w:rPr>
        <w:t>POUR LES PROJETS DANS LES SIX DERNIERS MOIS DE MISE EN ŒUVRE :</w:t>
      </w:r>
    </w:p>
    <w:p w14:paraId="35E246E9" w14:textId="28FC8488" w:rsidR="00812A9C" w:rsidRPr="004F5958" w:rsidRDefault="00812A9C" w:rsidP="00812A9C">
      <w:pPr>
        <w:ind w:left="-810" w:right="-154"/>
        <w:jc w:val="both"/>
        <w:rPr>
          <w:b/>
          <w:bCs/>
        </w:rPr>
      </w:pPr>
      <w:r w:rsidRPr="004F5958">
        <w:rPr>
          <w:b/>
          <w:bCs/>
        </w:rPr>
        <w:t xml:space="preserve">Résumez le principal changement structurel, institutionnel ou sociétal auquel le projet a approuvé. Ceci n’est pas une anecdote ou une liste des activités individuelles accomplies, mais une description de progrès fait vers l’objectif principal du projet. : </w:t>
      </w:r>
    </w:p>
    <w:p w14:paraId="44C71676" w14:textId="639D5540" w:rsidR="00812A9C" w:rsidRPr="004F5958" w:rsidRDefault="00812A9C" w:rsidP="00812A9C">
      <w:pPr>
        <w:spacing w:after="160" w:line="259" w:lineRule="auto"/>
        <w:ind w:firstLine="708"/>
        <w:jc w:val="both"/>
        <w:rPr>
          <w:rFonts w:eastAsia="Calibri"/>
          <w:bCs/>
          <w:iCs/>
          <w:sz w:val="22"/>
          <w:szCs w:val="22"/>
          <w:lang w:val="fr-CI" w:eastAsia="en-US"/>
        </w:rPr>
      </w:pPr>
      <w:r w:rsidRPr="004F5958">
        <w:rPr>
          <w:rFonts w:eastAsia="Calibri"/>
          <w:sz w:val="22"/>
          <w:szCs w:val="22"/>
          <w:lang w:eastAsia="en-US"/>
        </w:rPr>
        <w:t xml:space="preserve">Le projet a contribué à la mise en œuvre de la Stratégie nationale de la réconciliation et de la Cohésion sociale y compris de son plan national ayant permis de maintenir la cohésion sociale et l’indemnisation de victimes de la crise précédente. Cinq infrastructures sociocommunautaires ont </w:t>
      </w:r>
      <w:r w:rsidR="00DF6162" w:rsidRPr="004F5958">
        <w:rPr>
          <w:rFonts w:eastAsia="Calibri"/>
          <w:sz w:val="22"/>
          <w:szCs w:val="22"/>
          <w:lang w:eastAsia="en-US"/>
        </w:rPr>
        <w:t>été construites et réhabilitées</w:t>
      </w:r>
      <w:r w:rsidRPr="004F5958">
        <w:rPr>
          <w:rFonts w:eastAsia="Calibri"/>
          <w:sz w:val="22"/>
          <w:szCs w:val="22"/>
          <w:lang w:eastAsia="en-US"/>
        </w:rPr>
        <w:t xml:space="preserve"> dans les zones d’intervention, </w:t>
      </w:r>
      <w:r w:rsidRPr="004F5958">
        <w:rPr>
          <w:rFonts w:eastAsia="Calibri"/>
          <w:bCs/>
          <w:iCs/>
          <w:sz w:val="22"/>
          <w:szCs w:val="22"/>
          <w:lang w:val="fr-CI" w:eastAsia="en-US"/>
        </w:rPr>
        <w:t xml:space="preserve">régions de </w:t>
      </w:r>
      <w:proofErr w:type="spellStart"/>
      <w:r w:rsidRPr="004F5958">
        <w:rPr>
          <w:rFonts w:eastAsia="Calibri"/>
          <w:bCs/>
          <w:iCs/>
          <w:sz w:val="22"/>
          <w:szCs w:val="22"/>
          <w:lang w:val="fr-CI" w:eastAsia="en-US"/>
        </w:rPr>
        <w:t>Hambôl</w:t>
      </w:r>
      <w:proofErr w:type="spellEnd"/>
      <w:r w:rsidRPr="004F5958">
        <w:rPr>
          <w:rFonts w:eastAsia="Calibri"/>
          <w:bCs/>
          <w:iCs/>
          <w:sz w:val="22"/>
          <w:szCs w:val="22"/>
          <w:lang w:val="fr-CI" w:eastAsia="en-US"/>
        </w:rPr>
        <w:t xml:space="preserve">, </w:t>
      </w:r>
      <w:proofErr w:type="spellStart"/>
      <w:r w:rsidRPr="004F5958">
        <w:rPr>
          <w:rFonts w:eastAsia="Calibri"/>
          <w:bCs/>
          <w:iCs/>
          <w:sz w:val="22"/>
          <w:szCs w:val="22"/>
          <w:lang w:val="fr-CI" w:eastAsia="en-US"/>
        </w:rPr>
        <w:t>Lôh-Djiboua</w:t>
      </w:r>
      <w:proofErr w:type="spellEnd"/>
      <w:r w:rsidRPr="004F5958">
        <w:rPr>
          <w:rFonts w:eastAsia="Calibri"/>
          <w:bCs/>
          <w:iCs/>
          <w:sz w:val="22"/>
          <w:szCs w:val="22"/>
          <w:lang w:val="fr-CI" w:eastAsia="en-US"/>
        </w:rPr>
        <w:t xml:space="preserve">, </w:t>
      </w:r>
      <w:proofErr w:type="spellStart"/>
      <w:r w:rsidRPr="004F5958">
        <w:rPr>
          <w:rFonts w:eastAsia="Calibri"/>
          <w:bCs/>
          <w:iCs/>
          <w:sz w:val="22"/>
          <w:szCs w:val="22"/>
          <w:lang w:val="fr-CI" w:eastAsia="en-US"/>
        </w:rPr>
        <w:t>Gbôklê</w:t>
      </w:r>
      <w:proofErr w:type="spellEnd"/>
      <w:r w:rsidRPr="004F5958">
        <w:rPr>
          <w:rFonts w:eastAsia="Calibri"/>
          <w:bCs/>
          <w:iCs/>
          <w:sz w:val="22"/>
          <w:szCs w:val="22"/>
          <w:lang w:val="fr-CI" w:eastAsia="en-US"/>
        </w:rPr>
        <w:t xml:space="preserve">, </w:t>
      </w:r>
      <w:proofErr w:type="spellStart"/>
      <w:r w:rsidRPr="004F5958">
        <w:rPr>
          <w:rFonts w:eastAsia="Calibri"/>
          <w:bCs/>
          <w:iCs/>
          <w:sz w:val="22"/>
          <w:szCs w:val="22"/>
          <w:lang w:val="fr-CI" w:eastAsia="en-US"/>
        </w:rPr>
        <w:t>Bagoué</w:t>
      </w:r>
      <w:proofErr w:type="spellEnd"/>
      <w:r w:rsidRPr="004F5958">
        <w:rPr>
          <w:rFonts w:eastAsia="Calibri"/>
          <w:bCs/>
          <w:iCs/>
          <w:sz w:val="22"/>
          <w:szCs w:val="22"/>
          <w:lang w:val="fr-CI" w:eastAsia="en-US"/>
        </w:rPr>
        <w:t xml:space="preserve"> et Lagunes, et les 16 activités de réparation communautaires réalisées a permis d’outiller</w:t>
      </w:r>
      <w:r w:rsidR="00A116AF" w:rsidRPr="004F5958">
        <w:rPr>
          <w:rFonts w:eastAsia="Calibri"/>
          <w:bCs/>
          <w:iCs/>
          <w:sz w:val="22"/>
          <w:szCs w:val="22"/>
          <w:lang w:val="fr-CI" w:eastAsia="en-US"/>
        </w:rPr>
        <w:t xml:space="preserve"> 4528 </w:t>
      </w:r>
      <w:r w:rsidR="00564187" w:rsidRPr="004F5958">
        <w:rPr>
          <w:rFonts w:eastAsia="Calibri"/>
          <w:bCs/>
          <w:iCs/>
          <w:sz w:val="22"/>
          <w:szCs w:val="22"/>
          <w:lang w:val="fr-CI" w:eastAsia="en-US"/>
        </w:rPr>
        <w:t xml:space="preserve">femmes </w:t>
      </w:r>
      <w:r w:rsidRPr="004F5958">
        <w:rPr>
          <w:rFonts w:eastAsia="Calibri"/>
          <w:bCs/>
          <w:iCs/>
          <w:sz w:val="22"/>
          <w:szCs w:val="22"/>
          <w:lang w:val="fr-CI" w:eastAsia="en-US"/>
        </w:rPr>
        <w:t>bénéficiaires</w:t>
      </w:r>
      <w:r w:rsidR="00564187" w:rsidRPr="004F5958">
        <w:rPr>
          <w:rFonts w:eastAsia="Calibri"/>
          <w:bCs/>
          <w:iCs/>
          <w:sz w:val="22"/>
          <w:szCs w:val="22"/>
          <w:lang w:val="fr-CI" w:eastAsia="en-US"/>
        </w:rPr>
        <w:t xml:space="preserve"> </w:t>
      </w:r>
      <w:r w:rsidR="00A116AF" w:rsidRPr="004F5958">
        <w:rPr>
          <w:rFonts w:eastAsia="Calibri"/>
          <w:bCs/>
          <w:iCs/>
          <w:sz w:val="22"/>
          <w:szCs w:val="22"/>
          <w:lang w:val="fr-CI" w:eastAsia="en-US"/>
        </w:rPr>
        <w:t xml:space="preserve">directes </w:t>
      </w:r>
      <w:r w:rsidR="00564187" w:rsidRPr="004F5958">
        <w:rPr>
          <w:rFonts w:eastAsia="Calibri"/>
          <w:bCs/>
          <w:iCs/>
          <w:sz w:val="22"/>
          <w:szCs w:val="22"/>
          <w:lang w:val="fr-CI" w:eastAsia="en-US"/>
        </w:rPr>
        <w:t xml:space="preserve">dans les régions de Tabou, </w:t>
      </w:r>
      <w:proofErr w:type="spellStart"/>
      <w:r w:rsidR="00564187" w:rsidRPr="004F5958">
        <w:rPr>
          <w:rFonts w:eastAsia="Calibri"/>
          <w:bCs/>
          <w:iCs/>
          <w:sz w:val="22"/>
          <w:szCs w:val="22"/>
          <w:lang w:val="fr-CI" w:eastAsia="en-US"/>
        </w:rPr>
        <w:t>Duekoue</w:t>
      </w:r>
      <w:proofErr w:type="spellEnd"/>
      <w:r w:rsidR="00564187" w:rsidRPr="004F5958">
        <w:rPr>
          <w:rFonts w:eastAsia="Calibri"/>
          <w:bCs/>
          <w:iCs/>
          <w:sz w:val="22"/>
          <w:szCs w:val="22"/>
          <w:lang w:val="fr-CI" w:eastAsia="en-US"/>
        </w:rPr>
        <w:t xml:space="preserve">, </w:t>
      </w:r>
      <w:proofErr w:type="spellStart"/>
      <w:r w:rsidR="00564187" w:rsidRPr="004F5958">
        <w:rPr>
          <w:rFonts w:eastAsia="Calibri"/>
          <w:bCs/>
          <w:iCs/>
          <w:sz w:val="22"/>
          <w:szCs w:val="22"/>
          <w:lang w:val="fr-CI" w:eastAsia="en-US"/>
        </w:rPr>
        <w:t>Bangolo</w:t>
      </w:r>
      <w:proofErr w:type="spellEnd"/>
      <w:r w:rsidR="00564187" w:rsidRPr="004F5958">
        <w:rPr>
          <w:rFonts w:eastAsia="Calibri"/>
          <w:bCs/>
          <w:iCs/>
          <w:sz w:val="22"/>
          <w:szCs w:val="22"/>
          <w:lang w:val="fr-CI" w:eastAsia="en-US"/>
        </w:rPr>
        <w:t xml:space="preserve">, Daloa, Gagnoa, </w:t>
      </w:r>
      <w:r w:rsidR="00406AAD" w:rsidRPr="004F5958">
        <w:rPr>
          <w:rFonts w:eastAsia="Calibri"/>
          <w:bCs/>
          <w:iCs/>
          <w:sz w:val="22"/>
          <w:szCs w:val="22"/>
          <w:lang w:val="fr-CI" w:eastAsia="en-US"/>
        </w:rPr>
        <w:t xml:space="preserve">Oumé, Boundiali, </w:t>
      </w:r>
      <w:proofErr w:type="spellStart"/>
      <w:r w:rsidR="00406AAD" w:rsidRPr="004F5958">
        <w:rPr>
          <w:rFonts w:eastAsia="Calibri"/>
          <w:bCs/>
          <w:iCs/>
          <w:sz w:val="22"/>
          <w:szCs w:val="22"/>
          <w:lang w:val="fr-CI" w:eastAsia="en-US"/>
        </w:rPr>
        <w:t>Sakassou</w:t>
      </w:r>
      <w:proofErr w:type="spellEnd"/>
      <w:r w:rsidR="00406AAD" w:rsidRPr="004F5958">
        <w:rPr>
          <w:rFonts w:eastAsia="Calibri"/>
          <w:bCs/>
          <w:iCs/>
          <w:sz w:val="22"/>
          <w:szCs w:val="22"/>
          <w:lang w:val="fr-CI" w:eastAsia="en-US"/>
        </w:rPr>
        <w:t xml:space="preserve">, Toumodi, </w:t>
      </w:r>
      <w:proofErr w:type="spellStart"/>
      <w:proofErr w:type="gramStart"/>
      <w:r w:rsidR="00406AAD" w:rsidRPr="004F5958">
        <w:rPr>
          <w:rFonts w:eastAsia="Calibri"/>
          <w:bCs/>
          <w:iCs/>
          <w:sz w:val="22"/>
          <w:szCs w:val="22"/>
          <w:lang w:val="fr-CI" w:eastAsia="en-US"/>
        </w:rPr>
        <w:t>Anibilekro</w:t>
      </w:r>
      <w:proofErr w:type="spellEnd"/>
      <w:r w:rsidRPr="004F5958">
        <w:rPr>
          <w:rFonts w:eastAsia="Calibri"/>
          <w:bCs/>
          <w:iCs/>
          <w:sz w:val="22"/>
          <w:szCs w:val="22"/>
          <w:lang w:val="fr-CI" w:eastAsia="en-US"/>
        </w:rPr>
        <w:t xml:space="preserve"> </w:t>
      </w:r>
      <w:r w:rsidR="00406AAD" w:rsidRPr="004F5958">
        <w:rPr>
          <w:rFonts w:eastAsia="Calibri"/>
          <w:bCs/>
          <w:iCs/>
          <w:sz w:val="22"/>
          <w:szCs w:val="22"/>
          <w:lang w:val="fr-CI" w:eastAsia="en-US"/>
        </w:rPr>
        <w:t xml:space="preserve"> et</w:t>
      </w:r>
      <w:proofErr w:type="gramEnd"/>
      <w:r w:rsidR="00406AAD" w:rsidRPr="004F5958">
        <w:rPr>
          <w:rFonts w:eastAsia="Calibri"/>
          <w:bCs/>
          <w:iCs/>
          <w:sz w:val="22"/>
          <w:szCs w:val="22"/>
          <w:lang w:val="fr-CI" w:eastAsia="en-US"/>
        </w:rPr>
        <w:t xml:space="preserve"> de Bingerville.</w:t>
      </w:r>
    </w:p>
    <w:p w14:paraId="67CADEE9" w14:textId="6C947F82" w:rsidR="00516244" w:rsidRPr="004F5958" w:rsidRDefault="00516244" w:rsidP="00EA4B10">
      <w:pPr>
        <w:spacing w:after="160" w:line="259" w:lineRule="auto"/>
        <w:jc w:val="both"/>
        <w:rPr>
          <w:rFonts w:eastAsia="Calibri"/>
          <w:bCs/>
          <w:iCs/>
          <w:sz w:val="22"/>
          <w:szCs w:val="22"/>
          <w:lang w:eastAsia="en-US"/>
        </w:rPr>
      </w:pPr>
      <w:r w:rsidRPr="004F5958">
        <w:rPr>
          <w:rFonts w:eastAsia="Calibri"/>
          <w:sz w:val="22"/>
          <w:szCs w:val="22"/>
          <w:lang w:eastAsia="en-US"/>
        </w:rPr>
        <w:t xml:space="preserve">Une revue de la </w:t>
      </w:r>
      <w:r w:rsidR="00EA4B10" w:rsidRPr="004F5958">
        <w:rPr>
          <w:rFonts w:eastAsia="Calibri"/>
          <w:sz w:val="22"/>
          <w:szCs w:val="22"/>
          <w:lang w:eastAsia="en-US"/>
        </w:rPr>
        <w:t>SNRCS a été réalisée</w:t>
      </w:r>
      <w:r w:rsidR="000466D0" w:rsidRPr="004F5958">
        <w:rPr>
          <w:rFonts w:eastAsia="Calibri"/>
          <w:sz w:val="22"/>
          <w:szCs w:val="22"/>
          <w:lang w:eastAsia="en-US"/>
        </w:rPr>
        <w:t>, le document</w:t>
      </w:r>
      <w:r w:rsidR="00EA4B10" w:rsidRPr="004F5958">
        <w:rPr>
          <w:rFonts w:eastAsia="Calibri"/>
          <w:sz w:val="22"/>
          <w:szCs w:val="22"/>
          <w:lang w:eastAsia="en-US"/>
        </w:rPr>
        <w:t xml:space="preserve"> </w:t>
      </w:r>
      <w:r w:rsidR="000466D0" w:rsidRPr="004F5958">
        <w:rPr>
          <w:rFonts w:eastAsia="Calibri"/>
          <w:sz w:val="22"/>
          <w:szCs w:val="22"/>
          <w:lang w:eastAsia="en-US"/>
        </w:rPr>
        <w:t>permet</w:t>
      </w:r>
      <w:r w:rsidR="00CB1514" w:rsidRPr="004F5958">
        <w:rPr>
          <w:rFonts w:eastAsia="Calibri"/>
          <w:sz w:val="22"/>
          <w:szCs w:val="22"/>
          <w:lang w:eastAsia="en-US"/>
        </w:rPr>
        <w:t xml:space="preserve"> </w:t>
      </w:r>
      <w:r w:rsidR="000466D0" w:rsidRPr="004F5958">
        <w:rPr>
          <w:rFonts w:eastAsia="Calibri"/>
          <w:sz w:val="22"/>
          <w:szCs w:val="22"/>
          <w:lang w:eastAsia="en-US"/>
        </w:rPr>
        <w:t>au gouvernement</w:t>
      </w:r>
      <w:r w:rsidR="00EA4B10" w:rsidRPr="004F5958">
        <w:rPr>
          <w:rFonts w:eastAsia="Calibri"/>
          <w:sz w:val="22"/>
          <w:szCs w:val="22"/>
          <w:lang w:eastAsia="en-US"/>
        </w:rPr>
        <w:t xml:space="preserve"> </w:t>
      </w:r>
      <w:r w:rsidR="000466D0" w:rsidRPr="004F5958">
        <w:rPr>
          <w:rFonts w:eastAsia="Calibri"/>
          <w:bCs/>
          <w:iCs/>
          <w:sz w:val="22"/>
          <w:szCs w:val="22"/>
          <w:lang w:eastAsia="en-US"/>
        </w:rPr>
        <w:t>d’apprécier la portée d</w:t>
      </w:r>
      <w:r w:rsidR="00CB1514" w:rsidRPr="004F5958">
        <w:rPr>
          <w:rFonts w:eastAsia="Calibri"/>
          <w:bCs/>
          <w:iCs/>
          <w:sz w:val="22"/>
          <w:szCs w:val="22"/>
          <w:lang w:eastAsia="en-US"/>
        </w:rPr>
        <w:t>es actions en la matière</w:t>
      </w:r>
      <w:r w:rsidR="000466D0" w:rsidRPr="004F5958">
        <w:rPr>
          <w:rFonts w:eastAsia="Calibri"/>
          <w:bCs/>
          <w:iCs/>
          <w:sz w:val="22"/>
          <w:szCs w:val="22"/>
          <w:lang w:eastAsia="en-US"/>
        </w:rPr>
        <w:t xml:space="preserve">, </w:t>
      </w:r>
      <w:r w:rsidR="00CB1514" w:rsidRPr="004F5958">
        <w:rPr>
          <w:rFonts w:eastAsia="Calibri"/>
          <w:bCs/>
          <w:iCs/>
          <w:sz w:val="22"/>
          <w:szCs w:val="22"/>
          <w:lang w:eastAsia="en-US"/>
        </w:rPr>
        <w:t>du</w:t>
      </w:r>
      <w:r w:rsidR="000466D0" w:rsidRPr="004F5958">
        <w:rPr>
          <w:rFonts w:eastAsia="Calibri"/>
          <w:bCs/>
          <w:iCs/>
          <w:sz w:val="22"/>
          <w:szCs w:val="22"/>
          <w:lang w:eastAsia="en-US"/>
        </w:rPr>
        <w:t xml:space="preserve"> cadre de coordination et d’avoir des recommandations en vue de la formulation de la nouvelle stratégie 2022-2025.</w:t>
      </w:r>
      <w:r w:rsidR="00CB1514" w:rsidRPr="004F5958">
        <w:rPr>
          <w:rFonts w:eastAsia="Calibri"/>
          <w:bCs/>
          <w:iCs/>
          <w:sz w:val="22"/>
          <w:szCs w:val="22"/>
          <w:lang w:eastAsia="en-US"/>
        </w:rPr>
        <w:t xml:space="preserve"> </w:t>
      </w:r>
    </w:p>
    <w:p w14:paraId="24B58117" w14:textId="77777777" w:rsidR="00812A9C" w:rsidRPr="004F5958" w:rsidRDefault="00812A9C" w:rsidP="00812A9C">
      <w:pPr>
        <w:spacing w:after="160" w:line="259" w:lineRule="auto"/>
        <w:ind w:firstLine="708"/>
        <w:jc w:val="both"/>
        <w:rPr>
          <w:rFonts w:eastAsia="Calibri"/>
          <w:sz w:val="22"/>
          <w:szCs w:val="22"/>
          <w:lang w:val="fr-CI" w:eastAsia="en-US"/>
        </w:rPr>
      </w:pPr>
      <w:r w:rsidRPr="004F5958">
        <w:rPr>
          <w:rFonts w:eastAsia="Calibri"/>
          <w:sz w:val="22"/>
          <w:szCs w:val="22"/>
          <w:lang w:eastAsia="en-US"/>
        </w:rPr>
        <w:t xml:space="preserve">L'appui au MJDH a renforcé le cadre normatif national du pays à travers les réformes législatives en matière pénale entreprises. </w:t>
      </w:r>
      <w:r w:rsidRPr="004F5958">
        <w:rPr>
          <w:rFonts w:eastAsia="Calibri"/>
          <w:sz w:val="22"/>
          <w:szCs w:val="22"/>
          <w:lang w:val="fr-CI" w:eastAsia="en-US"/>
        </w:rPr>
        <w:t>L’appui à la vulgarisation de ces innovations a permis aux magistrats et aux justiciables d’être mieux informés sur les nouvelles dispositions législatives, plus conformes aux standards internationaux. Le soutien aux mécanismes d’aide légale a permis l’apurement des arriérées d’</w:t>
      </w:r>
      <w:r w:rsidRPr="004F5958">
        <w:rPr>
          <w:rFonts w:eastAsia="Calibri"/>
          <w:sz w:val="22"/>
          <w:szCs w:val="22"/>
          <w:lang w:eastAsia="en-US"/>
        </w:rPr>
        <w:t xml:space="preserve">affaires pénales grâce à l’assistance juridique attribuée aux accusé(e)s et a permis de renouer le dialogue entre les magistrats, le Barreau et l’ordre des commissaires de justice dans le cadre du jugement des affaires criminelles y compris les cas de VBG et de pédo criminalité. Grace à l’appui du projet, des dossiers criminels liés aux conflits post électoraux ont pu être jugés. </w:t>
      </w:r>
    </w:p>
    <w:p w14:paraId="62260920" w14:textId="77777777" w:rsidR="00812A9C" w:rsidRPr="004F5958" w:rsidRDefault="00812A9C" w:rsidP="00812A9C">
      <w:pPr>
        <w:spacing w:after="160" w:line="259" w:lineRule="auto"/>
        <w:ind w:firstLine="708"/>
        <w:jc w:val="both"/>
        <w:rPr>
          <w:rFonts w:eastAsia="Calibri"/>
          <w:b/>
          <w:bCs/>
          <w:i/>
          <w:iCs/>
          <w:sz w:val="22"/>
          <w:szCs w:val="22"/>
          <w:lang w:val="fr-CI" w:eastAsia="en-US"/>
        </w:rPr>
      </w:pPr>
      <w:bookmarkStart w:id="16" w:name="_Hlk85385697"/>
      <w:r w:rsidRPr="004F5958">
        <w:rPr>
          <w:rFonts w:eastAsia="Calibri"/>
          <w:sz w:val="22"/>
          <w:szCs w:val="22"/>
          <w:lang w:eastAsia="en-US"/>
        </w:rPr>
        <w:t xml:space="preserve">Avec l’appui du projet, le Conseil National des Droits de l’Homme (CNDH) réformé, conforme aux Principes de Paris, est opérationnel et représenté au niveau national dans 31 régions. Ses membres ont été outillés et formés pour assurer une meilleure prise en charge des victimes de violation des droits humains. Grâce à ces efforts, le CNDH joue plus efficacement son rôle, en témoignent sa présence sur le terrain et ses interventions dans le cadre de l’actualité socio-politique du pays. Le monitoring des droits de l’homme s’est vu amélioré. </w:t>
      </w:r>
      <w:r w:rsidRPr="004F5958">
        <w:rPr>
          <w:rFonts w:eastAsia="Calibri"/>
          <w:sz w:val="22"/>
          <w:szCs w:val="22"/>
          <w:lang w:val="fr-CI" w:eastAsia="en-US"/>
        </w:rPr>
        <w:t>Si en mai 2016 le CNDH était au statut B,</w:t>
      </w:r>
      <w:r w:rsidRPr="004F5958">
        <w:rPr>
          <w:rFonts w:eastAsia="Calibri"/>
          <w:sz w:val="22"/>
          <w:szCs w:val="22"/>
          <w:lang w:eastAsia="en-US"/>
        </w:rPr>
        <w:t xml:space="preserve"> l’appui du Projet a permis son </w:t>
      </w:r>
      <w:r w:rsidRPr="004F5958">
        <w:rPr>
          <w:rFonts w:eastAsia="Calibri"/>
          <w:sz w:val="22"/>
          <w:szCs w:val="22"/>
          <w:lang w:val="fr-CI" w:eastAsia="en-US"/>
        </w:rPr>
        <w:t>accréditation au statut A.</w:t>
      </w:r>
    </w:p>
    <w:bookmarkEnd w:id="16"/>
    <w:p w14:paraId="6838EC2F" w14:textId="77777777" w:rsidR="00812A9C" w:rsidRPr="004F5958" w:rsidRDefault="00812A9C" w:rsidP="00812A9C">
      <w:pPr>
        <w:spacing w:after="160" w:line="259" w:lineRule="auto"/>
        <w:ind w:firstLine="708"/>
        <w:jc w:val="both"/>
        <w:rPr>
          <w:rFonts w:eastAsia="Calibri"/>
          <w:sz w:val="22"/>
          <w:szCs w:val="22"/>
          <w:lang w:val="en-US" w:eastAsia="en-US"/>
        </w:rPr>
      </w:pPr>
      <w:r w:rsidRPr="004F5958">
        <w:rPr>
          <w:rFonts w:eastAsia="Calibri"/>
          <w:sz w:val="22"/>
          <w:szCs w:val="22"/>
          <w:lang w:eastAsia="en-US"/>
        </w:rPr>
        <w:t xml:space="preserve">Le Projet, en étroite collaboration avec le Bureau régional du HCDH pour l'Afrique de l'Ouest, a permis la redynamisation du comité interministériel chargé de surveiller la mise en œuvre des instruments internationaux, d'élaborer les rapports périodiques sur les droits de l'homme et le plan national des droits de l'homme en cours de finalisation. </w:t>
      </w:r>
    </w:p>
    <w:p w14:paraId="6AC9C5ED" w14:textId="77777777" w:rsidR="00812A9C" w:rsidRPr="004F5958" w:rsidRDefault="00812A9C" w:rsidP="00812A9C">
      <w:pPr>
        <w:ind w:left="-810"/>
        <w:jc w:val="both"/>
        <w:rPr>
          <w:b/>
          <w:bCs/>
        </w:rPr>
      </w:pPr>
      <w:r w:rsidRPr="004F5958">
        <w:rPr>
          <w:b/>
          <w:bCs/>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4F5958">
        <w:rPr>
          <w:b/>
          <w:bCs/>
        </w:rPr>
        <w:t>weblinks</w:t>
      </w:r>
      <w:proofErr w:type="spellEnd"/>
      <w:r w:rsidRPr="004F5958">
        <w:rPr>
          <w:b/>
          <w:bCs/>
        </w:rPr>
        <w:t xml:space="preserve"> à la communication stratégique publiée. (</w:t>
      </w:r>
      <w:proofErr w:type="gramStart"/>
      <w:r w:rsidRPr="004F5958">
        <w:rPr>
          <w:b/>
          <w:bCs/>
        </w:rPr>
        <w:t>limite</w:t>
      </w:r>
      <w:proofErr w:type="gramEnd"/>
      <w:r w:rsidRPr="004F5958">
        <w:rPr>
          <w:b/>
          <w:bCs/>
        </w:rPr>
        <w:t xml:space="preserve"> de 2000 caractères):</w:t>
      </w:r>
    </w:p>
    <w:p w14:paraId="5F374DF2" w14:textId="2255C606" w:rsidR="00A43B3C" w:rsidRPr="004F5958" w:rsidRDefault="00812A9C" w:rsidP="00812A9C">
      <w:pPr>
        <w:rPr>
          <w:sz w:val="22"/>
          <w:szCs w:val="22"/>
        </w:rPr>
      </w:pPr>
      <w:r w:rsidRPr="004F5958">
        <w:rPr>
          <w:sz w:val="22"/>
          <w:szCs w:val="22"/>
        </w:rPr>
        <w:t xml:space="preserve">Cf. témoignages des acteurs judiciaires de Daloa, Bouaké et de Korhogo à la suite de l’accélération du traitement des dossiers criminels, y compris les VBG et </w:t>
      </w:r>
      <w:r w:rsidR="00A43B3C" w:rsidRPr="004F5958">
        <w:rPr>
          <w:sz w:val="22"/>
          <w:szCs w:val="22"/>
        </w:rPr>
        <w:t>de</w:t>
      </w:r>
      <w:r w:rsidRPr="004F5958">
        <w:rPr>
          <w:sz w:val="22"/>
          <w:szCs w:val="22"/>
        </w:rPr>
        <w:t xml:space="preserve"> pédo</w:t>
      </w:r>
      <w:r w:rsidR="00A43B3C" w:rsidRPr="004F5958">
        <w:rPr>
          <w:sz w:val="22"/>
          <w:szCs w:val="22"/>
        </w:rPr>
        <w:t xml:space="preserve"> </w:t>
      </w:r>
      <w:r w:rsidRPr="004F5958">
        <w:rPr>
          <w:sz w:val="22"/>
          <w:szCs w:val="22"/>
        </w:rPr>
        <w:t>criminalités.</w:t>
      </w:r>
      <w:r w:rsidR="00A43B3C" w:rsidRPr="004F5958">
        <w:rPr>
          <w:sz w:val="22"/>
          <w:szCs w:val="22"/>
        </w:rPr>
        <w:br/>
      </w:r>
      <w:hyperlink r:id="rId14" w:history="1">
        <w:r w:rsidR="00A43B3C" w:rsidRPr="004F5958">
          <w:rPr>
            <w:rStyle w:val="Lienhypertexte"/>
            <w:color w:val="auto"/>
            <w:sz w:val="22"/>
            <w:szCs w:val="22"/>
          </w:rPr>
          <w:t xml:space="preserve">https://wetransfer.com/downloads/327060ea91a31e738cd6d2bc76fb8ed520211025100318/661819841134d8ad9bdc2c1e0d7d568820211025100353/d8f4d7 </w:t>
        </w:r>
      </w:hyperlink>
    </w:p>
    <w:p w14:paraId="4A98A129" w14:textId="03D6B701" w:rsidR="00812A9C" w:rsidRPr="004F5958" w:rsidRDefault="00812A9C" w:rsidP="00812A9C">
      <w:pPr>
        <w:rPr>
          <w:sz w:val="22"/>
          <w:szCs w:val="22"/>
        </w:rPr>
      </w:pPr>
      <w:r w:rsidRPr="004F5958">
        <w:rPr>
          <w:sz w:val="22"/>
          <w:szCs w:val="22"/>
        </w:rPr>
        <w:t>Un film institutionnel est en cours de réalisation.</w:t>
      </w:r>
    </w:p>
    <w:p w14:paraId="6C76A331" w14:textId="1E5F7288" w:rsidR="008C23EF" w:rsidRPr="004F5958" w:rsidRDefault="008C23EF" w:rsidP="00812A9C">
      <w:pPr>
        <w:rPr>
          <w:sz w:val="22"/>
          <w:szCs w:val="22"/>
        </w:rPr>
      </w:pPr>
    </w:p>
    <w:p w14:paraId="106192D2" w14:textId="77777777" w:rsidR="008C23EF" w:rsidRPr="004F5958" w:rsidRDefault="008C23EF" w:rsidP="008C23EF">
      <w:pPr>
        <w:rPr>
          <w:sz w:val="22"/>
          <w:szCs w:val="22"/>
        </w:rPr>
      </w:pPr>
      <w:r w:rsidRPr="004F5958">
        <w:rPr>
          <w:sz w:val="22"/>
          <w:szCs w:val="22"/>
        </w:rPr>
        <w:t xml:space="preserve">La campagne de sensibilisation de proximité sur le foncier rural dans le département de </w:t>
      </w:r>
      <w:proofErr w:type="spellStart"/>
      <w:r w:rsidRPr="004F5958">
        <w:rPr>
          <w:sz w:val="22"/>
          <w:szCs w:val="22"/>
        </w:rPr>
        <w:t>Sakassou</w:t>
      </w:r>
      <w:proofErr w:type="spellEnd"/>
      <w:r w:rsidRPr="004F5958">
        <w:rPr>
          <w:sz w:val="22"/>
          <w:szCs w:val="22"/>
        </w:rPr>
        <w:t xml:space="preserve"> a permis d’aboutir au règlement définitif de plusieurs </w:t>
      </w:r>
      <w:proofErr w:type="spellStart"/>
      <w:r w:rsidRPr="004F5958">
        <w:rPr>
          <w:sz w:val="22"/>
          <w:szCs w:val="22"/>
          <w:lang w:val="en-GB"/>
        </w:rPr>
        <w:t>conflits</w:t>
      </w:r>
      <w:proofErr w:type="spellEnd"/>
      <w:r w:rsidRPr="004F5958">
        <w:rPr>
          <w:sz w:val="22"/>
          <w:szCs w:val="22"/>
        </w:rPr>
        <w:t xml:space="preserve"> opposants </w:t>
      </w:r>
      <w:r w:rsidRPr="004F5958">
        <w:rPr>
          <w:sz w:val="22"/>
          <w:szCs w:val="22"/>
          <w:lang w:val="en-GB"/>
        </w:rPr>
        <w:t>les</w:t>
      </w:r>
      <w:r w:rsidRPr="004F5958">
        <w:rPr>
          <w:sz w:val="22"/>
          <w:szCs w:val="22"/>
        </w:rPr>
        <w:t xml:space="preserve"> villages. </w:t>
      </w:r>
      <w:proofErr w:type="spellStart"/>
      <w:r w:rsidRPr="004F5958">
        <w:rPr>
          <w:sz w:val="22"/>
          <w:szCs w:val="22"/>
          <w:lang w:val="en-GB"/>
        </w:rPr>
        <w:t>En</w:t>
      </w:r>
      <w:proofErr w:type="spellEnd"/>
      <w:r w:rsidRPr="004F5958">
        <w:rPr>
          <w:sz w:val="22"/>
          <w:szCs w:val="22"/>
          <w:lang w:val="en-GB"/>
        </w:rPr>
        <w:t xml:space="preserve"> </w:t>
      </w:r>
      <w:proofErr w:type="spellStart"/>
      <w:proofErr w:type="gramStart"/>
      <w:r w:rsidRPr="004F5958">
        <w:rPr>
          <w:sz w:val="22"/>
          <w:szCs w:val="22"/>
          <w:lang w:val="en-GB"/>
        </w:rPr>
        <w:t>effet,l</w:t>
      </w:r>
      <w:proofErr w:type="spellEnd"/>
      <w:r w:rsidRPr="004F5958">
        <w:rPr>
          <w:sz w:val="22"/>
          <w:szCs w:val="22"/>
        </w:rPr>
        <w:t>’opération</w:t>
      </w:r>
      <w:proofErr w:type="gramEnd"/>
      <w:r w:rsidRPr="004F5958">
        <w:rPr>
          <w:sz w:val="22"/>
          <w:szCs w:val="22"/>
        </w:rPr>
        <w:t xml:space="preserve"> de délimitation des territoires initié par l’Etat était en difficulté avec des conflits latents entre villages frontaliers. Selon les informations fournies par le Directeur Départemental de l’Agriculture</w:t>
      </w:r>
      <w:r w:rsidRPr="004F5958">
        <w:rPr>
          <w:sz w:val="22"/>
          <w:szCs w:val="22"/>
          <w:lang w:val="en-GB"/>
        </w:rPr>
        <w:t xml:space="preserve"> "</w:t>
      </w:r>
      <w:r w:rsidRPr="004F5958">
        <w:rPr>
          <w:sz w:val="22"/>
          <w:szCs w:val="22"/>
        </w:rPr>
        <w:t xml:space="preserve">les campagnes ont permis </w:t>
      </w:r>
      <w:r w:rsidRPr="004F5958">
        <w:rPr>
          <w:sz w:val="22"/>
          <w:szCs w:val="22"/>
          <w:lang w:val="en-GB"/>
        </w:rPr>
        <w:t xml:space="preserve">de </w:t>
      </w:r>
      <w:proofErr w:type="spellStart"/>
      <w:r w:rsidRPr="004F5958">
        <w:rPr>
          <w:sz w:val="22"/>
          <w:szCs w:val="22"/>
          <w:lang w:val="en-GB"/>
        </w:rPr>
        <w:t>retablir</w:t>
      </w:r>
      <w:proofErr w:type="spellEnd"/>
      <w:r w:rsidRPr="004F5958">
        <w:rPr>
          <w:sz w:val="22"/>
          <w:szCs w:val="22"/>
          <w:lang w:val="en-GB"/>
        </w:rPr>
        <w:t xml:space="preserve"> la </w:t>
      </w:r>
      <w:proofErr w:type="spellStart"/>
      <w:r w:rsidRPr="004F5958">
        <w:rPr>
          <w:sz w:val="22"/>
          <w:szCs w:val="22"/>
          <w:lang w:val="en-GB"/>
        </w:rPr>
        <w:t>confiance</w:t>
      </w:r>
      <w:proofErr w:type="spellEnd"/>
      <w:r w:rsidRPr="004F5958">
        <w:rPr>
          <w:sz w:val="22"/>
          <w:szCs w:val="22"/>
          <w:lang w:val="en-GB"/>
        </w:rPr>
        <w:t xml:space="preserve"> entre les villages autrefois </w:t>
      </w:r>
      <w:proofErr w:type="spellStart"/>
      <w:r w:rsidRPr="004F5958">
        <w:rPr>
          <w:sz w:val="22"/>
          <w:szCs w:val="22"/>
          <w:lang w:val="en-GB"/>
        </w:rPr>
        <w:t>en</w:t>
      </w:r>
      <w:proofErr w:type="spellEnd"/>
      <w:r w:rsidRPr="004F5958">
        <w:rPr>
          <w:sz w:val="22"/>
          <w:szCs w:val="22"/>
          <w:lang w:val="en-GB"/>
        </w:rPr>
        <w:t xml:space="preserve"> </w:t>
      </w:r>
      <w:proofErr w:type="spellStart"/>
      <w:r w:rsidRPr="004F5958">
        <w:rPr>
          <w:sz w:val="22"/>
          <w:szCs w:val="22"/>
          <w:lang w:val="en-GB"/>
        </w:rPr>
        <w:t>conflit</w:t>
      </w:r>
      <w:proofErr w:type="spellEnd"/>
      <w:r w:rsidRPr="004F5958">
        <w:rPr>
          <w:sz w:val="22"/>
          <w:szCs w:val="22"/>
          <w:lang w:val="en-GB"/>
        </w:rPr>
        <w:t xml:space="preserve"> et les intentions de </w:t>
      </w:r>
      <w:proofErr w:type="spellStart"/>
      <w:r w:rsidRPr="004F5958">
        <w:rPr>
          <w:sz w:val="22"/>
          <w:szCs w:val="22"/>
          <w:lang w:val="en-GB"/>
        </w:rPr>
        <w:t>demande</w:t>
      </w:r>
      <w:proofErr w:type="spellEnd"/>
      <w:r w:rsidRPr="004F5958">
        <w:rPr>
          <w:sz w:val="22"/>
          <w:szCs w:val="22"/>
          <w:lang w:val="en-GB"/>
        </w:rPr>
        <w:t xml:space="preserve"> </w:t>
      </w:r>
      <w:proofErr w:type="spellStart"/>
      <w:r w:rsidRPr="004F5958">
        <w:rPr>
          <w:sz w:val="22"/>
          <w:szCs w:val="22"/>
          <w:lang w:val="en-GB"/>
        </w:rPr>
        <w:t>certificats</w:t>
      </w:r>
      <w:proofErr w:type="spellEnd"/>
      <w:r w:rsidRPr="004F5958">
        <w:rPr>
          <w:sz w:val="22"/>
          <w:szCs w:val="22"/>
          <w:lang w:val="en-GB"/>
        </w:rPr>
        <w:t xml:space="preserve"> </w:t>
      </w:r>
      <w:proofErr w:type="spellStart"/>
      <w:r w:rsidRPr="004F5958">
        <w:rPr>
          <w:sz w:val="22"/>
          <w:szCs w:val="22"/>
          <w:lang w:val="en-GB"/>
        </w:rPr>
        <w:t>fonciers</w:t>
      </w:r>
      <w:proofErr w:type="spellEnd"/>
      <w:r w:rsidRPr="004F5958">
        <w:rPr>
          <w:sz w:val="22"/>
          <w:szCs w:val="22"/>
          <w:lang w:val="en-GB"/>
        </w:rPr>
        <w:t xml:space="preserve"> </w:t>
      </w:r>
      <w:proofErr w:type="spellStart"/>
      <w:r w:rsidRPr="004F5958">
        <w:rPr>
          <w:sz w:val="22"/>
          <w:szCs w:val="22"/>
          <w:lang w:val="en-GB"/>
        </w:rPr>
        <w:t>sont</w:t>
      </w:r>
      <w:proofErr w:type="spellEnd"/>
      <w:r w:rsidRPr="004F5958">
        <w:rPr>
          <w:sz w:val="22"/>
          <w:szCs w:val="22"/>
          <w:lang w:val="en-GB"/>
        </w:rPr>
        <w:t xml:space="preserve"> </w:t>
      </w:r>
      <w:proofErr w:type="spellStart"/>
      <w:r w:rsidRPr="004F5958">
        <w:rPr>
          <w:sz w:val="22"/>
          <w:szCs w:val="22"/>
          <w:lang w:val="en-GB"/>
        </w:rPr>
        <w:t>passés</w:t>
      </w:r>
      <w:proofErr w:type="spellEnd"/>
      <w:r w:rsidRPr="004F5958">
        <w:rPr>
          <w:sz w:val="22"/>
          <w:szCs w:val="22"/>
          <w:lang w:val="en-GB"/>
        </w:rPr>
        <w:t xml:space="preserve"> de 19 à 75 </w:t>
      </w:r>
      <w:proofErr w:type="spellStart"/>
      <w:r w:rsidRPr="004F5958">
        <w:rPr>
          <w:sz w:val="22"/>
          <w:szCs w:val="22"/>
          <w:lang w:val="en-GB"/>
        </w:rPr>
        <w:t>demandes</w:t>
      </w:r>
      <w:proofErr w:type="spellEnd"/>
      <w:r w:rsidRPr="004F5958">
        <w:rPr>
          <w:sz w:val="22"/>
          <w:szCs w:val="22"/>
          <w:lang w:val="en-GB"/>
        </w:rPr>
        <w:t xml:space="preserve"> de CF"</w:t>
      </w:r>
      <w:r w:rsidRPr="004F5958">
        <w:rPr>
          <w:sz w:val="22"/>
          <w:szCs w:val="22"/>
        </w:rPr>
        <w:t>.</w:t>
      </w:r>
    </w:p>
    <w:p w14:paraId="4EB99C41" w14:textId="0A4A3325" w:rsidR="008C23EF" w:rsidRPr="004F5958" w:rsidRDefault="008C23EF" w:rsidP="008C23EF">
      <w:pPr>
        <w:rPr>
          <w:sz w:val="22"/>
          <w:szCs w:val="22"/>
        </w:rPr>
      </w:pPr>
      <w:r w:rsidRPr="004F5958">
        <w:rPr>
          <w:sz w:val="22"/>
          <w:szCs w:val="22"/>
          <w:lang w:val="en-GB"/>
        </w:rPr>
        <w:t xml:space="preserve"> </w:t>
      </w:r>
      <w:r w:rsidRPr="004F5958">
        <w:rPr>
          <w:sz w:val="22"/>
          <w:szCs w:val="22"/>
        </w:rPr>
        <w:t xml:space="preserve">En dépit de la fin du projet, l’expertise de </w:t>
      </w:r>
      <w:proofErr w:type="spellStart"/>
      <w:r w:rsidRPr="004F5958">
        <w:rPr>
          <w:sz w:val="22"/>
          <w:szCs w:val="22"/>
        </w:rPr>
        <w:t>l’ong</w:t>
      </w:r>
      <w:proofErr w:type="spellEnd"/>
      <w:r w:rsidRPr="004F5958">
        <w:rPr>
          <w:sz w:val="22"/>
          <w:szCs w:val="22"/>
        </w:rPr>
        <w:t xml:space="preserve"> CILMK </w:t>
      </w:r>
      <w:proofErr w:type="spellStart"/>
      <w:r w:rsidRPr="004F5958">
        <w:rPr>
          <w:sz w:val="22"/>
          <w:szCs w:val="22"/>
          <w:lang w:val="en-GB"/>
        </w:rPr>
        <w:t>partenaire</w:t>
      </w:r>
      <w:proofErr w:type="spellEnd"/>
      <w:r w:rsidRPr="004F5958">
        <w:rPr>
          <w:sz w:val="22"/>
          <w:szCs w:val="22"/>
          <w:lang w:val="en-GB"/>
        </w:rPr>
        <w:t xml:space="preserve"> de mise </w:t>
      </w:r>
      <w:proofErr w:type="spellStart"/>
      <w:r w:rsidRPr="004F5958">
        <w:rPr>
          <w:sz w:val="22"/>
          <w:szCs w:val="22"/>
          <w:lang w:val="en-GB"/>
        </w:rPr>
        <w:t>en</w:t>
      </w:r>
      <w:proofErr w:type="spellEnd"/>
      <w:r w:rsidRPr="004F5958">
        <w:rPr>
          <w:sz w:val="22"/>
          <w:szCs w:val="22"/>
          <w:lang w:val="en-GB"/>
        </w:rPr>
        <w:t xml:space="preserve"> oeuvre </w:t>
      </w:r>
      <w:r w:rsidRPr="004F5958">
        <w:rPr>
          <w:sz w:val="22"/>
          <w:szCs w:val="22"/>
        </w:rPr>
        <w:t xml:space="preserve">est sollicitée par les autorités administratives pour faciliter la médiation dans </w:t>
      </w:r>
      <w:proofErr w:type="spellStart"/>
      <w:r w:rsidRPr="004F5958">
        <w:rPr>
          <w:sz w:val="22"/>
          <w:szCs w:val="22"/>
          <w:lang w:val="en-GB"/>
        </w:rPr>
        <w:t>d'autres</w:t>
      </w:r>
      <w:proofErr w:type="spellEnd"/>
      <w:r w:rsidRPr="004F5958">
        <w:rPr>
          <w:sz w:val="22"/>
          <w:szCs w:val="22"/>
          <w:lang w:val="en-GB"/>
        </w:rPr>
        <w:t xml:space="preserve"> villages.</w:t>
      </w:r>
    </w:p>
    <w:p w14:paraId="5C6B7F2E" w14:textId="77777777" w:rsidR="00812A9C" w:rsidRPr="004F5958" w:rsidRDefault="00812A9C" w:rsidP="00812A9C">
      <w:pPr>
        <w:ind w:left="-810" w:firstLine="810"/>
        <w:rPr>
          <w:sz w:val="22"/>
          <w:szCs w:val="22"/>
        </w:rPr>
      </w:pPr>
    </w:p>
    <w:p w14:paraId="22FAE706" w14:textId="77777777" w:rsidR="00812A9C" w:rsidRPr="004F5958" w:rsidRDefault="00812A9C" w:rsidP="00812A9C">
      <w:pPr>
        <w:ind w:left="-810" w:firstLine="810"/>
        <w:rPr>
          <w:sz w:val="22"/>
          <w:szCs w:val="22"/>
        </w:rPr>
      </w:pPr>
    </w:p>
    <w:p w14:paraId="0E7D8675" w14:textId="77777777" w:rsidR="00812A9C" w:rsidRPr="004F5958" w:rsidRDefault="00812A9C" w:rsidP="00812A9C">
      <w:pPr>
        <w:spacing w:after="160" w:line="259" w:lineRule="auto"/>
        <w:rPr>
          <w:rFonts w:ascii="Calibri" w:eastAsia="Calibri" w:hAnsi="Calibri"/>
          <w:b/>
          <w:sz w:val="22"/>
          <w:szCs w:val="22"/>
          <w:lang w:eastAsia="en-US"/>
        </w:rPr>
      </w:pPr>
      <w:r w:rsidRPr="004F5958">
        <w:rPr>
          <w:rFonts w:ascii="Calibri" w:eastAsia="Calibri" w:hAnsi="Calibri"/>
          <w:b/>
          <w:sz w:val="22"/>
          <w:szCs w:val="22"/>
          <w:u w:val="single"/>
          <w:lang w:eastAsia="en-US"/>
        </w:rPr>
        <w:t xml:space="preserve">Résultat </w:t>
      </w:r>
      <w:proofErr w:type="gramStart"/>
      <w:r w:rsidRPr="004F5958">
        <w:rPr>
          <w:rFonts w:ascii="Calibri" w:eastAsia="Calibri" w:hAnsi="Calibri"/>
          <w:b/>
          <w:sz w:val="22"/>
          <w:szCs w:val="22"/>
          <w:u w:val="single"/>
          <w:lang w:eastAsia="en-US"/>
        </w:rPr>
        <w:t>1:</w:t>
      </w:r>
      <w:proofErr w:type="gramEnd"/>
      <w:r w:rsidRPr="004F5958">
        <w:rPr>
          <w:rFonts w:ascii="Calibri" w:eastAsia="Calibri" w:hAnsi="Calibri"/>
          <w:b/>
          <w:sz w:val="22"/>
          <w:szCs w:val="22"/>
          <w:lang w:eastAsia="en-US"/>
        </w:rPr>
        <w:t xml:space="preserve">  </w:t>
      </w:r>
      <w:r w:rsidRPr="004F5958">
        <w:rPr>
          <w:rFonts w:ascii="Calibri" w:eastAsia="Calibri" w:hAnsi="Calibri"/>
          <w:b/>
          <w:sz w:val="22"/>
          <w:szCs w:val="22"/>
          <w:shd w:val="clear" w:color="auto" w:fill="FFFFFF"/>
          <w:lang w:eastAsia="en-US"/>
        </w:rPr>
        <w:fldChar w:fldCharType="begin">
          <w:ffData>
            <w:name w:val="Text33"/>
            <w:enabled/>
            <w:calcOnExit w:val="0"/>
            <w:textInput/>
          </w:ffData>
        </w:fldChar>
      </w:r>
      <w:bookmarkStart w:id="17" w:name="Text33"/>
      <w:r w:rsidRPr="004F5958">
        <w:rPr>
          <w:rFonts w:ascii="Calibri" w:eastAsia="Calibri" w:hAnsi="Calibri"/>
          <w:b/>
          <w:sz w:val="22"/>
          <w:szCs w:val="22"/>
          <w:shd w:val="clear" w:color="auto" w:fill="FFFFFF"/>
          <w:lang w:eastAsia="en-US"/>
        </w:rPr>
        <w:instrText xml:space="preserve"> FORMTEXT </w:instrText>
      </w:r>
      <w:r w:rsidRPr="004F5958">
        <w:rPr>
          <w:rFonts w:ascii="Calibri" w:eastAsia="Calibri" w:hAnsi="Calibri"/>
          <w:b/>
          <w:sz w:val="22"/>
          <w:szCs w:val="22"/>
          <w:shd w:val="clear" w:color="auto" w:fill="FFFFFF"/>
          <w:lang w:eastAsia="en-US"/>
        </w:rPr>
      </w:r>
      <w:r w:rsidRPr="004F5958">
        <w:rPr>
          <w:rFonts w:ascii="Calibri" w:eastAsia="Calibri" w:hAnsi="Calibri"/>
          <w:b/>
          <w:sz w:val="22"/>
          <w:szCs w:val="22"/>
          <w:shd w:val="clear" w:color="auto" w:fill="FFFFFF"/>
          <w:lang w:eastAsia="en-US"/>
        </w:rPr>
        <w:fldChar w:fldCharType="separate"/>
      </w:r>
      <w:r w:rsidRPr="004F5958">
        <w:rPr>
          <w:rFonts w:ascii="Calibri" w:eastAsia="Calibri" w:hAnsi="Calibri"/>
          <w:sz w:val="22"/>
          <w:szCs w:val="22"/>
          <w:shd w:val="clear" w:color="auto" w:fill="FFFFFF"/>
          <w:lang w:eastAsia="en-US"/>
        </w:rPr>
        <w:t>Le renforcement des actions de réparation communautaire et de justice en faveur des victimes de la crise permet la consolidation et la pérennisation d’un climat favorable à la cohésion sociale et à la réconciliation nationale.</w:t>
      </w:r>
      <w:r w:rsidRPr="004F5958">
        <w:rPr>
          <w:rFonts w:ascii="Calibri" w:eastAsia="Calibri" w:hAnsi="Calibri"/>
          <w:sz w:val="22"/>
          <w:szCs w:val="22"/>
          <w:shd w:val="clear" w:color="auto" w:fill="FFFFFF"/>
          <w:lang w:eastAsia="en-US"/>
        </w:rPr>
        <w:fldChar w:fldCharType="end"/>
      </w:r>
      <w:bookmarkEnd w:id="17"/>
    </w:p>
    <w:p w14:paraId="009BEF9A" w14:textId="750F34FB" w:rsidR="00812A9C" w:rsidRPr="004F5958" w:rsidRDefault="00812A9C" w:rsidP="00812A9C">
      <w:pPr>
        <w:spacing w:after="160" w:line="259" w:lineRule="auto"/>
        <w:ind w:firstLine="708"/>
        <w:jc w:val="both"/>
        <w:rPr>
          <w:rFonts w:eastAsia="Calibri"/>
          <w:bCs/>
          <w:iCs/>
          <w:sz w:val="22"/>
          <w:szCs w:val="22"/>
          <w:lang w:val="fr-CI" w:eastAsia="en-US"/>
        </w:rPr>
      </w:pPr>
      <w:r w:rsidRPr="004F5958">
        <w:rPr>
          <w:rFonts w:eastAsia="Calibri"/>
          <w:bCs/>
          <w:iCs/>
          <w:sz w:val="22"/>
          <w:szCs w:val="22"/>
          <w:lang w:val="fr-CI" w:eastAsia="en-US"/>
        </w:rPr>
        <w:t xml:space="preserve">Le Ministère de la Solidarité, de la Cohésion Sociale et de la lutte contre la Pauvreté </w:t>
      </w:r>
      <w:bookmarkStart w:id="18" w:name="_Hlk74590099"/>
      <w:r w:rsidRPr="004F5958">
        <w:rPr>
          <w:rFonts w:eastAsia="Calibri"/>
          <w:bCs/>
          <w:iCs/>
          <w:sz w:val="22"/>
          <w:szCs w:val="22"/>
          <w:lang w:val="fr-CI" w:eastAsia="en-US"/>
        </w:rPr>
        <w:t xml:space="preserve">(MSCSLP) </w:t>
      </w:r>
      <w:bookmarkEnd w:id="18"/>
      <w:r w:rsidRPr="004F5958">
        <w:rPr>
          <w:rFonts w:eastAsia="Calibri"/>
          <w:bCs/>
          <w:iCs/>
          <w:sz w:val="22"/>
          <w:szCs w:val="22"/>
          <w:lang w:val="fr-CI" w:eastAsia="en-US"/>
        </w:rPr>
        <w:t xml:space="preserve">dispose d’un Plan National de réparation communautaire 2017-2020 et les cinq projets identifiés et mis en œuvre courant 2020-2021 figurent parmi les projets prédéfinis dans ledit plan. Les cinq (5) projets de réparations communautaires consistant en des constructions et réhabilitation d’infrastructures socio-culturelles, économiques et sanitaires ont été réalisés et finalisés. Il s’agit des constructions et des réhabilitations d’infrastructures communautaires dans les domaines de l’hydraulique, de l’éducation et de l’autonomisation des jeunes et des femmes. La mise en place de plusieurs points d’eau a réduit les conflits et a un impact socio-économique sur la vie des femmes au niveau communautaire. L’initiative a réduit la pénibilité du travail quotidien des femmes et leur a permis de s’occuper d’autres activités. La construction du foyer des jeunes à Lakota a permis d’avoir un cadre d’échange et de règlement à l’amiable des conflits entre les jeunes. Ce foyer leur a permis d’une part de se retrouver pour régler à l’amiable entre eux et au niveau communautaire leurs conflits avec l’appui des leaders de jeunes, leaders de femmes et des leaders traditionnels. D’autre part, il a permis de lever les préjugés qui existaient </w:t>
      </w:r>
      <w:proofErr w:type="gramStart"/>
      <w:r w:rsidRPr="004F5958">
        <w:rPr>
          <w:rFonts w:eastAsia="Calibri"/>
          <w:bCs/>
          <w:iCs/>
          <w:sz w:val="22"/>
          <w:szCs w:val="22"/>
          <w:lang w:val="fr-CI" w:eastAsia="en-US"/>
        </w:rPr>
        <w:t>les un</w:t>
      </w:r>
      <w:proofErr w:type="gramEnd"/>
      <w:r w:rsidRPr="004F5958">
        <w:rPr>
          <w:rFonts w:eastAsia="Calibri"/>
          <w:bCs/>
          <w:iCs/>
          <w:sz w:val="22"/>
          <w:szCs w:val="22"/>
          <w:lang w:val="fr-CI" w:eastAsia="en-US"/>
        </w:rPr>
        <w:t xml:space="preserve">(e)s envers les autres. Un bâtiment de 03 salles de classe à Dabakala a été construit, un forage à motricité solaire mis en place à Katiola et un centre socio-culturel à </w:t>
      </w:r>
      <w:proofErr w:type="spellStart"/>
      <w:r w:rsidRPr="004F5958">
        <w:rPr>
          <w:rFonts w:eastAsia="Calibri"/>
          <w:bCs/>
          <w:iCs/>
          <w:sz w:val="22"/>
          <w:szCs w:val="22"/>
          <w:lang w:val="fr-CI" w:eastAsia="en-US"/>
        </w:rPr>
        <w:t>Fresco</w:t>
      </w:r>
      <w:proofErr w:type="spellEnd"/>
      <w:r w:rsidRPr="004F5958">
        <w:rPr>
          <w:rFonts w:eastAsia="Calibri"/>
          <w:bCs/>
          <w:iCs/>
          <w:sz w:val="22"/>
          <w:szCs w:val="22"/>
          <w:lang w:val="fr-CI" w:eastAsia="en-US"/>
        </w:rPr>
        <w:t xml:space="preserve">. Il s’agit également de l’équipement informatique et mobilier de la coopérative de jeunes de Bingerville. Ces interventions sont situées respectivement dans les </w:t>
      </w:r>
      <w:bookmarkStart w:id="19" w:name="_Hlk85377944"/>
      <w:r w:rsidRPr="004F5958">
        <w:rPr>
          <w:rFonts w:eastAsia="Calibri"/>
          <w:bCs/>
          <w:iCs/>
          <w:sz w:val="22"/>
          <w:szCs w:val="22"/>
          <w:lang w:val="fr-CI" w:eastAsia="en-US"/>
        </w:rPr>
        <w:t xml:space="preserve">régions de </w:t>
      </w:r>
      <w:proofErr w:type="spellStart"/>
      <w:r w:rsidRPr="004F5958">
        <w:rPr>
          <w:rFonts w:eastAsia="Calibri"/>
          <w:bCs/>
          <w:iCs/>
          <w:sz w:val="22"/>
          <w:szCs w:val="22"/>
          <w:lang w:val="fr-CI" w:eastAsia="en-US"/>
        </w:rPr>
        <w:t>Hambôl</w:t>
      </w:r>
      <w:proofErr w:type="spellEnd"/>
      <w:r w:rsidRPr="004F5958">
        <w:rPr>
          <w:rFonts w:eastAsia="Calibri"/>
          <w:bCs/>
          <w:iCs/>
          <w:sz w:val="22"/>
          <w:szCs w:val="22"/>
          <w:lang w:val="fr-CI" w:eastAsia="en-US"/>
        </w:rPr>
        <w:t xml:space="preserve">, </w:t>
      </w:r>
      <w:proofErr w:type="spellStart"/>
      <w:r w:rsidRPr="004F5958">
        <w:rPr>
          <w:rFonts w:eastAsia="Calibri"/>
          <w:bCs/>
          <w:iCs/>
          <w:sz w:val="22"/>
          <w:szCs w:val="22"/>
          <w:lang w:val="fr-CI" w:eastAsia="en-US"/>
        </w:rPr>
        <w:t>Lôh-Djiboua</w:t>
      </w:r>
      <w:proofErr w:type="spellEnd"/>
      <w:r w:rsidRPr="004F5958">
        <w:rPr>
          <w:rFonts w:eastAsia="Calibri"/>
          <w:bCs/>
          <w:iCs/>
          <w:sz w:val="22"/>
          <w:szCs w:val="22"/>
          <w:lang w:val="fr-CI" w:eastAsia="en-US"/>
        </w:rPr>
        <w:t xml:space="preserve">, </w:t>
      </w:r>
      <w:proofErr w:type="spellStart"/>
      <w:r w:rsidRPr="004F5958">
        <w:rPr>
          <w:rFonts w:eastAsia="Calibri"/>
          <w:bCs/>
          <w:iCs/>
          <w:sz w:val="22"/>
          <w:szCs w:val="22"/>
          <w:lang w:val="fr-CI" w:eastAsia="en-US"/>
        </w:rPr>
        <w:t>Gbôklê</w:t>
      </w:r>
      <w:proofErr w:type="spellEnd"/>
      <w:r w:rsidRPr="004F5958">
        <w:rPr>
          <w:rFonts w:eastAsia="Calibri"/>
          <w:bCs/>
          <w:iCs/>
          <w:sz w:val="22"/>
          <w:szCs w:val="22"/>
          <w:lang w:val="fr-CI" w:eastAsia="en-US"/>
        </w:rPr>
        <w:t xml:space="preserve">, </w:t>
      </w:r>
      <w:proofErr w:type="spellStart"/>
      <w:r w:rsidRPr="004F5958">
        <w:rPr>
          <w:rFonts w:eastAsia="Calibri"/>
          <w:bCs/>
          <w:iCs/>
          <w:sz w:val="22"/>
          <w:szCs w:val="22"/>
          <w:lang w:val="fr-CI" w:eastAsia="en-US"/>
        </w:rPr>
        <w:t>Bagoué</w:t>
      </w:r>
      <w:proofErr w:type="spellEnd"/>
      <w:r w:rsidRPr="004F5958">
        <w:rPr>
          <w:rFonts w:eastAsia="Calibri"/>
          <w:bCs/>
          <w:iCs/>
          <w:sz w:val="22"/>
          <w:szCs w:val="22"/>
          <w:lang w:val="fr-CI" w:eastAsia="en-US"/>
        </w:rPr>
        <w:t xml:space="preserve"> et Lagunes</w:t>
      </w:r>
      <w:bookmarkEnd w:id="19"/>
      <w:r w:rsidRPr="004F5958">
        <w:rPr>
          <w:rFonts w:eastAsia="Calibri"/>
          <w:bCs/>
          <w:iCs/>
          <w:sz w:val="22"/>
          <w:szCs w:val="22"/>
          <w:lang w:val="fr-CI" w:eastAsia="en-US"/>
        </w:rPr>
        <w:t xml:space="preserve">. </w:t>
      </w:r>
    </w:p>
    <w:p w14:paraId="7943AA27" w14:textId="77777777" w:rsidR="00812A9C" w:rsidRPr="004F5958" w:rsidRDefault="00812A9C" w:rsidP="00812A9C">
      <w:pPr>
        <w:spacing w:after="160" w:line="259" w:lineRule="auto"/>
        <w:ind w:firstLine="708"/>
        <w:jc w:val="both"/>
        <w:rPr>
          <w:rFonts w:eastAsia="Calibri"/>
          <w:bCs/>
          <w:iCs/>
          <w:sz w:val="22"/>
          <w:szCs w:val="22"/>
          <w:lang w:val="fr-CI" w:eastAsia="en-US"/>
        </w:rPr>
      </w:pPr>
      <w:r w:rsidRPr="004F5958">
        <w:rPr>
          <w:rFonts w:eastAsia="Calibri"/>
          <w:bCs/>
          <w:iCs/>
          <w:sz w:val="22"/>
          <w:szCs w:val="22"/>
          <w:lang w:val="fr-CI" w:eastAsia="en-US"/>
        </w:rPr>
        <w:t xml:space="preserve">Les16 projets de réparations communautaires réalisés grâce à l’appui du projet ont permis de satisfaire les besoins sociocommunautaires formulés par les populations dans le cadre de la conception du </w:t>
      </w:r>
      <w:proofErr w:type="spellStart"/>
      <w:r w:rsidRPr="004F5958">
        <w:rPr>
          <w:rFonts w:eastAsia="Calibri"/>
          <w:bCs/>
          <w:iCs/>
          <w:sz w:val="22"/>
          <w:szCs w:val="22"/>
          <w:lang w:val="fr-CI" w:eastAsia="en-US"/>
        </w:rPr>
        <w:t>PNRCo</w:t>
      </w:r>
      <w:proofErr w:type="spellEnd"/>
      <w:r w:rsidRPr="004F5958">
        <w:rPr>
          <w:rFonts w:eastAsia="Calibri"/>
          <w:bCs/>
          <w:iCs/>
          <w:sz w:val="22"/>
          <w:szCs w:val="22"/>
          <w:lang w:val="fr-CI" w:eastAsia="en-US"/>
        </w:rPr>
        <w:t xml:space="preserve"> en 2017-2020. </w:t>
      </w:r>
    </w:p>
    <w:p w14:paraId="33E397C0" w14:textId="4C19C531" w:rsidR="00812A9C" w:rsidRPr="004F5958" w:rsidRDefault="00812A9C" w:rsidP="00812A9C">
      <w:pPr>
        <w:spacing w:after="160" w:line="259" w:lineRule="auto"/>
        <w:jc w:val="both"/>
        <w:rPr>
          <w:rFonts w:eastAsia="Calibri"/>
          <w:bCs/>
          <w:iCs/>
          <w:sz w:val="22"/>
          <w:szCs w:val="22"/>
          <w:lang w:eastAsia="en-US"/>
        </w:rPr>
      </w:pPr>
      <w:r w:rsidRPr="004F5958">
        <w:rPr>
          <w:rFonts w:eastAsia="Calibri"/>
          <w:bCs/>
          <w:iCs/>
          <w:sz w:val="22"/>
          <w:szCs w:val="22"/>
          <w:lang w:val="fr-CI" w:eastAsia="en-US"/>
        </w:rPr>
        <w:t>L’étude sur la revue de la stratégie nationale de la réconciliation et de cohésion sociale 2016-2020 y compris le plan de réparation communautaire 2017-2020, réalisé sous l’égide du MSCSLP avec l’appui du projet fait ressortir que le processus de réconciliation nationale et de cohésion sociale reste inachevé en Côte d’Ivoire</w:t>
      </w:r>
      <w:r w:rsidR="006A0BFE" w:rsidRPr="004F5958">
        <w:rPr>
          <w:rFonts w:eastAsia="Calibri"/>
          <w:bCs/>
          <w:iCs/>
          <w:sz w:val="22"/>
          <w:szCs w:val="22"/>
          <w:lang w:val="fr-CI" w:eastAsia="en-US"/>
        </w:rPr>
        <w:t>. L</w:t>
      </w:r>
      <w:r w:rsidR="00BF65C9" w:rsidRPr="004F5958">
        <w:rPr>
          <w:rFonts w:eastAsia="Calibri"/>
          <w:bCs/>
          <w:iCs/>
          <w:sz w:val="22"/>
          <w:szCs w:val="22"/>
          <w:lang w:eastAsia="en-US"/>
        </w:rPr>
        <w:t>'Etat de Côte d'Ivoire a pu mobiliser le tiers</w:t>
      </w:r>
      <w:r w:rsidR="006A0BFE" w:rsidRPr="004F5958">
        <w:rPr>
          <w:rFonts w:eastAsia="Calibri"/>
          <w:bCs/>
          <w:iCs/>
          <w:sz w:val="22"/>
          <w:szCs w:val="22"/>
          <w:lang w:eastAsia="en-US"/>
        </w:rPr>
        <w:t xml:space="preserve"> du budget du plan de réparation communautaire estimé à 18 685 000 000 FCFA ou $ 102 767 500.</w:t>
      </w:r>
    </w:p>
    <w:p w14:paraId="3D417040" w14:textId="77777777" w:rsidR="00812A9C" w:rsidRPr="004F5958" w:rsidRDefault="00812A9C" w:rsidP="00812A9C">
      <w:pPr>
        <w:spacing w:after="160" w:line="259" w:lineRule="auto"/>
        <w:ind w:firstLine="708"/>
        <w:jc w:val="both"/>
        <w:rPr>
          <w:rFonts w:eastAsia="Calibri"/>
          <w:bCs/>
          <w:iCs/>
          <w:sz w:val="22"/>
          <w:szCs w:val="22"/>
          <w:lang w:val="fr-CI" w:eastAsia="en-US"/>
        </w:rPr>
      </w:pPr>
      <w:r w:rsidRPr="004F5958">
        <w:rPr>
          <w:rFonts w:eastAsia="Calibri"/>
          <w:bCs/>
          <w:iCs/>
          <w:sz w:val="22"/>
          <w:szCs w:val="22"/>
          <w:lang w:val="fr-CI" w:eastAsia="en-US"/>
        </w:rPr>
        <w:t xml:space="preserve">Avec l’appui du Projet, le MSCSLP dispose d’un plan de communication sur le processus de réparation communautaire pour accroitre les connaissances du public sur le processus de réparation communautaire et faciliter la participation des victimes. Cependant, ledit plan n’a pas pu être mis en œuvre en raison du changement de l’équipe ministérielle et de la dénomination du MSCSLP en Ministère de la Réconciliation Nationale et des relations avec </w:t>
      </w:r>
      <w:proofErr w:type="gramStart"/>
      <w:r w:rsidRPr="004F5958">
        <w:rPr>
          <w:rFonts w:eastAsia="Calibri"/>
          <w:bCs/>
          <w:iCs/>
          <w:sz w:val="22"/>
          <w:szCs w:val="22"/>
          <w:lang w:val="fr-CI" w:eastAsia="en-US"/>
        </w:rPr>
        <w:t>les institutions survenu</w:t>
      </w:r>
      <w:proofErr w:type="gramEnd"/>
      <w:r w:rsidRPr="004F5958">
        <w:rPr>
          <w:rFonts w:eastAsia="Calibri"/>
          <w:bCs/>
          <w:iCs/>
          <w:sz w:val="22"/>
          <w:szCs w:val="22"/>
          <w:lang w:val="fr-CI" w:eastAsia="en-US"/>
        </w:rPr>
        <w:t xml:space="preserve"> après l’élection présidentielle. </w:t>
      </w:r>
    </w:p>
    <w:p w14:paraId="127C1661" w14:textId="77777777" w:rsidR="00812A9C" w:rsidRPr="004F5958" w:rsidRDefault="00812A9C" w:rsidP="00812A9C">
      <w:pPr>
        <w:spacing w:after="160" w:line="259" w:lineRule="auto"/>
        <w:ind w:firstLine="708"/>
        <w:jc w:val="both"/>
        <w:rPr>
          <w:rFonts w:eastAsia="Calibri"/>
          <w:bCs/>
          <w:iCs/>
          <w:sz w:val="22"/>
          <w:szCs w:val="22"/>
          <w:lang w:eastAsia="en-US"/>
        </w:rPr>
      </w:pPr>
      <w:r w:rsidRPr="004F5958">
        <w:rPr>
          <w:rFonts w:eastAsia="Calibri"/>
          <w:bCs/>
          <w:iCs/>
          <w:sz w:val="22"/>
          <w:szCs w:val="22"/>
          <w:lang w:eastAsia="en-US"/>
        </w:rPr>
        <w:t>Les différentes études menées sous l’égide du MJDH avec l’appui du projet notamment celles portant respectivement sur la révision des curricula de formation de l’Institut National de formation judiciaire (INFJ) et sur le fonctionnement du système judiciaire et pénitentiaire ont permis de disposer des données actualisées sur les défis du système pénal, les recommandations à mettre en œuvre et d’avoir des curricula de formation mis à jour au niveau de l’INFJ pour les élèves magistrats. La première étude a fait notamment ressortir que la maison d’arrêt et de correction d’Abidjan (MACA), la plus grande de Côte d’Ivoire, connaît au 30 octobre 2019 un taux de détention préventive de 36,7%, la capacité d’accueil des lieux de détention est largement dépassée puisque sur les 34 lieux de détention, 32 sont surpeuplés avec des taux d’occupation dépassant parfois plus de  2 détenus au m² (soit 6,2 individus sur 3 m</w:t>
      </w:r>
      <w:r w:rsidRPr="004F5958">
        <w:rPr>
          <w:rFonts w:eastAsia="Calibri"/>
          <w:bCs/>
          <w:iCs/>
          <w:sz w:val="22"/>
          <w:szCs w:val="22"/>
          <w:vertAlign w:val="superscript"/>
          <w:lang w:eastAsia="en-US"/>
        </w:rPr>
        <w:t>2</w:t>
      </w:r>
      <w:r w:rsidRPr="004F5958">
        <w:rPr>
          <w:rFonts w:eastAsia="Calibri"/>
          <w:bCs/>
          <w:iCs/>
          <w:sz w:val="22"/>
          <w:szCs w:val="22"/>
          <w:lang w:eastAsia="en-US"/>
        </w:rPr>
        <w:t>), la capacité d’accueil de ces 34 institutions d’incarcération est de 7 438 détenus alors que la population totale carcérale est de 19 392 individus soit un taux d’occupation moyen de 2,6 détenus pour chaque 3m</w:t>
      </w:r>
      <w:r w:rsidRPr="004F5958">
        <w:rPr>
          <w:rFonts w:eastAsia="Calibri"/>
          <w:bCs/>
          <w:iCs/>
          <w:sz w:val="22"/>
          <w:szCs w:val="22"/>
          <w:vertAlign w:val="superscript"/>
          <w:lang w:eastAsia="en-US"/>
        </w:rPr>
        <w:t>2</w:t>
      </w:r>
      <w:r w:rsidRPr="004F5958">
        <w:rPr>
          <w:rFonts w:eastAsia="Calibri"/>
          <w:bCs/>
          <w:iCs/>
          <w:sz w:val="22"/>
          <w:szCs w:val="22"/>
          <w:lang w:eastAsia="en-US"/>
        </w:rPr>
        <w:t xml:space="preserve"> de cellule. La même étude fait état d’un ratio de 1 magistrat pour 46 865 habitants, ce qui est un taux de couverture juridictionnelle de 4,6 fois supérieure au standard qui est de 1 magistrat pour 10 000 habitants. Cette situation explique davantage la surcharge de travail des magistrats, les retards dans la comparution des prévenus, et les difficultés à résorber les affaires en instance. La deuxième étude a relevé entre autres que la maquette de formation continue élaborée en 2014 n’a été que très partiellement mise en œuvre alors que les besoins en formation continue sont sans cesse croissants. Il a été relevé quant à son contenu que des thématiques importantes n’y ont pas été prises en compte. L’absence de calendrier de réalisation des formations prévues dans la maquette a été notée et l’Ecole de la magistrature ne disposait pas des capacités logistiques et financières suffisantes pour sa mise en œuvre effective. </w:t>
      </w:r>
    </w:p>
    <w:p w14:paraId="3D733385" w14:textId="7263365B" w:rsidR="00812A9C" w:rsidRPr="004F5958" w:rsidRDefault="00812A9C" w:rsidP="00812A9C">
      <w:pPr>
        <w:spacing w:after="160" w:line="259" w:lineRule="auto"/>
        <w:ind w:firstLine="708"/>
        <w:jc w:val="both"/>
        <w:rPr>
          <w:rFonts w:eastAsia="Calibri"/>
          <w:sz w:val="22"/>
          <w:szCs w:val="22"/>
          <w:lang w:eastAsia="en-US"/>
        </w:rPr>
      </w:pPr>
      <w:r w:rsidRPr="004F5958">
        <w:rPr>
          <w:rFonts w:eastAsia="Calibri"/>
          <w:sz w:val="22"/>
          <w:szCs w:val="22"/>
          <w:lang w:eastAsia="en-US"/>
        </w:rPr>
        <w:t>L'appui du projet à l'assistance judiciaire des affaires pénales depuis décembre 2020 a permis d'accélérer le traitement de 562 affaires pénales, dont 41,70% liées aux VBG et pédo-criminalité. Cette initiative a</w:t>
      </w:r>
      <w:r w:rsidRPr="004F5958">
        <w:rPr>
          <w:rFonts w:eastAsia="Calibri"/>
          <w:bCs/>
          <w:sz w:val="22"/>
          <w:szCs w:val="22"/>
          <w:lang w:val="fr-CI" w:eastAsia="en-US"/>
        </w:rPr>
        <w:t xml:space="preserve"> contribué à la lutte contre l’impunité en général et autour des cas de VBG</w:t>
      </w:r>
      <w:r w:rsidR="0055382B" w:rsidRPr="004F5958">
        <w:rPr>
          <w:rFonts w:eastAsia="Calibri"/>
          <w:bCs/>
          <w:sz w:val="22"/>
          <w:szCs w:val="22"/>
          <w:lang w:val="fr-CI" w:eastAsia="en-US"/>
        </w:rPr>
        <w:t xml:space="preserve">, de conflits post électoraux et de </w:t>
      </w:r>
      <w:proofErr w:type="spellStart"/>
      <w:r w:rsidR="0055382B" w:rsidRPr="004F5958">
        <w:rPr>
          <w:rFonts w:eastAsia="Calibri"/>
          <w:bCs/>
          <w:sz w:val="22"/>
          <w:szCs w:val="22"/>
          <w:lang w:val="fr-CI" w:eastAsia="en-US"/>
        </w:rPr>
        <w:t>pédocriminalité</w:t>
      </w:r>
      <w:proofErr w:type="spellEnd"/>
      <w:r w:rsidRPr="004F5958">
        <w:rPr>
          <w:rFonts w:eastAsia="Calibri"/>
          <w:bCs/>
          <w:sz w:val="22"/>
          <w:szCs w:val="22"/>
          <w:lang w:val="fr-CI" w:eastAsia="en-US"/>
        </w:rPr>
        <w:t>. Elle a permis aux accusé(e)s détenu(e)s ou non d’être fixé(e)s sur leurs sorts et aux victimes d’être reconnues en tant que telles, d’entrer dans leurs droits et se faire dédommager. Elle a contribué également à la réduction du nombre d’accusé(e)s placé(e)s en détention et en attente de leur jugement.</w:t>
      </w:r>
      <w:r w:rsidRPr="004F5958">
        <w:rPr>
          <w:rFonts w:eastAsia="Calibri"/>
          <w:sz w:val="22"/>
          <w:szCs w:val="22"/>
          <w:lang w:eastAsia="en-US"/>
        </w:rPr>
        <w:t xml:space="preserve"> Grace à ce projet d’assistance, </w:t>
      </w:r>
      <w:r w:rsidRPr="004F5958">
        <w:rPr>
          <w:rFonts w:eastAsia="Calibri"/>
          <w:sz w:val="22"/>
          <w:szCs w:val="22"/>
          <w:lang w:val="fr-CI" w:eastAsia="en-US"/>
        </w:rPr>
        <w:t>le dialogue est renoué entre le gouvernement, les Avocats, les magistrats et les commissaires de justice sur les modalités pratiques de relance de traitement des dossiers criminels.</w:t>
      </w:r>
      <w:r w:rsidRPr="004F5958">
        <w:rPr>
          <w:rFonts w:eastAsia="Calibri"/>
          <w:sz w:val="22"/>
          <w:szCs w:val="22"/>
          <w:lang w:eastAsia="en-US"/>
        </w:rPr>
        <w:t xml:space="preserve"> Lors de l'atelier de débriefing à organisé par le Ministère de la Justice ayant impliqué les magistrats, les avocats et les commissaires judiciaires, il a été arrêté que des solutions structurelles seront prises : l'amélioration du cadre législatif tenant compte du sous-effectif des magistrats et des avocats, l'adoption de la loi sur l'assistance judiciaire et l’aide juridictionnelle, la création de fonds dédiés à l'assistance judiciaire comme le prévoient les dispositions de l'Union économique et monétaire ouest-africaine (UEMOA). </w:t>
      </w:r>
    </w:p>
    <w:p w14:paraId="078C5C92" w14:textId="77777777" w:rsidR="00812A9C" w:rsidRPr="004F5958" w:rsidRDefault="00812A9C" w:rsidP="00812A9C">
      <w:pPr>
        <w:ind w:left="-720"/>
        <w:rPr>
          <w:b/>
        </w:rPr>
      </w:pPr>
      <w:r w:rsidRPr="004F5958">
        <w:rPr>
          <w:b/>
          <w:bCs/>
          <w:lang w:eastAsia="en-US"/>
        </w:rPr>
        <w:t xml:space="preserve">Indiquez toute analyse supplémentaire sur la manière dont l'égalité entre les sexes et l'autonomisation des femmes et / ou l'inclusion et la réactivité aux besoins des jeunes ont été assurées dans le cadre de ce résultat </w:t>
      </w:r>
      <w:r w:rsidRPr="004F5958">
        <w:rPr>
          <w:b/>
        </w:rPr>
        <w:t xml:space="preserve">: </w:t>
      </w:r>
      <w:r w:rsidRPr="004F5958">
        <w:rPr>
          <w:i/>
        </w:rPr>
        <w:t>(</w:t>
      </w:r>
      <w:r w:rsidRPr="004F5958">
        <w:rPr>
          <w:rFonts w:ascii="inherit" w:hAnsi="inherit"/>
        </w:rPr>
        <w:t>Limite de 1000 caractères</w:t>
      </w:r>
      <w:r w:rsidRPr="004F5958">
        <w:rPr>
          <w:i/>
        </w:rPr>
        <w:t>)</w:t>
      </w:r>
    </w:p>
    <w:p w14:paraId="2EC80C0E" w14:textId="77777777" w:rsidR="00812A9C" w:rsidRPr="004F5958" w:rsidRDefault="00812A9C" w:rsidP="00812A9C">
      <w:pPr>
        <w:spacing w:after="160" w:line="259" w:lineRule="auto"/>
        <w:jc w:val="both"/>
        <w:rPr>
          <w:rFonts w:eastAsia="Calibri"/>
          <w:sz w:val="22"/>
          <w:szCs w:val="22"/>
          <w:lang w:eastAsia="en-US"/>
        </w:rPr>
      </w:pPr>
      <w:r w:rsidRPr="004F5958">
        <w:rPr>
          <w:rFonts w:eastAsia="Calibri"/>
          <w:sz w:val="22"/>
          <w:szCs w:val="22"/>
          <w:lang w:eastAsia="en-US"/>
        </w:rPr>
        <w:t xml:space="preserve">Les principales bénéficiaires des projets de réparation communautaires sont les communautés et spécifiquement les femmes et les jeunes, victimes directes ou collatérales des crises successifs en Côte d’Ivoire dans un contexte marqué par l'insécurité et la discrimination de tout genre. Les femmes et les jeunes ont été associés au processus de dialogues communautaires qui aboutissent au choix du projet à exécuter dans une localité ciblée. </w:t>
      </w:r>
    </w:p>
    <w:p w14:paraId="4B8345B5" w14:textId="77777777" w:rsidR="00812A9C" w:rsidRPr="004F5958" w:rsidRDefault="00812A9C" w:rsidP="00812A9C">
      <w:pPr>
        <w:spacing w:after="160" w:line="259" w:lineRule="auto"/>
        <w:rPr>
          <w:rFonts w:ascii="Calibri" w:eastAsia="Calibri" w:hAnsi="Calibri"/>
          <w:sz w:val="22"/>
          <w:szCs w:val="22"/>
          <w:lang w:eastAsia="en-US"/>
        </w:rPr>
      </w:pPr>
    </w:p>
    <w:p w14:paraId="06161BAE" w14:textId="77777777" w:rsidR="00812A9C" w:rsidRPr="004F5958" w:rsidRDefault="00812A9C" w:rsidP="00812A9C">
      <w:pPr>
        <w:spacing w:after="160" w:line="259" w:lineRule="auto"/>
        <w:ind w:left="-720"/>
        <w:rPr>
          <w:rFonts w:ascii="Calibri" w:eastAsia="Calibri" w:hAnsi="Calibri"/>
          <w:b/>
          <w:sz w:val="22"/>
          <w:szCs w:val="22"/>
          <w:lang w:eastAsia="en-US"/>
        </w:rPr>
      </w:pPr>
      <w:r w:rsidRPr="004F5958">
        <w:rPr>
          <w:rFonts w:ascii="Calibri" w:eastAsia="Calibri" w:hAnsi="Calibri"/>
          <w:b/>
          <w:sz w:val="22"/>
          <w:szCs w:val="22"/>
          <w:u w:val="single"/>
          <w:lang w:eastAsia="en-US"/>
        </w:rPr>
        <w:t xml:space="preserve">Résultat </w:t>
      </w:r>
      <w:proofErr w:type="gramStart"/>
      <w:r w:rsidRPr="004F5958">
        <w:rPr>
          <w:rFonts w:ascii="Calibri" w:eastAsia="Calibri" w:hAnsi="Calibri"/>
          <w:b/>
          <w:sz w:val="22"/>
          <w:szCs w:val="22"/>
          <w:u w:val="single"/>
          <w:lang w:eastAsia="en-US"/>
        </w:rPr>
        <w:t>2:</w:t>
      </w:r>
      <w:proofErr w:type="gramEnd"/>
      <w:r w:rsidRPr="004F5958">
        <w:rPr>
          <w:rFonts w:ascii="Calibri" w:eastAsia="Calibri" w:hAnsi="Calibri"/>
          <w:b/>
          <w:sz w:val="22"/>
          <w:szCs w:val="22"/>
          <w:lang w:eastAsia="en-US"/>
        </w:rPr>
        <w:t xml:space="preserve">  </w:t>
      </w:r>
      <w:r w:rsidRPr="004F5958">
        <w:rPr>
          <w:rFonts w:ascii="Calibri" w:eastAsia="Calibri" w:hAnsi="Calibri"/>
          <w:b/>
          <w:sz w:val="22"/>
          <w:szCs w:val="22"/>
          <w:lang w:eastAsia="en-US"/>
        </w:rPr>
        <w:fldChar w:fldCharType="begin">
          <w:ffData>
            <w:name w:val="Text33"/>
            <w:enabled/>
            <w:calcOnExit w:val="0"/>
            <w:textInput/>
          </w:ffData>
        </w:fldChar>
      </w:r>
      <w:r w:rsidRPr="004F5958">
        <w:rPr>
          <w:rFonts w:ascii="Calibri" w:eastAsia="Calibri" w:hAnsi="Calibri"/>
          <w:b/>
          <w:sz w:val="22"/>
          <w:szCs w:val="22"/>
          <w:lang w:eastAsia="en-US"/>
        </w:rPr>
        <w:instrText xml:space="preserve"> FORMTEXT </w:instrText>
      </w:r>
      <w:r w:rsidRPr="004F5958">
        <w:rPr>
          <w:rFonts w:ascii="Calibri" w:eastAsia="Calibri" w:hAnsi="Calibri"/>
          <w:b/>
          <w:sz w:val="22"/>
          <w:szCs w:val="22"/>
          <w:lang w:eastAsia="en-US"/>
        </w:rPr>
      </w:r>
      <w:r w:rsidRPr="004F5958">
        <w:rPr>
          <w:rFonts w:ascii="Calibri" w:eastAsia="Calibri" w:hAnsi="Calibri"/>
          <w:b/>
          <w:sz w:val="22"/>
          <w:szCs w:val="22"/>
          <w:lang w:eastAsia="en-US"/>
        </w:rPr>
        <w:fldChar w:fldCharType="separate"/>
      </w:r>
      <w:r w:rsidRPr="004F5958">
        <w:rPr>
          <w:rFonts w:ascii="Calibri" w:eastAsia="Calibri" w:hAnsi="Calibri"/>
          <w:sz w:val="22"/>
          <w:szCs w:val="22"/>
          <w:lang w:eastAsia="en-US"/>
        </w:rPr>
        <w:t>Les victimes de la crise ivoirienne et leurs communautés bénéficient d’une aide légale fiable et efficace pour prévenir et résoudre les conflits fonciers à travers les modes alternatifs/communautaires de règlement des conflits et l’accès à la justice.</w:t>
      </w:r>
      <w:r w:rsidRPr="004F5958">
        <w:rPr>
          <w:rFonts w:ascii="Calibri" w:eastAsia="Calibri" w:hAnsi="Calibri"/>
          <w:b/>
          <w:sz w:val="22"/>
          <w:szCs w:val="22"/>
          <w:lang w:eastAsia="en-US"/>
        </w:rPr>
        <w:fldChar w:fldCharType="end"/>
      </w:r>
    </w:p>
    <w:p w14:paraId="19309D68" w14:textId="77777777" w:rsidR="00812A9C" w:rsidRPr="004F5958" w:rsidRDefault="00812A9C" w:rsidP="00812A9C">
      <w:pPr>
        <w:spacing w:after="160" w:line="259" w:lineRule="auto"/>
        <w:ind w:left="-720" w:firstLine="720"/>
        <w:rPr>
          <w:rFonts w:ascii="Calibri" w:eastAsia="Calibri" w:hAnsi="Calibri"/>
          <w:b/>
          <w:sz w:val="22"/>
          <w:szCs w:val="22"/>
          <w:lang w:eastAsia="en-US"/>
        </w:rPr>
      </w:pPr>
      <w:r w:rsidRPr="004F5958">
        <w:rPr>
          <w:rFonts w:eastAsia="Calibri"/>
          <w:sz w:val="22"/>
          <w:szCs w:val="22"/>
          <w:lang w:eastAsia="en-US"/>
        </w:rPr>
        <w:t>Toutes les activités relatives à l’aide légale ont été réalisées.</w:t>
      </w:r>
    </w:p>
    <w:p w14:paraId="79136549" w14:textId="77777777" w:rsidR="00812A9C" w:rsidRPr="004F5958" w:rsidRDefault="00812A9C" w:rsidP="00812A9C">
      <w:pPr>
        <w:spacing w:after="160" w:line="259" w:lineRule="auto"/>
        <w:ind w:firstLine="708"/>
        <w:jc w:val="both"/>
        <w:rPr>
          <w:rFonts w:eastAsia="Calibri"/>
          <w:sz w:val="22"/>
          <w:szCs w:val="22"/>
          <w:lang w:eastAsia="en-US"/>
        </w:rPr>
      </w:pPr>
      <w:r w:rsidRPr="004F5958">
        <w:rPr>
          <w:rFonts w:eastAsia="Calibri"/>
          <w:sz w:val="22"/>
          <w:szCs w:val="22"/>
          <w:lang w:eastAsia="en-US"/>
        </w:rPr>
        <w:t>724 personnes dont 478 (66,02%) femmes ont bénéficié de l’assistance juridique en termes d’orientation et de conseils juridiques et 112 personnes dont 98 (87,5%) d’assistance judiciaire en matière civile. 61 215 personnes dont 42 543 des femmes (69,50%) connaissent les droits de l’homme, les droits catégoriels et les modes de saisine des tribunaux grâce à la campagne de sensibilisation menée depuis 2019 en collaboration avec l’Association des Femmes Juristes (AFJCI).</w:t>
      </w:r>
      <w:r w:rsidRPr="004F5958">
        <w:rPr>
          <w:rFonts w:ascii="Calibri Light" w:hAnsi="Calibri Light" w:cs="Calibri Light"/>
          <w:sz w:val="22"/>
          <w:szCs w:val="22"/>
          <w:lang w:eastAsia="fr-FR"/>
        </w:rPr>
        <w:t xml:space="preserve"> </w:t>
      </w:r>
    </w:p>
    <w:p w14:paraId="0F4247CA" w14:textId="3CDBAC9C" w:rsidR="008C23EF" w:rsidRPr="004F5958" w:rsidRDefault="00812A9C" w:rsidP="008C23EF">
      <w:pPr>
        <w:spacing w:after="160" w:line="259" w:lineRule="auto"/>
        <w:ind w:firstLine="708"/>
        <w:jc w:val="both"/>
        <w:rPr>
          <w:rFonts w:eastAsia="Calibri"/>
          <w:sz w:val="22"/>
          <w:szCs w:val="22"/>
          <w:lang w:eastAsia="en-US"/>
        </w:rPr>
      </w:pPr>
      <w:r w:rsidRPr="004F5958">
        <w:rPr>
          <w:rFonts w:eastAsia="Calibri"/>
          <w:sz w:val="22"/>
          <w:szCs w:val="22"/>
          <w:lang w:eastAsia="en-US"/>
        </w:rPr>
        <w:t xml:space="preserve">  </w:t>
      </w:r>
      <w:r w:rsidR="008C23EF" w:rsidRPr="004F5958">
        <w:rPr>
          <w:rFonts w:eastAsia="Calibri"/>
          <w:sz w:val="22"/>
          <w:szCs w:val="22"/>
          <w:lang w:eastAsia="en-US"/>
        </w:rPr>
        <w:t xml:space="preserve">Au terme du renforcement de capacité de l'AFOR et de la </w:t>
      </w:r>
      <w:proofErr w:type="gramStart"/>
      <w:r w:rsidR="008C23EF" w:rsidRPr="004F5958">
        <w:rPr>
          <w:rFonts w:eastAsia="Calibri"/>
          <w:sz w:val="22"/>
          <w:szCs w:val="22"/>
          <w:lang w:eastAsia="en-US"/>
        </w:rPr>
        <w:t>DFR ,</w:t>
      </w:r>
      <w:proofErr w:type="gramEnd"/>
      <w:r w:rsidR="008C23EF" w:rsidRPr="004F5958">
        <w:rPr>
          <w:rFonts w:eastAsia="Calibri"/>
          <w:sz w:val="22"/>
          <w:szCs w:val="22"/>
          <w:lang w:eastAsia="en-US"/>
        </w:rPr>
        <w:t xml:space="preserve"> les </w:t>
      </w:r>
      <w:proofErr w:type="spellStart"/>
      <w:r w:rsidR="008C23EF" w:rsidRPr="004F5958">
        <w:rPr>
          <w:rFonts w:eastAsia="Calibri"/>
          <w:sz w:val="22"/>
          <w:szCs w:val="22"/>
          <w:lang w:eastAsia="en-US"/>
        </w:rPr>
        <w:t>princiaples</w:t>
      </w:r>
      <w:proofErr w:type="spellEnd"/>
      <w:r w:rsidR="008C23EF" w:rsidRPr="004F5958">
        <w:rPr>
          <w:rFonts w:eastAsia="Calibri"/>
          <w:sz w:val="22"/>
          <w:szCs w:val="22"/>
          <w:lang w:eastAsia="en-US"/>
        </w:rPr>
        <w:t xml:space="preserve"> contraintes et défis liés à la gouvernance foncière et à la mise en œuvre de la politique foncière ont été identifiées. A cet effet, un comité de veille a été mis sur place avec une feuille de route sur les 2 prochaines années. Des outils de communication (3PAD traduit en langue locale, 1000 affiches A3) ont été élaborés à l’effet de faire la sensibilisation sur la sécurisation foncière à travers les radios de proximité des régions de </w:t>
      </w:r>
      <w:proofErr w:type="spellStart"/>
      <w:r w:rsidR="008C23EF" w:rsidRPr="004F5958">
        <w:rPr>
          <w:rFonts w:eastAsia="Calibri"/>
          <w:sz w:val="22"/>
          <w:szCs w:val="22"/>
          <w:lang w:eastAsia="en-US"/>
        </w:rPr>
        <w:t>Duekoué</w:t>
      </w:r>
      <w:proofErr w:type="spellEnd"/>
      <w:r w:rsidR="008C23EF" w:rsidRPr="004F5958">
        <w:rPr>
          <w:rFonts w:eastAsia="Calibri"/>
          <w:sz w:val="22"/>
          <w:szCs w:val="22"/>
          <w:lang w:eastAsia="en-US"/>
        </w:rPr>
        <w:t xml:space="preserve"> ; Guiglo, </w:t>
      </w:r>
      <w:proofErr w:type="spellStart"/>
      <w:r w:rsidR="008C23EF" w:rsidRPr="004F5958">
        <w:rPr>
          <w:rFonts w:eastAsia="Calibri"/>
          <w:sz w:val="22"/>
          <w:szCs w:val="22"/>
          <w:lang w:eastAsia="en-US"/>
        </w:rPr>
        <w:t>Blolequin</w:t>
      </w:r>
      <w:proofErr w:type="spellEnd"/>
      <w:r w:rsidR="008C23EF" w:rsidRPr="004F5958">
        <w:rPr>
          <w:rFonts w:eastAsia="Calibri"/>
          <w:sz w:val="22"/>
          <w:szCs w:val="22"/>
          <w:lang w:eastAsia="en-US"/>
        </w:rPr>
        <w:t xml:space="preserve">, </w:t>
      </w:r>
      <w:proofErr w:type="spellStart"/>
      <w:r w:rsidR="008C23EF" w:rsidRPr="004F5958">
        <w:rPr>
          <w:rFonts w:eastAsia="Calibri"/>
          <w:sz w:val="22"/>
          <w:szCs w:val="22"/>
          <w:lang w:eastAsia="en-US"/>
        </w:rPr>
        <w:t>Sakassou</w:t>
      </w:r>
      <w:proofErr w:type="spellEnd"/>
      <w:r w:rsidR="008C23EF" w:rsidRPr="004F5958">
        <w:rPr>
          <w:rFonts w:eastAsia="Calibri"/>
          <w:sz w:val="22"/>
          <w:szCs w:val="22"/>
          <w:lang w:eastAsia="en-US"/>
        </w:rPr>
        <w:t>. Ces sensibilisations ont touché plus de 15000 ménages. Cette sensibilisation a permis de lever les incompréhensions et oppositions liées à la délimitation des territoires des villages (DTV) et d’accroitre la demande de certificats auprès des services en charge du foncier du département. L’ONG CILMK dont les capacités ont été renforcés par la FAO est devenue un acteur régional incontournable dans la prévention et gestion des conflits.</w:t>
      </w:r>
    </w:p>
    <w:p w14:paraId="1ACC0B42" w14:textId="20757E10" w:rsidR="008C23EF" w:rsidRPr="004F5958" w:rsidRDefault="008C23EF" w:rsidP="008C23EF">
      <w:pPr>
        <w:spacing w:after="160" w:line="259" w:lineRule="auto"/>
        <w:ind w:firstLine="708"/>
        <w:jc w:val="both"/>
        <w:rPr>
          <w:rFonts w:eastAsia="Calibri"/>
          <w:sz w:val="22"/>
          <w:szCs w:val="22"/>
          <w:lang w:eastAsia="en-US"/>
        </w:rPr>
      </w:pPr>
      <w:r w:rsidRPr="004F5958">
        <w:rPr>
          <w:rFonts w:eastAsia="Calibri"/>
          <w:sz w:val="22"/>
          <w:szCs w:val="22"/>
          <w:lang w:eastAsia="en-US"/>
        </w:rPr>
        <w:t>Afin de favoriser la cohésion sociale par le biais des travaux agricoles communautaires, 68 ha de bas fond ont aménagés et mis en valeur pour la production de riz. Plus de 40 ha sont exploitables pour un second cycle cultural annuel. Ce sont au total près de 613 ménages dont 337 femmes et 267 hommes qui ont bénéficié d’appui en semences et d’intrants agricoles. Au total 16 certificats fonciers (CF) collectifs sur 18 initialement prévus ont été remis aux détenteurs de droits coutumiers. A ce propos le tableau de suivi des indicateurs des conflits indique une baisse considérable des conflits. Et cela a été corroboré par l'absence de violence dans les localités pendant et après l 'élection présidentielle d'octobre 2020.</w:t>
      </w:r>
    </w:p>
    <w:p w14:paraId="4EA6684F" w14:textId="3BFAAD02" w:rsidR="00812A9C" w:rsidRPr="004F5958" w:rsidRDefault="00812A9C" w:rsidP="008C23EF">
      <w:pPr>
        <w:spacing w:after="160" w:line="259" w:lineRule="auto"/>
        <w:ind w:firstLine="708"/>
        <w:jc w:val="both"/>
        <w:rPr>
          <w:rFonts w:eastAsia="Calibri"/>
          <w:sz w:val="22"/>
          <w:szCs w:val="22"/>
          <w:lang w:eastAsia="en-US"/>
        </w:rPr>
      </w:pPr>
      <w:r w:rsidRPr="004F5958">
        <w:rPr>
          <w:rFonts w:eastAsia="Calibri"/>
          <w:sz w:val="22"/>
          <w:szCs w:val="22"/>
          <w:lang w:eastAsia="en-US"/>
        </w:rPr>
        <w:t xml:space="preserve"> </w:t>
      </w:r>
    </w:p>
    <w:p w14:paraId="60FC7DC8" w14:textId="1C2FEBB0" w:rsidR="00812A9C" w:rsidRPr="004F5958" w:rsidRDefault="00812A9C" w:rsidP="00812A9C">
      <w:pPr>
        <w:spacing w:after="160" w:line="259" w:lineRule="auto"/>
        <w:rPr>
          <w:rFonts w:ascii="Calibri" w:eastAsia="Calibri" w:hAnsi="Calibri"/>
          <w:sz w:val="22"/>
          <w:szCs w:val="22"/>
          <w:lang w:eastAsia="en-US"/>
        </w:rPr>
      </w:pPr>
    </w:p>
    <w:p w14:paraId="51724EC0" w14:textId="77777777" w:rsidR="00812A9C" w:rsidRPr="004F5958" w:rsidRDefault="00812A9C" w:rsidP="00812A9C">
      <w:pPr>
        <w:spacing w:after="160" w:line="259" w:lineRule="auto"/>
        <w:rPr>
          <w:rFonts w:ascii="Calibri" w:eastAsia="Calibri" w:hAnsi="Calibri"/>
          <w:sz w:val="22"/>
          <w:szCs w:val="22"/>
          <w:lang w:eastAsia="en-US"/>
        </w:rPr>
      </w:pPr>
    </w:p>
    <w:p w14:paraId="29440793" w14:textId="77777777" w:rsidR="00812A9C" w:rsidRPr="004F5958" w:rsidRDefault="00812A9C" w:rsidP="00812A9C">
      <w:pPr>
        <w:spacing w:after="160" w:line="259" w:lineRule="auto"/>
        <w:rPr>
          <w:rFonts w:ascii="Calibri" w:eastAsia="Calibri" w:hAnsi="Calibri"/>
          <w:sz w:val="22"/>
          <w:szCs w:val="22"/>
          <w:lang w:eastAsia="en-US"/>
        </w:rPr>
      </w:pPr>
    </w:p>
    <w:p w14:paraId="31E3547E" w14:textId="77777777" w:rsidR="00812A9C" w:rsidRPr="004F5958" w:rsidRDefault="00812A9C" w:rsidP="00812A9C">
      <w:pPr>
        <w:spacing w:after="160" w:line="259" w:lineRule="auto"/>
        <w:rPr>
          <w:rFonts w:ascii="Calibri" w:eastAsia="Calibri" w:hAnsi="Calibri"/>
          <w:sz w:val="22"/>
          <w:szCs w:val="22"/>
          <w:lang w:eastAsia="en-US"/>
        </w:rPr>
      </w:pPr>
    </w:p>
    <w:p w14:paraId="3A960FDE" w14:textId="77777777" w:rsidR="00812A9C" w:rsidRPr="004F5958" w:rsidRDefault="00812A9C" w:rsidP="00812A9C">
      <w:pPr>
        <w:spacing w:after="160" w:line="259" w:lineRule="auto"/>
        <w:rPr>
          <w:rFonts w:ascii="Calibri" w:eastAsia="Calibri" w:hAnsi="Calibri"/>
          <w:sz w:val="22"/>
          <w:szCs w:val="22"/>
          <w:lang w:eastAsia="en-US"/>
        </w:rPr>
      </w:pPr>
    </w:p>
    <w:p w14:paraId="29EB9982" w14:textId="77777777" w:rsidR="00812A9C" w:rsidRPr="004F5958" w:rsidRDefault="00812A9C" w:rsidP="00812A9C">
      <w:pPr>
        <w:spacing w:after="160" w:line="259" w:lineRule="auto"/>
        <w:ind w:left="-720"/>
        <w:rPr>
          <w:rFonts w:ascii="Calibri" w:eastAsia="Calibri" w:hAnsi="Calibri"/>
          <w:b/>
          <w:sz w:val="22"/>
          <w:szCs w:val="22"/>
          <w:lang w:eastAsia="en-US"/>
        </w:rPr>
      </w:pPr>
      <w:r w:rsidRPr="004F5958">
        <w:rPr>
          <w:rFonts w:ascii="Calibri" w:eastAsia="Calibri" w:hAnsi="Calibri"/>
          <w:b/>
          <w:sz w:val="22"/>
          <w:szCs w:val="22"/>
          <w:u w:val="single"/>
          <w:lang w:eastAsia="en-US"/>
        </w:rPr>
        <w:t xml:space="preserve">Résultat </w:t>
      </w:r>
      <w:proofErr w:type="gramStart"/>
      <w:r w:rsidRPr="004F5958">
        <w:rPr>
          <w:rFonts w:ascii="Calibri" w:eastAsia="Calibri" w:hAnsi="Calibri"/>
          <w:b/>
          <w:sz w:val="22"/>
          <w:szCs w:val="22"/>
          <w:u w:val="single"/>
          <w:lang w:eastAsia="en-US"/>
        </w:rPr>
        <w:t>3:</w:t>
      </w:r>
      <w:proofErr w:type="gramEnd"/>
      <w:r w:rsidRPr="004F5958">
        <w:rPr>
          <w:rFonts w:ascii="Calibri" w:eastAsia="Calibri" w:hAnsi="Calibri"/>
          <w:b/>
          <w:sz w:val="22"/>
          <w:szCs w:val="22"/>
          <w:lang w:eastAsia="en-US"/>
        </w:rPr>
        <w:t xml:space="preserve">  </w:t>
      </w:r>
      <w:r w:rsidRPr="004F5958">
        <w:rPr>
          <w:rFonts w:ascii="Calibri" w:eastAsia="Calibri" w:hAnsi="Calibri"/>
          <w:b/>
          <w:sz w:val="22"/>
          <w:szCs w:val="22"/>
          <w:lang w:eastAsia="en-US"/>
        </w:rPr>
        <w:fldChar w:fldCharType="begin">
          <w:ffData>
            <w:name w:val="Text33"/>
            <w:enabled/>
            <w:calcOnExit w:val="0"/>
            <w:textInput/>
          </w:ffData>
        </w:fldChar>
      </w:r>
      <w:r w:rsidRPr="004F5958">
        <w:rPr>
          <w:rFonts w:ascii="Calibri" w:eastAsia="Calibri" w:hAnsi="Calibri"/>
          <w:b/>
          <w:sz w:val="22"/>
          <w:szCs w:val="22"/>
          <w:lang w:eastAsia="en-US"/>
        </w:rPr>
        <w:instrText xml:space="preserve"> FORMTEXT </w:instrText>
      </w:r>
      <w:r w:rsidRPr="004F5958">
        <w:rPr>
          <w:rFonts w:ascii="Calibri" w:eastAsia="Calibri" w:hAnsi="Calibri"/>
          <w:b/>
          <w:sz w:val="22"/>
          <w:szCs w:val="22"/>
          <w:lang w:eastAsia="en-US"/>
        </w:rPr>
      </w:r>
      <w:r w:rsidRPr="004F5958">
        <w:rPr>
          <w:rFonts w:ascii="Calibri" w:eastAsia="Calibri" w:hAnsi="Calibri"/>
          <w:b/>
          <w:sz w:val="22"/>
          <w:szCs w:val="22"/>
          <w:lang w:eastAsia="en-US"/>
        </w:rPr>
        <w:fldChar w:fldCharType="separate"/>
      </w:r>
      <w:r w:rsidRPr="004F5958">
        <w:rPr>
          <w:rFonts w:ascii="Calibri" w:eastAsia="Calibri" w:hAnsi="Calibri"/>
          <w:sz w:val="22"/>
          <w:szCs w:val="22"/>
          <w:lang w:eastAsia="en-US"/>
        </w:rPr>
        <w:t>Le CNDH, le comité interministériel et les OSC remplissent effectivement et efficacement leur rôle de promotion et de protection des droits humains et la redevabilité de l’Etat par rapport à ses obligations internationales en matière des droits de l’homme est assurée.</w:t>
      </w:r>
      <w:r w:rsidRPr="004F5958">
        <w:rPr>
          <w:rFonts w:ascii="Calibri" w:eastAsia="Calibri" w:hAnsi="Calibri"/>
          <w:b/>
          <w:sz w:val="22"/>
          <w:szCs w:val="22"/>
          <w:lang w:eastAsia="en-US"/>
        </w:rPr>
        <w:fldChar w:fldCharType="end"/>
      </w:r>
    </w:p>
    <w:p w14:paraId="4E6CCC3E" w14:textId="3A3AFC09" w:rsidR="00812A9C" w:rsidRPr="004F5958" w:rsidRDefault="00812A9C" w:rsidP="00812A9C">
      <w:pPr>
        <w:spacing w:after="160" w:line="259" w:lineRule="auto"/>
        <w:ind w:firstLine="708"/>
        <w:jc w:val="both"/>
        <w:rPr>
          <w:sz w:val="22"/>
          <w:szCs w:val="22"/>
          <w:lang w:val="fr-CI"/>
        </w:rPr>
      </w:pPr>
      <w:r w:rsidRPr="004F5958">
        <w:rPr>
          <w:sz w:val="22"/>
          <w:szCs w:val="22"/>
        </w:rPr>
        <w:t xml:space="preserve">Avec l’appui du projet, le Conseil National des Droits de l’Homme (CNDH) réformé, conforme aux Principes de Paris, est opérationnel et représenté au niveau national dans 31 régions. Ses membres ont été outillés et formés pour assurer une meilleure prise en charge des victimes de violation des droits humains. Grâce à ces efforts, le CNDH joue plus efficacement son rôle, en témoignent sa présence sur le terrain et ses interventions dans le cadre de l’actualité socio-politique du pays. Le monitoring des droits de l’homme s’est vu amélioré. </w:t>
      </w:r>
      <w:r w:rsidRPr="004F5958">
        <w:rPr>
          <w:sz w:val="22"/>
          <w:szCs w:val="22"/>
          <w:lang w:val="fr-CI"/>
        </w:rPr>
        <w:t>Si en mai 2016 le CNDH était au statut B,</w:t>
      </w:r>
      <w:r w:rsidRPr="004F5958">
        <w:rPr>
          <w:sz w:val="22"/>
          <w:szCs w:val="22"/>
        </w:rPr>
        <w:t xml:space="preserve"> l’appui du Projet a permis son </w:t>
      </w:r>
      <w:r w:rsidRPr="004F5958">
        <w:rPr>
          <w:sz w:val="22"/>
          <w:szCs w:val="22"/>
          <w:lang w:val="fr-CI"/>
        </w:rPr>
        <w:t>accréditation au statut A.</w:t>
      </w:r>
      <w:r w:rsidRPr="004F5958">
        <w:rPr>
          <w:b/>
          <w:bCs/>
          <w:sz w:val="22"/>
          <w:szCs w:val="22"/>
          <w:lang w:val="fr-CI"/>
        </w:rPr>
        <w:t xml:space="preserve"> </w:t>
      </w:r>
      <w:r w:rsidRPr="004F5958">
        <w:rPr>
          <w:sz w:val="22"/>
          <w:szCs w:val="22"/>
          <w:lang w:val="fr-CI"/>
        </w:rPr>
        <w:t xml:space="preserve">Le CNDH a pu élaborer et présenté au gouvernement et aux organes es traités ses rapports sur la situation des droits de l’homme en Côte d’Ivoire l’année 2019 et celui de l’année 2020. Le CNDH a produit et soumis auprès des </w:t>
      </w:r>
      <w:bookmarkStart w:id="20" w:name="_Hlk86045943"/>
      <w:r w:rsidRPr="004F5958">
        <w:rPr>
          <w:sz w:val="22"/>
          <w:szCs w:val="22"/>
          <w:lang w:val="fr-CI"/>
        </w:rPr>
        <w:t>organes des traités</w:t>
      </w:r>
      <w:r w:rsidR="00421AAE">
        <w:rPr>
          <w:sz w:val="22"/>
          <w:szCs w:val="22"/>
          <w:lang w:val="fr-CI"/>
        </w:rPr>
        <w:t xml:space="preserve"> ses</w:t>
      </w:r>
      <w:r w:rsidR="00AA2EF1" w:rsidRPr="004F5958">
        <w:rPr>
          <w:sz w:val="22"/>
          <w:szCs w:val="22"/>
          <w:lang w:val="fr-CI"/>
        </w:rPr>
        <w:t xml:space="preserve"> </w:t>
      </w:r>
      <w:r w:rsidRPr="004F5958">
        <w:rPr>
          <w:sz w:val="22"/>
          <w:szCs w:val="22"/>
          <w:lang w:val="fr-CI"/>
        </w:rPr>
        <w:t xml:space="preserve">rapports alternatifs depuis l’année 2019. </w:t>
      </w:r>
      <w:r w:rsidR="00421AAE">
        <w:rPr>
          <w:sz w:val="22"/>
          <w:szCs w:val="22"/>
          <w:lang w:val="fr-CI"/>
        </w:rPr>
        <w:t>L</w:t>
      </w:r>
      <w:r w:rsidR="00421AAE" w:rsidRPr="00421AAE">
        <w:rPr>
          <w:sz w:val="22"/>
          <w:szCs w:val="22"/>
        </w:rPr>
        <w:t>e CNDH a été saisi, du 1er janvier au 31 décembre 2020, de 1765 requêtes, soit une hausse de 65,26 % par rapport aux données enregistrées en 2019. La moyenne mensuelle est estimée à 147,08 requêtes.</w:t>
      </w:r>
      <w:bookmarkEnd w:id="20"/>
    </w:p>
    <w:p w14:paraId="3EE45352" w14:textId="77777777" w:rsidR="00812A9C" w:rsidRPr="004F5958" w:rsidRDefault="00812A9C" w:rsidP="00812A9C">
      <w:pPr>
        <w:spacing w:after="160" w:line="259" w:lineRule="auto"/>
        <w:ind w:firstLine="708"/>
        <w:jc w:val="both"/>
        <w:rPr>
          <w:sz w:val="22"/>
          <w:szCs w:val="22"/>
        </w:rPr>
      </w:pPr>
      <w:r w:rsidRPr="004F5958">
        <w:rPr>
          <w:sz w:val="22"/>
          <w:szCs w:val="22"/>
        </w:rPr>
        <w:t>Grace au projet, le Comité interministériel en charge de la rédaction des rapports des droits de l’homme et du suivi des engagements internationaux des droits de l’homme souscrits par la Côte d’Ivoire est redynamisé. Les membres du comité ont été nommés et 3 rapports des droits de l’homme dont un dans le cadre de l’Examen Périodique Universel (EPU), un sur la mise en œuvre de la Convention internationale contre la torture et un sur l’application de la charte africaine des droits de l’homme et des peuples.</w:t>
      </w:r>
    </w:p>
    <w:p w14:paraId="0C89653C" w14:textId="3B9CEE17" w:rsidR="00812A9C" w:rsidRPr="004F5958" w:rsidRDefault="00812A9C" w:rsidP="004D3EF0">
      <w:pPr>
        <w:spacing w:after="160" w:line="259" w:lineRule="auto"/>
        <w:ind w:firstLine="708"/>
        <w:jc w:val="both"/>
        <w:rPr>
          <w:rFonts w:ascii="Calibri" w:eastAsia="Calibri" w:hAnsi="Calibri"/>
          <w:sz w:val="22"/>
          <w:szCs w:val="22"/>
          <w:lang w:eastAsia="en-US"/>
        </w:rPr>
      </w:pPr>
      <w:r w:rsidRPr="004F5958">
        <w:rPr>
          <w:sz w:val="22"/>
          <w:szCs w:val="22"/>
        </w:rPr>
        <w:t>Le Projet a soutenu l’élaboration du Plan National des Droits de l’Homme, sous l’égide du Secrétariat d’Etat chargé des Droits de l’Homme. Les consultants, international et national, ont été recrutés et le processus d’élaboration du document du Plan a été lancé. La finalisation du document est retardée en raison de la suppression du Secrétariat chargé des Droits de l’Homme intervenu à la suite d’un remaniement gouvernemental. L’initiative a été reprise en main par le MJDH et suivant le chronogramme établi avec le MJDH, la validation de ce Plan National des droits de l’homme se fera le courant novembre 2021. A terme, ce Plan permettra le renforcement du cadre d'orientation et de pilotage de l'ensemble des initiatives en matière de promotion et de protection des droits humains. Il permettra également un meilleur suivi de la mise en œuvre des engagements internationaux souscrits par l’Etat en la matière.</w:t>
      </w:r>
    </w:p>
    <w:p w14:paraId="470F9892" w14:textId="77777777" w:rsidR="00675507" w:rsidRPr="004F5958" w:rsidRDefault="00675507" w:rsidP="00675507">
      <w:pPr>
        <w:ind w:left="-720"/>
        <w:rPr>
          <w:b/>
        </w:rPr>
      </w:pPr>
    </w:p>
    <w:p w14:paraId="3C5CF25B" w14:textId="77777777" w:rsidR="00675507" w:rsidRPr="004F5958" w:rsidRDefault="00675507" w:rsidP="00675507">
      <w:pPr>
        <w:ind w:left="-720"/>
        <w:rPr>
          <w:b/>
        </w:rPr>
      </w:pPr>
      <w:r w:rsidRPr="004F5958">
        <w:rPr>
          <w:b/>
          <w:bCs/>
          <w:lang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4F5958">
        <w:rPr>
          <w:b/>
          <w:bCs/>
          <w:lang w:eastAsia="en-US"/>
        </w:rPr>
        <w:t>résultat</w:t>
      </w:r>
      <w:r w:rsidRPr="004F5958">
        <w:rPr>
          <w:b/>
        </w:rPr>
        <w:t>:</w:t>
      </w:r>
      <w:proofErr w:type="gramEnd"/>
      <w:r w:rsidRPr="004F5958">
        <w:rPr>
          <w:b/>
        </w:rPr>
        <w:t xml:space="preserve"> </w:t>
      </w:r>
      <w:r w:rsidRPr="004F5958">
        <w:t>(Limite de 1000 caractères)</w:t>
      </w:r>
    </w:p>
    <w:p w14:paraId="702E72D3" w14:textId="295D0CE7" w:rsidR="00675507" w:rsidRPr="004F5958" w:rsidRDefault="00675507" w:rsidP="00396000">
      <w:pPr>
        <w:ind w:left="-720"/>
        <w:rPr>
          <w:b/>
        </w:rPr>
      </w:pPr>
      <w:r w:rsidRPr="004F5958">
        <w:rPr>
          <w:b/>
        </w:rPr>
        <w:fldChar w:fldCharType="begin">
          <w:ffData>
            <w:name w:val=""/>
            <w:enabled/>
            <w:calcOnExit w:val="0"/>
            <w:textInput>
              <w:maxLength w:val="1000"/>
              <w:format w:val="FIRST CAPITAL"/>
            </w:textInput>
          </w:ffData>
        </w:fldChar>
      </w:r>
      <w:r w:rsidRPr="004F5958">
        <w:rPr>
          <w:b/>
        </w:rPr>
        <w:instrText xml:space="preserve"> FORMTEXT </w:instrText>
      </w:r>
      <w:r w:rsidRPr="004F5958">
        <w:rPr>
          <w:b/>
        </w:rPr>
      </w:r>
      <w:r w:rsidRPr="004F5958">
        <w:rPr>
          <w:b/>
        </w:rPr>
        <w:fldChar w:fldCharType="separate"/>
      </w:r>
      <w:r w:rsidRPr="004F5958">
        <w:rPr>
          <w:b/>
          <w:noProof/>
        </w:rPr>
        <w:t> </w:t>
      </w:r>
      <w:r w:rsidRPr="004F5958">
        <w:rPr>
          <w:b/>
          <w:noProof/>
        </w:rPr>
        <w:t> </w:t>
      </w:r>
      <w:r w:rsidRPr="004F5958">
        <w:rPr>
          <w:b/>
          <w:noProof/>
        </w:rPr>
        <w:t> </w:t>
      </w:r>
      <w:r w:rsidRPr="004F5958">
        <w:rPr>
          <w:b/>
          <w:noProof/>
        </w:rPr>
        <w:t> </w:t>
      </w:r>
      <w:r w:rsidRPr="004F5958">
        <w:rPr>
          <w:b/>
          <w:noProof/>
        </w:rPr>
        <w:t> </w:t>
      </w:r>
      <w:r w:rsidRPr="004F5958">
        <w:rPr>
          <w:b/>
        </w:rPr>
        <w:fldChar w:fldCharType="end"/>
      </w:r>
    </w:p>
    <w:p w14:paraId="40F7F91F" w14:textId="0E66BEC0" w:rsidR="00675507" w:rsidRPr="004F5958" w:rsidRDefault="00675507" w:rsidP="0078600B">
      <w:pPr>
        <w:rPr>
          <w:b/>
        </w:rPr>
      </w:pPr>
    </w:p>
    <w:p w14:paraId="16B08FCA" w14:textId="0E88E92A" w:rsidR="004D3EF0" w:rsidRPr="004F5958" w:rsidRDefault="004D3EF0" w:rsidP="0078600B">
      <w:pPr>
        <w:rPr>
          <w:b/>
        </w:rPr>
      </w:pPr>
    </w:p>
    <w:p w14:paraId="3565AD40" w14:textId="18B4448C" w:rsidR="004D3EF0" w:rsidRPr="004F5958" w:rsidRDefault="004D3EF0" w:rsidP="0078600B">
      <w:pPr>
        <w:rPr>
          <w:b/>
        </w:rPr>
      </w:pPr>
    </w:p>
    <w:p w14:paraId="56B66F99" w14:textId="77777777" w:rsidR="004D3EF0" w:rsidRPr="004F5958" w:rsidRDefault="004D3EF0" w:rsidP="0078600B">
      <w:pPr>
        <w:rPr>
          <w:b/>
        </w:rPr>
      </w:pPr>
    </w:p>
    <w:p w14:paraId="041CE678" w14:textId="77777777" w:rsidR="00675507" w:rsidRPr="004F5958" w:rsidRDefault="00675507" w:rsidP="00675507">
      <w:pPr>
        <w:rPr>
          <w:b/>
          <w:u w:val="single"/>
        </w:rPr>
      </w:pPr>
      <w:r w:rsidRPr="004F5958">
        <w:rPr>
          <w:b/>
          <w:u w:val="single"/>
        </w:rPr>
        <w:t xml:space="preserve">Partie </w:t>
      </w:r>
      <w:proofErr w:type="gramStart"/>
      <w:r w:rsidRPr="004F5958">
        <w:rPr>
          <w:b/>
          <w:u w:val="single"/>
        </w:rPr>
        <w:t>III:</w:t>
      </w:r>
      <w:proofErr w:type="gramEnd"/>
      <w:r w:rsidRPr="004F5958">
        <w:rPr>
          <w:b/>
          <w:u w:val="single"/>
        </w:rPr>
        <w:t xml:space="preserve"> Questions transversales</w:t>
      </w:r>
    </w:p>
    <w:p w14:paraId="63C232A7" w14:textId="77777777" w:rsidR="00675507" w:rsidRPr="004F5958" w:rsidRDefault="00675507" w:rsidP="00675507">
      <w:pPr>
        <w:ind w:left="360"/>
        <w:rPr>
          <w:b/>
        </w:rPr>
      </w:pPr>
    </w:p>
    <w:p w14:paraId="2C1E1F30" w14:textId="77777777" w:rsidR="00997347" w:rsidRPr="004F5958"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4F5958" w:rsidRPr="004F5958" w14:paraId="3278E054" w14:textId="77777777" w:rsidTr="007F7257">
        <w:tc>
          <w:tcPr>
            <w:tcW w:w="4230" w:type="dxa"/>
            <w:shd w:val="clear" w:color="auto" w:fill="auto"/>
          </w:tcPr>
          <w:p w14:paraId="1A9F4B35" w14:textId="77777777" w:rsidR="007118F5" w:rsidRPr="004F5958" w:rsidRDefault="00675507" w:rsidP="00234A5E">
            <w:proofErr w:type="gramStart"/>
            <w:r w:rsidRPr="004F5958">
              <w:rPr>
                <w:b/>
                <w:bCs/>
                <w:u w:val="single"/>
              </w:rPr>
              <w:t>Suivi</w:t>
            </w:r>
            <w:r w:rsidR="00513612" w:rsidRPr="004F5958">
              <w:rPr>
                <w:b/>
                <w:bCs/>
              </w:rPr>
              <w:t>:</w:t>
            </w:r>
            <w:proofErr w:type="gramEnd"/>
            <w:r w:rsidR="00513612" w:rsidRPr="004F5958">
              <w:rPr>
                <w:b/>
                <w:bCs/>
              </w:rPr>
              <w:t xml:space="preserve"> </w:t>
            </w:r>
            <w:r w:rsidRPr="004F5958">
              <w:t>Indiquez les activités de suivi conduites dans la période du rapport</w:t>
            </w:r>
            <w:r w:rsidR="007118F5" w:rsidRPr="004F5958">
              <w:t xml:space="preserve"> (</w:t>
            </w:r>
            <w:r w:rsidRPr="004F5958">
              <w:t>Limite de 1000 caractères)</w:t>
            </w:r>
          </w:p>
          <w:p w14:paraId="7A657819" w14:textId="45D5B698" w:rsidR="00997347" w:rsidRPr="004F5958" w:rsidRDefault="007118F5" w:rsidP="00234A5E">
            <w:r w:rsidRPr="004F5958">
              <w:fldChar w:fldCharType="begin">
                <w:ffData>
                  <w:name w:val="Text52"/>
                  <w:enabled/>
                  <w:calcOnExit w:val="0"/>
                  <w:textInput>
                    <w:maxLength w:val="1000"/>
                  </w:textInput>
                </w:ffData>
              </w:fldChar>
            </w:r>
            <w:bookmarkStart w:id="21" w:name="Text52"/>
            <w:r w:rsidRPr="004F5958">
              <w:instrText xml:space="preserve"> FORMTEXT </w:instrText>
            </w:r>
            <w:r w:rsidRPr="004F5958">
              <w:fldChar w:fldCharType="separate"/>
            </w:r>
            <w:r w:rsidRPr="004F5958">
              <w:rPr>
                <w:noProof/>
              </w:rPr>
              <w:t> </w:t>
            </w:r>
            <w:r w:rsidRPr="004F5958">
              <w:rPr>
                <w:noProof/>
              </w:rPr>
              <w:t> </w:t>
            </w:r>
            <w:r w:rsidRPr="004F5958">
              <w:rPr>
                <w:noProof/>
              </w:rPr>
              <w:t> </w:t>
            </w:r>
            <w:r w:rsidRPr="004F5958">
              <w:rPr>
                <w:noProof/>
              </w:rPr>
              <w:t> </w:t>
            </w:r>
            <w:r w:rsidRPr="004F5958">
              <w:rPr>
                <w:noProof/>
              </w:rPr>
              <w:t> </w:t>
            </w:r>
            <w:r w:rsidRPr="004F5958">
              <w:fldChar w:fldCharType="end"/>
            </w:r>
            <w:bookmarkEnd w:id="21"/>
            <w:r w:rsidR="006C1819" w:rsidRPr="004F5958">
              <w:t xml:space="preserve"> </w:t>
            </w:r>
          </w:p>
          <w:p w14:paraId="4D9252B0" w14:textId="1F1C0404" w:rsidR="00FE2B78" w:rsidRPr="004F5958" w:rsidRDefault="00FE2B78" w:rsidP="00FE2B78">
            <w:pPr>
              <w:spacing w:before="7"/>
              <w:contextualSpacing/>
              <w:jc w:val="both"/>
              <w:rPr>
                <w:lang w:eastAsia="fr-FR"/>
              </w:rPr>
            </w:pPr>
            <w:r w:rsidRPr="004F5958">
              <w:t xml:space="preserve">Une </w:t>
            </w:r>
            <w:r w:rsidRPr="004F5958">
              <w:rPr>
                <w:lang w:eastAsia="fr-FR"/>
              </w:rPr>
              <w:t xml:space="preserve">mission conjointe de suivi de la mise en œuvre des 16 projets de réparations communautaires réalisés a été effectuée. Cette mission visait de </w:t>
            </w:r>
            <w:r w:rsidRPr="004F5958">
              <w:rPr>
                <w:spacing w:val="-5"/>
                <w:lang w:eastAsia="fr-FR"/>
              </w:rPr>
              <w:t xml:space="preserve">s’assurer de la livraison effective des équipements </w:t>
            </w:r>
            <w:r w:rsidR="007B7006" w:rsidRPr="004F5958">
              <w:rPr>
                <w:spacing w:val="-5"/>
                <w:lang w:eastAsia="fr-FR"/>
              </w:rPr>
              <w:t>acquis avec l’appui du projet</w:t>
            </w:r>
            <w:r w:rsidRPr="004F5958">
              <w:rPr>
                <w:spacing w:val="-5"/>
                <w:lang w:eastAsia="fr-FR"/>
              </w:rPr>
              <w:t xml:space="preserve"> à la demande du </w:t>
            </w:r>
            <w:r w:rsidR="007B7006" w:rsidRPr="004F5958">
              <w:rPr>
                <w:spacing w:val="-5"/>
                <w:lang w:eastAsia="fr-FR"/>
              </w:rPr>
              <w:t>Ministère de la solidarité (</w:t>
            </w:r>
            <w:r w:rsidRPr="004F5958">
              <w:rPr>
                <w:spacing w:val="-5"/>
                <w:lang w:eastAsia="fr-FR"/>
              </w:rPr>
              <w:t>MSCSLP</w:t>
            </w:r>
            <w:r w:rsidR="007B7006" w:rsidRPr="004F5958">
              <w:rPr>
                <w:spacing w:val="-5"/>
                <w:lang w:eastAsia="fr-FR"/>
              </w:rPr>
              <w:t>)</w:t>
            </w:r>
            <w:r w:rsidRPr="004F5958">
              <w:rPr>
                <w:spacing w:val="-5"/>
                <w:lang w:eastAsia="fr-FR"/>
              </w:rPr>
              <w:t xml:space="preserve"> </w:t>
            </w:r>
            <w:r w:rsidR="007B7006" w:rsidRPr="004F5958">
              <w:rPr>
                <w:spacing w:val="-5"/>
                <w:lang w:eastAsia="fr-FR"/>
              </w:rPr>
              <w:t>au profit des</w:t>
            </w:r>
            <w:r w:rsidRPr="004F5958">
              <w:rPr>
                <w:spacing w:val="-5"/>
                <w:lang w:eastAsia="fr-FR"/>
              </w:rPr>
              <w:t xml:space="preserve"> populations bénéficiaires et informer les autorités municipales, les autorités préfectorales et les services déconcentrés de l’état de la satisfaction des besoins sociocommunautaires formulés par les populations dans le cadre de la conception du </w:t>
            </w:r>
            <w:proofErr w:type="spellStart"/>
            <w:r w:rsidRPr="004F5958">
              <w:rPr>
                <w:spacing w:val="-5"/>
                <w:lang w:eastAsia="fr-FR"/>
              </w:rPr>
              <w:t>PNRCo</w:t>
            </w:r>
            <w:proofErr w:type="spellEnd"/>
            <w:r w:rsidRPr="004F5958">
              <w:rPr>
                <w:spacing w:val="-5"/>
                <w:lang w:eastAsia="fr-FR"/>
              </w:rPr>
              <w:t xml:space="preserve"> en 2017-2020. Il s’agissait également de recueillir les témoignages des autorités bénéficiaires et de la population. Cette mission a permis de constater la livraison effective des équipements aux communautés et de consigner la satisfaction des besoins des communautés visitées.</w:t>
            </w:r>
            <w:r w:rsidR="00516244" w:rsidRPr="004F5958">
              <w:rPr>
                <w:spacing w:val="-5"/>
                <w:lang w:eastAsia="fr-FR"/>
              </w:rPr>
              <w:t xml:space="preserve"> </w:t>
            </w:r>
            <w:r w:rsidRPr="004F5958">
              <w:rPr>
                <w:spacing w:val="-5"/>
                <w:lang w:eastAsia="fr-FR"/>
              </w:rPr>
              <w:t>Grâce aux équipements fournis, certaines communautés ont pu développer des AGR.</w:t>
            </w:r>
          </w:p>
          <w:p w14:paraId="62F86335" w14:textId="77777777" w:rsidR="00FE2B78" w:rsidRPr="004F5958" w:rsidRDefault="00FE2B78" w:rsidP="00234A5E"/>
          <w:p w14:paraId="21BD62AD" w14:textId="6084D551" w:rsidR="00FE2B78" w:rsidRPr="004F5958" w:rsidRDefault="00FE2B78" w:rsidP="00234A5E"/>
        </w:tc>
        <w:tc>
          <w:tcPr>
            <w:tcW w:w="5940" w:type="dxa"/>
            <w:shd w:val="clear" w:color="auto" w:fill="auto"/>
          </w:tcPr>
          <w:p w14:paraId="797F499B" w14:textId="6B4C627E" w:rsidR="00997347" w:rsidRPr="004F5958" w:rsidRDefault="00675507" w:rsidP="00AD73D3">
            <w:r w:rsidRPr="004F5958">
              <w:t xml:space="preserve">Est-ce que les indicateurs des résultats ont des bases de </w:t>
            </w:r>
            <w:r w:rsidR="007B7006" w:rsidRPr="004F5958">
              <w:t>référence ?</w:t>
            </w:r>
            <w:r w:rsidR="007118F5" w:rsidRPr="004F5958">
              <w:t xml:space="preserve"> </w:t>
            </w:r>
            <w:r w:rsidR="00280FEA" w:rsidRPr="004F5958">
              <w:fldChar w:fldCharType="begin">
                <w:ffData>
                  <w:name w:val="Dropdown3"/>
                  <w:enabled/>
                  <w:calcOnExit w:val="0"/>
                  <w:ddList>
                    <w:listEntry w:val="Veuillez sélectionner"/>
                    <w:listEntry w:val="Oui"/>
                    <w:listEntry w:val="Non"/>
                  </w:ddList>
                </w:ffData>
              </w:fldChar>
            </w:r>
            <w:bookmarkStart w:id="22" w:name="Dropdown3"/>
            <w:r w:rsidR="00280FEA" w:rsidRPr="004F5958">
              <w:instrText xml:space="preserve"> FORMDROPDOWN </w:instrText>
            </w:r>
            <w:r w:rsidR="00A918FD">
              <w:fldChar w:fldCharType="separate"/>
            </w:r>
            <w:r w:rsidR="00280FEA" w:rsidRPr="004F5958">
              <w:fldChar w:fldCharType="end"/>
            </w:r>
            <w:bookmarkEnd w:id="22"/>
          </w:p>
          <w:p w14:paraId="1557D9D7" w14:textId="76C9F080" w:rsidR="008C23EF" w:rsidRPr="004F5958" w:rsidRDefault="008C23EF" w:rsidP="008C23EF">
            <w:pPr>
              <w:rPr>
                <w:lang w:val="en-GB"/>
              </w:rPr>
            </w:pPr>
            <w:r w:rsidRPr="004F5958">
              <w:t>Oui. Le plan de travail annuel du projet, les valeurs de base, les indicateurs et la stratégie de collecte des données ont été définis et validés avec les parties prenantes du projet.</w:t>
            </w:r>
          </w:p>
          <w:p w14:paraId="2337B972" w14:textId="23E079CD" w:rsidR="007118F5" w:rsidRPr="004F5958" w:rsidRDefault="008C23EF" w:rsidP="008C23EF">
            <w:r w:rsidRPr="004F5958">
              <w:rPr>
                <w:lang w:val="en-GB"/>
              </w:rPr>
              <w:t xml:space="preserve">La </w:t>
            </w:r>
            <w:proofErr w:type="spellStart"/>
            <w:r w:rsidRPr="004F5958">
              <w:rPr>
                <w:lang w:val="en-GB"/>
              </w:rPr>
              <w:t>collecte</w:t>
            </w:r>
            <w:proofErr w:type="spellEnd"/>
            <w:r w:rsidRPr="004F5958">
              <w:rPr>
                <w:lang w:val="en-GB"/>
              </w:rPr>
              <w:t xml:space="preserve"> des </w:t>
            </w:r>
            <w:proofErr w:type="spellStart"/>
            <w:r w:rsidRPr="004F5958">
              <w:rPr>
                <w:lang w:val="en-GB"/>
              </w:rPr>
              <w:t>donnés</w:t>
            </w:r>
            <w:proofErr w:type="spellEnd"/>
            <w:r w:rsidRPr="004F5958">
              <w:rPr>
                <w:lang w:val="en-GB"/>
              </w:rPr>
              <w:t xml:space="preserve"> des </w:t>
            </w:r>
            <w:proofErr w:type="spellStart"/>
            <w:r w:rsidRPr="004F5958">
              <w:rPr>
                <w:lang w:val="en-GB"/>
              </w:rPr>
              <w:t>conflits</w:t>
            </w:r>
            <w:proofErr w:type="spellEnd"/>
            <w:r w:rsidRPr="004F5958">
              <w:rPr>
                <w:lang w:val="en-GB"/>
              </w:rPr>
              <w:t xml:space="preserve"> s'est </w:t>
            </w:r>
            <w:proofErr w:type="spellStart"/>
            <w:r w:rsidRPr="004F5958">
              <w:rPr>
                <w:lang w:val="en-GB"/>
              </w:rPr>
              <w:t>appuyée</w:t>
            </w:r>
            <w:proofErr w:type="spellEnd"/>
            <w:r w:rsidRPr="004F5958">
              <w:rPr>
                <w:lang w:val="en-GB"/>
              </w:rPr>
              <w:t xml:space="preserve"> sur les </w:t>
            </w:r>
            <w:proofErr w:type="spellStart"/>
            <w:proofErr w:type="gramStart"/>
            <w:r w:rsidRPr="004F5958">
              <w:rPr>
                <w:lang w:val="en-GB"/>
              </w:rPr>
              <w:t>informations</w:t>
            </w:r>
            <w:proofErr w:type="spellEnd"/>
            <w:proofErr w:type="gramEnd"/>
            <w:r w:rsidRPr="004F5958">
              <w:rPr>
                <w:lang w:val="en-GB"/>
              </w:rPr>
              <w:t xml:space="preserve"> </w:t>
            </w:r>
            <w:proofErr w:type="spellStart"/>
            <w:r w:rsidRPr="004F5958">
              <w:rPr>
                <w:lang w:val="en-GB"/>
              </w:rPr>
              <w:t>mensuelles</w:t>
            </w:r>
            <w:proofErr w:type="spellEnd"/>
            <w:r w:rsidRPr="004F5958">
              <w:rPr>
                <w:lang w:val="en-GB"/>
              </w:rPr>
              <w:t xml:space="preserve"> de gestion des </w:t>
            </w:r>
            <w:proofErr w:type="spellStart"/>
            <w:r w:rsidRPr="004F5958">
              <w:rPr>
                <w:lang w:val="en-GB"/>
              </w:rPr>
              <w:t>conflits</w:t>
            </w:r>
            <w:proofErr w:type="spellEnd"/>
            <w:r w:rsidRPr="004F5958">
              <w:rPr>
                <w:lang w:val="en-GB"/>
              </w:rPr>
              <w:t xml:space="preserve"> par les chefs de villages et les </w:t>
            </w:r>
            <w:proofErr w:type="spellStart"/>
            <w:r w:rsidRPr="004F5958">
              <w:rPr>
                <w:lang w:val="en-GB"/>
              </w:rPr>
              <w:t>membres</w:t>
            </w:r>
            <w:proofErr w:type="spellEnd"/>
            <w:r w:rsidRPr="004F5958">
              <w:rPr>
                <w:lang w:val="en-GB"/>
              </w:rPr>
              <w:t xml:space="preserve"> des CVGFR.</w:t>
            </w:r>
          </w:p>
          <w:p w14:paraId="6E1EEA00" w14:textId="4BD80EBA" w:rsidR="007118F5" w:rsidRPr="004F5958" w:rsidRDefault="00675507" w:rsidP="00AD73D3">
            <w:r w:rsidRPr="004F5958">
              <w:t xml:space="preserve">Le projet a-t-il lancé des enquêtes de perception ou d'autres collectes de données </w:t>
            </w:r>
            <w:r w:rsidR="007B7006" w:rsidRPr="004F5958">
              <w:t>communautaires ?</w:t>
            </w:r>
            <w:r w:rsidR="007118F5" w:rsidRPr="004F5958">
              <w:t xml:space="preserve"> </w:t>
            </w:r>
            <w:r w:rsidR="00280FEA" w:rsidRPr="004F5958">
              <w:fldChar w:fldCharType="begin">
                <w:ffData>
                  <w:name w:val=""/>
                  <w:enabled/>
                  <w:calcOnExit w:val="0"/>
                  <w:ddList>
                    <w:listEntry w:val="Veuillez sélectionner"/>
                    <w:listEntry w:val="Oui"/>
                    <w:listEntry w:val="Non"/>
                  </w:ddList>
                </w:ffData>
              </w:fldChar>
            </w:r>
            <w:r w:rsidR="00280FEA" w:rsidRPr="004F5958">
              <w:instrText xml:space="preserve"> FORMDROPDOWN </w:instrText>
            </w:r>
            <w:r w:rsidR="00A918FD">
              <w:fldChar w:fldCharType="separate"/>
            </w:r>
            <w:r w:rsidR="00280FEA" w:rsidRPr="004F5958">
              <w:fldChar w:fldCharType="end"/>
            </w:r>
            <w:r w:rsidR="004D3EF0" w:rsidRPr="004F5958">
              <w:t xml:space="preserve"> Non</w:t>
            </w:r>
            <w:r w:rsidR="00F47260" w:rsidRPr="004F5958">
              <w:t xml:space="preserve"> </w:t>
            </w:r>
          </w:p>
          <w:p w14:paraId="2BD200E3" w14:textId="2FE41806" w:rsidR="007B7006" w:rsidRPr="004F5958" w:rsidRDefault="007B7006" w:rsidP="00AD73D3"/>
        </w:tc>
      </w:tr>
      <w:tr w:rsidR="004F5958" w:rsidRPr="004F5958" w14:paraId="36A88C83" w14:textId="77777777" w:rsidTr="007F7257">
        <w:tc>
          <w:tcPr>
            <w:tcW w:w="4230" w:type="dxa"/>
            <w:shd w:val="clear" w:color="auto" w:fill="auto"/>
          </w:tcPr>
          <w:p w14:paraId="6242C484" w14:textId="77777777" w:rsidR="006C1819" w:rsidRPr="004F5958" w:rsidRDefault="003D4CD7" w:rsidP="005F439F">
            <w:proofErr w:type="gramStart"/>
            <w:r w:rsidRPr="004F5958">
              <w:rPr>
                <w:b/>
                <w:bCs/>
                <w:u w:val="single"/>
              </w:rPr>
              <w:t>E</w:t>
            </w:r>
            <w:r w:rsidR="006C1819" w:rsidRPr="004F5958">
              <w:rPr>
                <w:b/>
                <w:bCs/>
                <w:u w:val="single"/>
              </w:rPr>
              <w:t>valuation:</w:t>
            </w:r>
            <w:proofErr w:type="gramEnd"/>
            <w:r w:rsidR="006C1819" w:rsidRPr="004F5958">
              <w:t xml:space="preserve"> </w:t>
            </w:r>
            <w:r w:rsidR="00675507" w:rsidRPr="004F5958">
              <w:t>Est-ce qu’un exercice évaluatif a été conduit pendant la période du rapport</w:t>
            </w:r>
            <w:r w:rsidR="007118F5" w:rsidRPr="004F5958">
              <w:t>?</w:t>
            </w:r>
          </w:p>
          <w:p w14:paraId="3679D92A" w14:textId="5EEAF220" w:rsidR="00715BC3" w:rsidRPr="004F5958" w:rsidRDefault="00715BC3" w:rsidP="007118F5"/>
        </w:tc>
        <w:tc>
          <w:tcPr>
            <w:tcW w:w="5940" w:type="dxa"/>
            <w:shd w:val="clear" w:color="auto" w:fill="auto"/>
          </w:tcPr>
          <w:p w14:paraId="7B8CF898" w14:textId="77777777" w:rsidR="006C1819" w:rsidRPr="004F5958" w:rsidRDefault="00675507" w:rsidP="00E76CA1">
            <w:r w:rsidRPr="004F5958">
              <w:t>Budget pour évaluation finale</w:t>
            </w:r>
            <w:r w:rsidR="007118F5" w:rsidRPr="004F5958">
              <w:t xml:space="preserve"> (</w:t>
            </w:r>
            <w:r w:rsidRPr="004F5958">
              <w:t>réponse obligatoire</w:t>
            </w:r>
            <w:proofErr w:type="gramStart"/>
            <w:r w:rsidR="007118F5" w:rsidRPr="004F5958">
              <w:t>)</w:t>
            </w:r>
            <w:r w:rsidR="004D141E" w:rsidRPr="004F5958">
              <w:t>:</w:t>
            </w:r>
            <w:proofErr w:type="gramEnd"/>
            <w:r w:rsidR="004D141E" w:rsidRPr="004F5958">
              <w:t xml:space="preserve">  </w:t>
            </w:r>
            <w:r w:rsidR="004D141E" w:rsidRPr="004F5958">
              <w:fldChar w:fldCharType="begin">
                <w:ffData>
                  <w:name w:val="evalbudget"/>
                  <w:enabled/>
                  <w:calcOnExit w:val="0"/>
                  <w:textInput>
                    <w:type w:val="number"/>
                    <w:format w:val="0.00"/>
                  </w:textInput>
                </w:ffData>
              </w:fldChar>
            </w:r>
            <w:bookmarkStart w:id="23" w:name="evalbudget"/>
            <w:r w:rsidR="004D141E" w:rsidRPr="004F5958">
              <w:instrText xml:space="preserve"> FORMTEXT </w:instrText>
            </w:r>
            <w:r w:rsidR="004D141E" w:rsidRPr="004F5958">
              <w:fldChar w:fldCharType="separate"/>
            </w:r>
            <w:r w:rsidR="004D141E" w:rsidRPr="004F5958">
              <w:rPr>
                <w:noProof/>
              </w:rPr>
              <w:t> </w:t>
            </w:r>
            <w:r w:rsidR="004D141E" w:rsidRPr="004F5958">
              <w:rPr>
                <w:noProof/>
              </w:rPr>
              <w:t> </w:t>
            </w:r>
            <w:r w:rsidR="004D141E" w:rsidRPr="004F5958">
              <w:rPr>
                <w:noProof/>
              </w:rPr>
              <w:t> </w:t>
            </w:r>
            <w:r w:rsidR="004D141E" w:rsidRPr="004F5958">
              <w:rPr>
                <w:noProof/>
              </w:rPr>
              <w:t> </w:t>
            </w:r>
            <w:r w:rsidR="004D141E" w:rsidRPr="004F5958">
              <w:rPr>
                <w:noProof/>
              </w:rPr>
              <w:t> </w:t>
            </w:r>
            <w:r w:rsidR="004D141E" w:rsidRPr="004F5958">
              <w:fldChar w:fldCharType="end"/>
            </w:r>
            <w:bookmarkEnd w:id="23"/>
          </w:p>
          <w:p w14:paraId="6A29E557" w14:textId="179E5B74" w:rsidR="004D141E" w:rsidRPr="004F5958" w:rsidRDefault="00383A91" w:rsidP="00E76CA1">
            <w:r w:rsidRPr="004F5958">
              <w:t>$29300</w:t>
            </w:r>
          </w:p>
          <w:p w14:paraId="645019D6" w14:textId="1ACDA977" w:rsidR="004D141E" w:rsidRPr="004F5958" w:rsidRDefault="00ED7971" w:rsidP="00E76CA1">
            <w:r w:rsidRPr="004F5958">
              <w:t xml:space="preserve">Oui, une étude d’évaluation indépendante est en cours. Un consultant international et national </w:t>
            </w:r>
            <w:proofErr w:type="gramStart"/>
            <w:r w:rsidRPr="004F5958">
              <w:t>ont</w:t>
            </w:r>
            <w:proofErr w:type="gramEnd"/>
            <w:r w:rsidRPr="004F5958">
              <w:t xml:space="preserve"> été recrutés. </w:t>
            </w:r>
          </w:p>
          <w:p w14:paraId="6FFC21C6" w14:textId="77777777" w:rsidR="00156C4C" w:rsidRPr="004F5958" w:rsidRDefault="00156C4C" w:rsidP="00E76CA1"/>
        </w:tc>
      </w:tr>
      <w:tr w:rsidR="004F5958" w:rsidRPr="004F5958" w14:paraId="781498F5" w14:textId="77777777" w:rsidTr="007F7257">
        <w:tc>
          <w:tcPr>
            <w:tcW w:w="4230" w:type="dxa"/>
            <w:shd w:val="clear" w:color="auto" w:fill="auto"/>
          </w:tcPr>
          <w:p w14:paraId="7B23407F" w14:textId="77777777" w:rsidR="00997347" w:rsidRPr="004F5958" w:rsidRDefault="00675507" w:rsidP="00411A5F">
            <w:r w:rsidRPr="004F5958">
              <w:rPr>
                <w:b/>
                <w:bCs/>
                <w:u w:val="single"/>
              </w:rPr>
              <w:t>Effets catalytiques (financiers</w:t>
            </w:r>
            <w:proofErr w:type="gramStart"/>
            <w:r w:rsidRPr="004F5958">
              <w:rPr>
                <w:b/>
                <w:bCs/>
                <w:u w:val="single"/>
              </w:rPr>
              <w:t>)</w:t>
            </w:r>
            <w:r w:rsidR="00513612" w:rsidRPr="004F5958">
              <w:rPr>
                <w:b/>
                <w:bCs/>
              </w:rPr>
              <w:t>:</w:t>
            </w:r>
            <w:proofErr w:type="gramEnd"/>
            <w:r w:rsidR="00513612" w:rsidRPr="004F5958">
              <w:t xml:space="preserve"> </w:t>
            </w:r>
            <w:r w:rsidRPr="004F5958">
              <w:t>Indiquez le nom de l'agent de financement et le montant du soutien financier non PBF supplémentaire qui a été obtenu par le projet.</w:t>
            </w:r>
          </w:p>
        </w:tc>
        <w:tc>
          <w:tcPr>
            <w:tcW w:w="5940" w:type="dxa"/>
            <w:shd w:val="clear" w:color="auto" w:fill="auto"/>
          </w:tcPr>
          <w:p w14:paraId="126E5036" w14:textId="77777777" w:rsidR="00997347" w:rsidRPr="004F5958" w:rsidRDefault="00675507" w:rsidP="00156C4C">
            <w:r w:rsidRPr="004F5958">
              <w:t xml:space="preserve">Nom de </w:t>
            </w:r>
            <w:proofErr w:type="spellStart"/>
            <w:proofErr w:type="gramStart"/>
            <w:r w:rsidRPr="004F5958">
              <w:t>donnateur</w:t>
            </w:r>
            <w:proofErr w:type="spellEnd"/>
            <w:r w:rsidR="00156C4C" w:rsidRPr="004F5958">
              <w:t>:</w:t>
            </w:r>
            <w:proofErr w:type="gramEnd"/>
            <w:r w:rsidR="00156C4C" w:rsidRPr="004F5958">
              <w:t xml:space="preserve">     </w:t>
            </w:r>
            <w:r w:rsidRPr="004F5958">
              <w:t>Montant ($)</w:t>
            </w:r>
            <w:r w:rsidR="00156C4C" w:rsidRPr="004F5958">
              <w:t>:</w:t>
            </w:r>
          </w:p>
          <w:p w14:paraId="2D07D5B3" w14:textId="77777777" w:rsidR="00156C4C" w:rsidRPr="004F5958" w:rsidRDefault="00156C4C" w:rsidP="00156C4C">
            <w:r w:rsidRPr="004F5958">
              <w:fldChar w:fldCharType="begin">
                <w:ffData>
                  <w:name w:val="Text46"/>
                  <w:enabled/>
                  <w:calcOnExit w:val="0"/>
                  <w:textInput/>
                </w:ffData>
              </w:fldChar>
            </w:r>
            <w:bookmarkStart w:id="24" w:name="Text46"/>
            <w:r w:rsidRPr="004F5958">
              <w:instrText xml:space="preserve"> FORMTEXT </w:instrText>
            </w:r>
            <w:r w:rsidRPr="004F5958">
              <w:fldChar w:fldCharType="separate"/>
            </w:r>
            <w:r w:rsidRPr="004F5958">
              <w:rPr>
                <w:noProof/>
              </w:rPr>
              <w:t> </w:t>
            </w:r>
            <w:r w:rsidRPr="004F5958">
              <w:rPr>
                <w:noProof/>
              </w:rPr>
              <w:t> </w:t>
            </w:r>
            <w:r w:rsidRPr="004F5958">
              <w:rPr>
                <w:noProof/>
              </w:rPr>
              <w:t> </w:t>
            </w:r>
            <w:r w:rsidRPr="004F5958">
              <w:rPr>
                <w:noProof/>
              </w:rPr>
              <w:t> </w:t>
            </w:r>
            <w:r w:rsidRPr="004F5958">
              <w:rPr>
                <w:noProof/>
              </w:rPr>
              <w:t> </w:t>
            </w:r>
            <w:r w:rsidRPr="004F5958">
              <w:fldChar w:fldCharType="end"/>
            </w:r>
            <w:bookmarkEnd w:id="24"/>
            <w:r w:rsidRPr="004F5958">
              <w:t xml:space="preserve">                          </w:t>
            </w:r>
            <w:r w:rsidRPr="004F5958">
              <w:fldChar w:fldCharType="begin">
                <w:ffData>
                  <w:name w:val=""/>
                  <w:enabled/>
                  <w:calcOnExit w:val="0"/>
                  <w:textInput>
                    <w:type w:val="number"/>
                    <w:format w:val="0.00"/>
                  </w:textInput>
                </w:ffData>
              </w:fldChar>
            </w:r>
            <w:r w:rsidRPr="004F5958">
              <w:instrText xml:space="preserve"> FORMTEXT </w:instrText>
            </w:r>
            <w:r w:rsidRPr="004F5958">
              <w:fldChar w:fldCharType="separate"/>
            </w:r>
            <w:r w:rsidRPr="004F5958">
              <w:rPr>
                <w:noProof/>
              </w:rPr>
              <w:t> </w:t>
            </w:r>
            <w:r w:rsidRPr="004F5958">
              <w:rPr>
                <w:noProof/>
              </w:rPr>
              <w:t> </w:t>
            </w:r>
            <w:r w:rsidRPr="004F5958">
              <w:rPr>
                <w:noProof/>
              </w:rPr>
              <w:t> </w:t>
            </w:r>
            <w:r w:rsidRPr="004F5958">
              <w:rPr>
                <w:noProof/>
              </w:rPr>
              <w:t> </w:t>
            </w:r>
            <w:r w:rsidRPr="004F5958">
              <w:rPr>
                <w:noProof/>
              </w:rPr>
              <w:t> </w:t>
            </w:r>
            <w:r w:rsidRPr="004F5958">
              <w:fldChar w:fldCharType="end"/>
            </w:r>
          </w:p>
          <w:p w14:paraId="209E02B4" w14:textId="77777777" w:rsidR="00156C4C" w:rsidRPr="004F5958" w:rsidRDefault="00156C4C" w:rsidP="00156C4C"/>
          <w:p w14:paraId="68DA8296" w14:textId="77777777" w:rsidR="00156C4C" w:rsidRPr="004F5958" w:rsidRDefault="00156C4C" w:rsidP="00156C4C">
            <w:r w:rsidRPr="004F5958">
              <w:fldChar w:fldCharType="begin">
                <w:ffData>
                  <w:name w:val="Text47"/>
                  <w:enabled/>
                  <w:calcOnExit w:val="0"/>
                  <w:textInput/>
                </w:ffData>
              </w:fldChar>
            </w:r>
            <w:bookmarkStart w:id="25" w:name="Text47"/>
            <w:r w:rsidRPr="004F5958">
              <w:instrText xml:space="preserve"> FORMTEXT </w:instrText>
            </w:r>
            <w:r w:rsidRPr="004F5958">
              <w:fldChar w:fldCharType="separate"/>
            </w:r>
            <w:r w:rsidRPr="004F5958">
              <w:rPr>
                <w:noProof/>
              </w:rPr>
              <w:t> </w:t>
            </w:r>
            <w:r w:rsidRPr="004F5958">
              <w:rPr>
                <w:noProof/>
              </w:rPr>
              <w:t> </w:t>
            </w:r>
            <w:r w:rsidRPr="004F5958">
              <w:rPr>
                <w:noProof/>
              </w:rPr>
              <w:t> </w:t>
            </w:r>
            <w:r w:rsidRPr="004F5958">
              <w:rPr>
                <w:noProof/>
              </w:rPr>
              <w:t> </w:t>
            </w:r>
            <w:r w:rsidRPr="004F5958">
              <w:rPr>
                <w:noProof/>
              </w:rPr>
              <w:t> </w:t>
            </w:r>
            <w:r w:rsidRPr="004F5958">
              <w:fldChar w:fldCharType="end"/>
            </w:r>
            <w:bookmarkEnd w:id="25"/>
            <w:r w:rsidRPr="004F5958">
              <w:t xml:space="preserve">                          </w:t>
            </w:r>
            <w:r w:rsidRPr="004F5958">
              <w:fldChar w:fldCharType="begin">
                <w:ffData>
                  <w:name w:val="Text48"/>
                  <w:enabled/>
                  <w:calcOnExit w:val="0"/>
                  <w:textInput>
                    <w:type w:val="number"/>
                    <w:format w:val="0.00"/>
                  </w:textInput>
                </w:ffData>
              </w:fldChar>
            </w:r>
            <w:bookmarkStart w:id="26" w:name="Text48"/>
            <w:r w:rsidRPr="004F5958">
              <w:instrText xml:space="preserve"> FORMTEXT </w:instrText>
            </w:r>
            <w:r w:rsidRPr="004F5958">
              <w:fldChar w:fldCharType="separate"/>
            </w:r>
            <w:r w:rsidRPr="004F5958">
              <w:rPr>
                <w:noProof/>
              </w:rPr>
              <w:t> </w:t>
            </w:r>
            <w:r w:rsidRPr="004F5958">
              <w:rPr>
                <w:noProof/>
              </w:rPr>
              <w:t> </w:t>
            </w:r>
            <w:r w:rsidRPr="004F5958">
              <w:rPr>
                <w:noProof/>
              </w:rPr>
              <w:t> </w:t>
            </w:r>
            <w:r w:rsidRPr="004F5958">
              <w:rPr>
                <w:noProof/>
              </w:rPr>
              <w:t> </w:t>
            </w:r>
            <w:r w:rsidRPr="004F5958">
              <w:rPr>
                <w:noProof/>
              </w:rPr>
              <w:t> </w:t>
            </w:r>
            <w:r w:rsidRPr="004F5958">
              <w:fldChar w:fldCharType="end"/>
            </w:r>
            <w:bookmarkEnd w:id="26"/>
          </w:p>
          <w:p w14:paraId="21D0B479" w14:textId="77777777" w:rsidR="00156C4C" w:rsidRPr="004F5958" w:rsidRDefault="00156C4C" w:rsidP="00156C4C"/>
          <w:p w14:paraId="5EA842B9" w14:textId="77777777" w:rsidR="00156C4C" w:rsidRPr="004F5958" w:rsidRDefault="00156C4C" w:rsidP="00156C4C">
            <w:r w:rsidRPr="004F5958">
              <w:fldChar w:fldCharType="begin">
                <w:ffData>
                  <w:name w:val="Text49"/>
                  <w:enabled/>
                  <w:calcOnExit w:val="0"/>
                  <w:textInput/>
                </w:ffData>
              </w:fldChar>
            </w:r>
            <w:bookmarkStart w:id="27" w:name="Text49"/>
            <w:r w:rsidRPr="004F5958">
              <w:instrText xml:space="preserve"> FORMTEXT </w:instrText>
            </w:r>
            <w:r w:rsidRPr="004F5958">
              <w:fldChar w:fldCharType="separate"/>
            </w:r>
            <w:r w:rsidRPr="004F5958">
              <w:rPr>
                <w:noProof/>
              </w:rPr>
              <w:t> </w:t>
            </w:r>
            <w:r w:rsidRPr="004F5958">
              <w:rPr>
                <w:noProof/>
              </w:rPr>
              <w:t> </w:t>
            </w:r>
            <w:r w:rsidRPr="004F5958">
              <w:rPr>
                <w:noProof/>
              </w:rPr>
              <w:t> </w:t>
            </w:r>
            <w:r w:rsidRPr="004F5958">
              <w:rPr>
                <w:noProof/>
              </w:rPr>
              <w:t> </w:t>
            </w:r>
            <w:r w:rsidRPr="004F5958">
              <w:rPr>
                <w:noProof/>
              </w:rPr>
              <w:t> </w:t>
            </w:r>
            <w:r w:rsidRPr="004F5958">
              <w:fldChar w:fldCharType="end"/>
            </w:r>
            <w:bookmarkEnd w:id="27"/>
            <w:r w:rsidRPr="004F5958">
              <w:t xml:space="preserve">                          </w:t>
            </w:r>
            <w:r w:rsidRPr="004F5958">
              <w:fldChar w:fldCharType="begin">
                <w:ffData>
                  <w:name w:val="Text50"/>
                  <w:enabled/>
                  <w:calcOnExit w:val="0"/>
                  <w:textInput>
                    <w:type w:val="number"/>
                    <w:format w:val="0.00"/>
                  </w:textInput>
                </w:ffData>
              </w:fldChar>
            </w:r>
            <w:bookmarkStart w:id="28" w:name="Text50"/>
            <w:r w:rsidRPr="004F5958">
              <w:instrText xml:space="preserve"> FORMTEXT </w:instrText>
            </w:r>
            <w:r w:rsidRPr="004F5958">
              <w:fldChar w:fldCharType="separate"/>
            </w:r>
            <w:r w:rsidRPr="004F5958">
              <w:rPr>
                <w:noProof/>
              </w:rPr>
              <w:t> </w:t>
            </w:r>
            <w:r w:rsidRPr="004F5958">
              <w:rPr>
                <w:noProof/>
              </w:rPr>
              <w:t> </w:t>
            </w:r>
            <w:r w:rsidRPr="004F5958">
              <w:rPr>
                <w:noProof/>
              </w:rPr>
              <w:t> </w:t>
            </w:r>
            <w:r w:rsidRPr="004F5958">
              <w:rPr>
                <w:noProof/>
              </w:rPr>
              <w:t> </w:t>
            </w:r>
            <w:r w:rsidRPr="004F5958">
              <w:rPr>
                <w:noProof/>
              </w:rPr>
              <w:t> </w:t>
            </w:r>
            <w:r w:rsidRPr="004F5958">
              <w:fldChar w:fldCharType="end"/>
            </w:r>
            <w:bookmarkEnd w:id="28"/>
          </w:p>
        </w:tc>
      </w:tr>
      <w:tr w:rsidR="004F5958" w:rsidRPr="004F5958" w14:paraId="04EF3772" w14:textId="77777777" w:rsidTr="007F7257">
        <w:tc>
          <w:tcPr>
            <w:tcW w:w="4230" w:type="dxa"/>
            <w:shd w:val="clear" w:color="auto" w:fill="auto"/>
          </w:tcPr>
          <w:p w14:paraId="493CE278" w14:textId="77777777" w:rsidR="002C187A" w:rsidRPr="004F5958" w:rsidRDefault="00675507" w:rsidP="001A1E86">
            <w:proofErr w:type="gramStart"/>
            <w:r w:rsidRPr="004F5958">
              <w:rPr>
                <w:b/>
                <w:bCs/>
                <w:u w:val="single"/>
              </w:rPr>
              <w:t>Autre</w:t>
            </w:r>
            <w:r w:rsidRPr="004F5958">
              <w:t>:</w:t>
            </w:r>
            <w:proofErr w:type="gramEnd"/>
            <w:r w:rsidRPr="004F5958">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4F5958" w:rsidRDefault="002C187A" w:rsidP="009A1CD3"/>
        </w:tc>
        <w:tc>
          <w:tcPr>
            <w:tcW w:w="5940" w:type="dxa"/>
            <w:shd w:val="clear" w:color="auto" w:fill="auto"/>
          </w:tcPr>
          <w:p w14:paraId="1A120CF3" w14:textId="77777777" w:rsidR="007118F5" w:rsidRPr="004F5958" w:rsidRDefault="007118F5" w:rsidP="00E76CA1"/>
          <w:p w14:paraId="4187770E" w14:textId="77777777" w:rsidR="002C187A" w:rsidRPr="004F5958" w:rsidRDefault="006A07CA" w:rsidP="00E76CA1">
            <w:r w:rsidRPr="004F5958">
              <w:fldChar w:fldCharType="begin">
                <w:ffData>
                  <w:name w:val=""/>
                  <w:enabled/>
                  <w:calcOnExit w:val="0"/>
                  <w:textInput>
                    <w:maxLength w:val="1500"/>
                    <w:format w:val="FIRST CAPITAL"/>
                  </w:textInput>
                </w:ffData>
              </w:fldChar>
            </w:r>
            <w:r w:rsidRPr="004F5958">
              <w:instrText xml:space="preserve"> FORMTEXT </w:instrText>
            </w:r>
            <w:r w:rsidRPr="004F5958">
              <w:fldChar w:fldCharType="separate"/>
            </w:r>
            <w:r w:rsidRPr="004F5958">
              <w:rPr>
                <w:noProof/>
              </w:rPr>
              <w:t> </w:t>
            </w:r>
            <w:r w:rsidRPr="004F5958">
              <w:rPr>
                <w:noProof/>
              </w:rPr>
              <w:t> </w:t>
            </w:r>
            <w:r w:rsidRPr="004F5958">
              <w:rPr>
                <w:noProof/>
              </w:rPr>
              <w:t> </w:t>
            </w:r>
            <w:r w:rsidRPr="004F5958">
              <w:rPr>
                <w:noProof/>
              </w:rPr>
              <w:t> </w:t>
            </w:r>
            <w:r w:rsidRPr="004F5958">
              <w:rPr>
                <w:noProof/>
              </w:rPr>
              <w:t> </w:t>
            </w:r>
            <w:r w:rsidRPr="004F5958">
              <w:fldChar w:fldCharType="end"/>
            </w:r>
          </w:p>
        </w:tc>
      </w:tr>
    </w:tbl>
    <w:p w14:paraId="682EBE58" w14:textId="77777777" w:rsidR="00673D6E" w:rsidRPr="004F5958" w:rsidRDefault="00673D6E" w:rsidP="00E76CA1">
      <w:pPr>
        <w:rPr>
          <w:b/>
        </w:rPr>
      </w:pPr>
    </w:p>
    <w:p w14:paraId="64491D11" w14:textId="77777777" w:rsidR="00673D6E" w:rsidRPr="004F5958" w:rsidRDefault="00673D6E" w:rsidP="00411A5F"/>
    <w:p w14:paraId="6760BFE3" w14:textId="77777777" w:rsidR="002B0F98" w:rsidRPr="004F5958" w:rsidRDefault="002B0F98" w:rsidP="00600B5F">
      <w:pPr>
        <w:rPr>
          <w:b/>
          <w:u w:val="single"/>
        </w:rPr>
      </w:pPr>
    </w:p>
    <w:p w14:paraId="73DC0BA9" w14:textId="5A2F65C9" w:rsidR="00600B5F" w:rsidRPr="004F5958" w:rsidRDefault="00600B5F" w:rsidP="00600B5F">
      <w:pPr>
        <w:rPr>
          <w:b/>
          <w:u w:val="single"/>
        </w:rPr>
      </w:pPr>
      <w:r w:rsidRPr="004F5958">
        <w:rPr>
          <w:b/>
          <w:u w:val="single"/>
        </w:rPr>
        <w:t xml:space="preserve">Partie </w:t>
      </w:r>
      <w:proofErr w:type="gramStart"/>
      <w:r w:rsidRPr="004F5958">
        <w:rPr>
          <w:b/>
          <w:u w:val="single"/>
        </w:rPr>
        <w:t>IV:</w:t>
      </w:r>
      <w:proofErr w:type="gramEnd"/>
      <w:r w:rsidRPr="004F5958">
        <w:rPr>
          <w:b/>
          <w:u w:val="single"/>
        </w:rPr>
        <w:t xml:space="preserve"> COVID-19</w:t>
      </w:r>
    </w:p>
    <w:p w14:paraId="49C6E36F" w14:textId="00CDAAC4" w:rsidR="00600B5F" w:rsidRPr="004F5958" w:rsidRDefault="00547F47" w:rsidP="00600B5F">
      <w:pPr>
        <w:rPr>
          <w:b/>
          <w:bCs/>
        </w:rPr>
      </w:pPr>
      <w:r w:rsidRPr="004F5958">
        <w:t>Veuillez répondre à ces questions si le projet a subi des ajustements financiers ou non</w:t>
      </w:r>
      <w:r w:rsidR="006017A2" w:rsidRPr="004F5958">
        <w:t xml:space="preserve">-financiers </w:t>
      </w:r>
      <w:r w:rsidRPr="004F5958">
        <w:t>en raison de la pandémie COVID-19.</w:t>
      </w:r>
    </w:p>
    <w:p w14:paraId="6E0FF915" w14:textId="77777777" w:rsidR="00600B5F" w:rsidRPr="004F5958" w:rsidRDefault="00600B5F" w:rsidP="00600B5F">
      <w:pPr>
        <w:pStyle w:val="Paragraphedeliste"/>
      </w:pPr>
    </w:p>
    <w:p w14:paraId="4CF1284A" w14:textId="5B54298E" w:rsidR="00600B5F" w:rsidRPr="004F5958" w:rsidRDefault="001745E8" w:rsidP="001C352F">
      <w:pPr>
        <w:pStyle w:val="Paragraphedeliste"/>
        <w:numPr>
          <w:ilvl w:val="0"/>
          <w:numId w:val="2"/>
        </w:numPr>
      </w:pPr>
      <w:r w:rsidRPr="004F5958">
        <w:t xml:space="preserve">Ajustements </w:t>
      </w:r>
      <w:r w:rsidR="00D8543B" w:rsidRPr="004F5958">
        <w:t>financiers :</w:t>
      </w:r>
      <w:r w:rsidRPr="004F5958">
        <w:t xml:space="preserve"> </w:t>
      </w:r>
      <w:r w:rsidR="00E271E4" w:rsidRPr="004F5958">
        <w:t>V</w:t>
      </w:r>
      <w:r w:rsidRPr="004F5958">
        <w:t>euillez indiquer le montant total en USD des ajustements liés au COVID-19</w:t>
      </w:r>
      <w:r w:rsidR="00E271E4" w:rsidRPr="004F5958">
        <w:t>.</w:t>
      </w:r>
    </w:p>
    <w:p w14:paraId="5AA36B62" w14:textId="77777777" w:rsidR="00600B5F" w:rsidRPr="004F5958" w:rsidRDefault="00600B5F" w:rsidP="00600B5F"/>
    <w:p w14:paraId="4A5B79E6" w14:textId="77777777" w:rsidR="00600B5F" w:rsidRPr="004F5958" w:rsidRDefault="00600B5F" w:rsidP="00600B5F">
      <w:pPr>
        <w:ind w:left="2160"/>
      </w:pPr>
      <w:r w:rsidRPr="004F5958">
        <w:t>$</w:t>
      </w:r>
      <w:r w:rsidRPr="004F5958">
        <w:fldChar w:fldCharType="begin">
          <w:ffData>
            <w:name w:val=""/>
            <w:enabled/>
            <w:calcOnExit w:val="0"/>
            <w:textInput>
              <w:maxLength w:val="100"/>
              <w:format w:val="FIRST CAPITAL"/>
            </w:textInput>
          </w:ffData>
        </w:fldChar>
      </w:r>
      <w:r w:rsidRPr="004F5958">
        <w:instrText xml:space="preserve"> FORMTEXT </w:instrText>
      </w:r>
      <w:r w:rsidRPr="004F5958">
        <w:fldChar w:fldCharType="separate"/>
      </w:r>
      <w:r w:rsidRPr="004F5958">
        <w:rPr>
          <w:noProof/>
        </w:rPr>
        <w:t> </w:t>
      </w:r>
      <w:r w:rsidRPr="004F5958">
        <w:rPr>
          <w:noProof/>
        </w:rPr>
        <w:t> </w:t>
      </w:r>
      <w:r w:rsidRPr="004F5958">
        <w:rPr>
          <w:noProof/>
        </w:rPr>
        <w:t> </w:t>
      </w:r>
      <w:r w:rsidRPr="004F5958">
        <w:rPr>
          <w:noProof/>
        </w:rPr>
        <w:t> </w:t>
      </w:r>
      <w:r w:rsidRPr="004F5958">
        <w:rPr>
          <w:noProof/>
        </w:rPr>
        <w:t> </w:t>
      </w:r>
      <w:r w:rsidRPr="004F5958">
        <w:fldChar w:fldCharType="end"/>
      </w:r>
    </w:p>
    <w:p w14:paraId="32604A97" w14:textId="77777777" w:rsidR="00600B5F" w:rsidRPr="004F5958" w:rsidRDefault="00600B5F" w:rsidP="00600B5F"/>
    <w:p w14:paraId="15268D0E" w14:textId="76ED47D1" w:rsidR="00600B5F" w:rsidRPr="004F5958" w:rsidRDefault="003107C9" w:rsidP="001C352F">
      <w:pPr>
        <w:pStyle w:val="Paragraphedeliste"/>
        <w:numPr>
          <w:ilvl w:val="0"/>
          <w:numId w:val="2"/>
        </w:numPr>
      </w:pPr>
      <w:r w:rsidRPr="004F5958">
        <w:t xml:space="preserve">Ajustements non-financiers : </w:t>
      </w:r>
      <w:r w:rsidR="00E271E4" w:rsidRPr="004F5958">
        <w:t>V</w:t>
      </w:r>
      <w:r w:rsidRPr="004F5958">
        <w:t>euillez indiquer tout ajustement du projet qui n'a pas eu de conséquences financières</w:t>
      </w:r>
      <w:r w:rsidR="00E271E4" w:rsidRPr="004F5958">
        <w:t>.</w:t>
      </w:r>
    </w:p>
    <w:p w14:paraId="678F86D1" w14:textId="03958CE4" w:rsidR="00600B5F" w:rsidRPr="004F5958" w:rsidRDefault="00600B5F" w:rsidP="00600B5F"/>
    <w:p w14:paraId="7195EDE0" w14:textId="1C4A0304" w:rsidR="00A55C52" w:rsidRPr="004F5958" w:rsidRDefault="007D3ED9" w:rsidP="005B1C95">
      <w:pPr>
        <w:jc w:val="both"/>
      </w:pPr>
      <w:r w:rsidRPr="004F5958">
        <w:t>Suivant le Résultat</w:t>
      </w:r>
      <w:r w:rsidR="00715BC3" w:rsidRPr="004F5958">
        <w:t xml:space="preserve"> </w:t>
      </w:r>
      <w:r w:rsidR="00E825A8" w:rsidRPr="004F5958">
        <w:t xml:space="preserve">1, </w:t>
      </w:r>
      <w:r w:rsidRPr="004F5958">
        <w:t xml:space="preserve">à la base </w:t>
      </w:r>
      <w:r w:rsidR="00715BC3" w:rsidRPr="004F5958">
        <w:t xml:space="preserve">le </w:t>
      </w:r>
      <w:r w:rsidRPr="004F5958">
        <w:t>projet d</w:t>
      </w:r>
      <w:r w:rsidR="00715BC3" w:rsidRPr="004F5958">
        <w:t xml:space="preserve">evait </w:t>
      </w:r>
      <w:r w:rsidRPr="004F5958">
        <w:t xml:space="preserve">intervenir dans le </w:t>
      </w:r>
      <w:r w:rsidR="00715BC3" w:rsidRPr="004F5958">
        <w:t>domaine de</w:t>
      </w:r>
      <w:r w:rsidRPr="004F5958">
        <w:t xml:space="preserve"> la justice transitionnelle</w:t>
      </w:r>
      <w:r w:rsidR="00715BC3" w:rsidRPr="004F5958">
        <w:t xml:space="preserve"> en matière de violences post </w:t>
      </w:r>
      <w:r w:rsidR="005B1C95" w:rsidRPr="004F5958">
        <w:t>électorales</w:t>
      </w:r>
      <w:r w:rsidRPr="004F5958">
        <w:t xml:space="preserve">. En raison de la recrudescence des cas de Violences Basées sur le Genre depuis la pandémie de </w:t>
      </w:r>
      <w:proofErr w:type="spellStart"/>
      <w:r w:rsidRPr="004F5958">
        <w:t>Covid</w:t>
      </w:r>
      <w:proofErr w:type="spellEnd"/>
      <w:r w:rsidRPr="004F5958">
        <w:t xml:space="preserve"> 19, </w:t>
      </w:r>
      <w:r w:rsidR="00715BC3" w:rsidRPr="004F5958">
        <w:t>un ajustement a été fai</w:t>
      </w:r>
      <w:r w:rsidR="005B1C95" w:rsidRPr="004F5958">
        <w:t>t</w:t>
      </w:r>
      <w:r w:rsidR="00715BC3" w:rsidRPr="004F5958">
        <w:t xml:space="preserve"> et c</w:t>
      </w:r>
      <w:r w:rsidR="000E194D" w:rsidRPr="004F5958">
        <w:t xml:space="preserve">onsiste en une </w:t>
      </w:r>
      <w:r w:rsidR="00791CA4" w:rsidRPr="004F5958">
        <w:t>approche multisectoriel</w:t>
      </w:r>
      <w:r w:rsidR="00A55C52" w:rsidRPr="004F5958">
        <w:t>le</w:t>
      </w:r>
      <w:r w:rsidR="00791CA4" w:rsidRPr="004F5958">
        <w:t xml:space="preserve"> de l’appui allant des autorités policières et judiciaires, </w:t>
      </w:r>
      <w:r w:rsidR="00A55C52" w:rsidRPr="004F5958">
        <w:t xml:space="preserve">aux </w:t>
      </w:r>
      <w:r w:rsidR="00791CA4" w:rsidRPr="004F5958">
        <w:t xml:space="preserve">structures sociales </w:t>
      </w:r>
      <w:r w:rsidR="00A55C52" w:rsidRPr="004F5958">
        <w:t xml:space="preserve">en charge de lutter et de </w:t>
      </w:r>
      <w:r w:rsidR="005B1C95" w:rsidRPr="004F5958">
        <w:t>réprimer</w:t>
      </w:r>
      <w:r w:rsidR="00A55C52" w:rsidRPr="004F5958">
        <w:t xml:space="preserve"> les a</w:t>
      </w:r>
      <w:r w:rsidR="00E825A8" w:rsidRPr="004F5958">
        <w:t>c</w:t>
      </w:r>
      <w:r w:rsidR="00A55C52" w:rsidRPr="004F5958">
        <w:t xml:space="preserve">tes de violence, de VBG et de pédo-criminalité. </w:t>
      </w:r>
    </w:p>
    <w:p w14:paraId="1D1AF000" w14:textId="2D75EB6B" w:rsidR="00791CA4" w:rsidRPr="004F5958" w:rsidRDefault="00791CA4" w:rsidP="00600B5F"/>
    <w:p w14:paraId="1FD54349" w14:textId="77777777" w:rsidR="00791CA4" w:rsidRPr="004F5958" w:rsidRDefault="00791CA4" w:rsidP="00600B5F"/>
    <w:p w14:paraId="4B6F17C3" w14:textId="50CDD5CB" w:rsidR="00600B5F" w:rsidRPr="004F5958" w:rsidRDefault="002D6DA0" w:rsidP="001C352F">
      <w:pPr>
        <w:pStyle w:val="Paragraphedeliste"/>
        <w:numPr>
          <w:ilvl w:val="0"/>
          <w:numId w:val="2"/>
        </w:numPr>
      </w:pPr>
      <w:r w:rsidRPr="004F5958">
        <w:t>Veuillez sélectionner toutes les catégories qui décrivent les ajustements du projet (et inclure des détails dans les sections générales de ce rapport)</w:t>
      </w:r>
      <w:r w:rsidR="002B0F98" w:rsidRPr="004F5958">
        <w:t xml:space="preserve"> : </w:t>
      </w:r>
    </w:p>
    <w:p w14:paraId="322AEE35" w14:textId="77777777" w:rsidR="00A6484C" w:rsidRPr="004F5958" w:rsidRDefault="00A6484C" w:rsidP="00A6484C">
      <w:pPr>
        <w:pStyle w:val="Paragraphedeliste"/>
      </w:pPr>
    </w:p>
    <w:p w14:paraId="7FEF6AAE" w14:textId="59CDF331" w:rsidR="00600B5F" w:rsidRPr="004F5958" w:rsidRDefault="00A918FD" w:rsidP="00600B5F">
      <w:sdt>
        <w:sdtPr>
          <w:id w:val="402566072"/>
          <w14:checkbox>
            <w14:checked w14:val="0"/>
            <w14:checkedState w14:val="2612" w14:font="MS Gothic"/>
            <w14:uncheckedState w14:val="2610" w14:font="MS Gothic"/>
          </w14:checkbox>
        </w:sdtPr>
        <w:sdtEndPr/>
        <w:sdtContent>
          <w:r w:rsidR="00600B5F" w:rsidRPr="004F5958">
            <w:rPr>
              <w:rFonts w:ascii="Segoe UI Symbol" w:eastAsia="MS Gothic" w:hAnsi="Segoe UI Symbol" w:cs="Segoe UI Symbol"/>
            </w:rPr>
            <w:t>☐</w:t>
          </w:r>
        </w:sdtContent>
      </w:sdt>
      <w:r w:rsidR="00600B5F" w:rsidRPr="004F5958">
        <w:t xml:space="preserve"> </w:t>
      </w:r>
      <w:r w:rsidR="00CB5499" w:rsidRPr="004F5958">
        <w:t>Renforcer les capacités de gestion de crise et de communication</w:t>
      </w:r>
    </w:p>
    <w:p w14:paraId="57FB4B2F" w14:textId="77777777" w:rsidR="009E329B" w:rsidRPr="004F5958" w:rsidRDefault="00A918FD" w:rsidP="009E329B">
      <w:sdt>
        <w:sdtPr>
          <w:id w:val="1706904896"/>
          <w14:checkbox>
            <w14:checked w14:val="0"/>
            <w14:checkedState w14:val="2612" w14:font="MS Gothic"/>
            <w14:uncheckedState w14:val="2610" w14:font="MS Gothic"/>
          </w14:checkbox>
        </w:sdtPr>
        <w:sdtEndPr/>
        <w:sdtContent>
          <w:r w:rsidR="00600B5F" w:rsidRPr="004F5958">
            <w:rPr>
              <w:rFonts w:ascii="Segoe UI Symbol" w:eastAsia="MS Gothic" w:hAnsi="Segoe UI Symbol" w:cs="Segoe UI Symbol"/>
            </w:rPr>
            <w:t>☐</w:t>
          </w:r>
        </w:sdtContent>
      </w:sdt>
      <w:r w:rsidR="00600B5F" w:rsidRPr="004F5958">
        <w:t xml:space="preserve"> </w:t>
      </w:r>
      <w:r w:rsidR="009E329B" w:rsidRPr="004F5958">
        <w:t>Assurer une réponse et une reprise inclusives et équitables</w:t>
      </w:r>
    </w:p>
    <w:p w14:paraId="0C9C9505" w14:textId="08BC45A4" w:rsidR="00600B5F" w:rsidRPr="004F5958" w:rsidRDefault="00A918FD" w:rsidP="009E329B">
      <w:sdt>
        <w:sdtPr>
          <w:id w:val="1028075960"/>
          <w14:checkbox>
            <w14:checked w14:val="0"/>
            <w14:checkedState w14:val="2612" w14:font="MS Gothic"/>
            <w14:uncheckedState w14:val="2610" w14:font="MS Gothic"/>
          </w14:checkbox>
        </w:sdtPr>
        <w:sdtEndPr/>
        <w:sdtContent>
          <w:r w:rsidR="00600B5F" w:rsidRPr="004F5958">
            <w:rPr>
              <w:rFonts w:ascii="Segoe UI Symbol" w:eastAsia="MS Gothic" w:hAnsi="Segoe UI Symbol" w:cs="Segoe UI Symbol"/>
            </w:rPr>
            <w:t>☐</w:t>
          </w:r>
        </w:sdtContent>
      </w:sdt>
      <w:r w:rsidR="00600B5F" w:rsidRPr="004F5958">
        <w:t xml:space="preserve"> </w:t>
      </w:r>
      <w:r w:rsidR="00953C30" w:rsidRPr="004F5958">
        <w:t>Renforcer la cohésion sociale intercommunautaire et la gestion des frontières</w:t>
      </w:r>
    </w:p>
    <w:p w14:paraId="6E0D87A0" w14:textId="0DAD893D" w:rsidR="00600B5F" w:rsidRPr="004F5958" w:rsidRDefault="00A918FD" w:rsidP="00600B5F">
      <w:sdt>
        <w:sdtPr>
          <w:id w:val="1433550173"/>
          <w14:checkbox>
            <w14:checked w14:val="0"/>
            <w14:checkedState w14:val="2612" w14:font="MS Gothic"/>
            <w14:uncheckedState w14:val="2610" w14:font="MS Gothic"/>
          </w14:checkbox>
        </w:sdtPr>
        <w:sdtEndPr/>
        <w:sdtContent>
          <w:r w:rsidR="00600B5F" w:rsidRPr="004F5958">
            <w:rPr>
              <w:rFonts w:ascii="Segoe UI Symbol" w:eastAsia="MS Gothic" w:hAnsi="Segoe UI Symbol" w:cs="Segoe UI Symbol"/>
            </w:rPr>
            <w:t>☐</w:t>
          </w:r>
        </w:sdtContent>
      </w:sdt>
      <w:r w:rsidR="00600B5F" w:rsidRPr="004F5958">
        <w:t xml:space="preserve"> </w:t>
      </w:r>
      <w:r w:rsidR="00782959" w:rsidRPr="004F5958">
        <w:t xml:space="preserve">Lutter contre le discours de haine et la stigmatisation et </w:t>
      </w:r>
      <w:r w:rsidR="00B330C2" w:rsidRPr="004F5958">
        <w:t>répondre</w:t>
      </w:r>
      <w:r w:rsidR="00782959" w:rsidRPr="004F5958">
        <w:t xml:space="preserve"> </w:t>
      </w:r>
      <w:r w:rsidR="00B330C2" w:rsidRPr="004F5958">
        <w:t>aux</w:t>
      </w:r>
      <w:r w:rsidR="00782959" w:rsidRPr="004F5958">
        <w:t xml:space="preserve"> traumatismes</w:t>
      </w:r>
    </w:p>
    <w:p w14:paraId="13727351" w14:textId="4F133F18" w:rsidR="00600B5F" w:rsidRPr="004F5958" w:rsidRDefault="00A918FD" w:rsidP="00600B5F">
      <w:sdt>
        <w:sdtPr>
          <w:id w:val="-197162951"/>
          <w14:checkbox>
            <w14:checked w14:val="0"/>
            <w14:checkedState w14:val="2612" w14:font="MS Gothic"/>
            <w14:uncheckedState w14:val="2610" w14:font="MS Gothic"/>
          </w14:checkbox>
        </w:sdtPr>
        <w:sdtEndPr/>
        <w:sdtContent>
          <w:r w:rsidR="00600B5F" w:rsidRPr="004F5958">
            <w:rPr>
              <w:rFonts w:ascii="Segoe UI Symbol" w:eastAsia="MS Gothic" w:hAnsi="Segoe UI Symbol" w:cs="Segoe UI Symbol"/>
            </w:rPr>
            <w:t>☐</w:t>
          </w:r>
        </w:sdtContent>
      </w:sdt>
      <w:r w:rsidR="00600B5F" w:rsidRPr="004F5958">
        <w:t xml:space="preserve"> </w:t>
      </w:r>
      <w:r w:rsidR="005D653E" w:rsidRPr="004F5958">
        <w:t xml:space="preserve">Soutenir l'appel du SG </w:t>
      </w:r>
      <w:r w:rsidR="00970D92" w:rsidRPr="004F5958">
        <w:t>au « </w:t>
      </w:r>
      <w:r w:rsidR="005D653E" w:rsidRPr="004F5958">
        <w:t>cessez-le-feu mondial</w:t>
      </w:r>
      <w:r w:rsidR="00970D92" w:rsidRPr="004F5958">
        <w:t> »</w:t>
      </w:r>
    </w:p>
    <w:p w14:paraId="28BEA6AB" w14:textId="11656F42" w:rsidR="00600B5F" w:rsidRPr="004F5958" w:rsidRDefault="00A918FD" w:rsidP="000E194D">
      <w:sdt>
        <w:sdtPr>
          <w:id w:val="810906333"/>
          <w14:checkbox>
            <w14:checked w14:val="1"/>
            <w14:checkedState w14:val="2612" w14:font="MS Gothic"/>
            <w14:uncheckedState w14:val="2610" w14:font="MS Gothic"/>
          </w14:checkbox>
        </w:sdtPr>
        <w:sdtEndPr/>
        <w:sdtContent>
          <w:r w:rsidR="00E56B9B" w:rsidRPr="004F5958">
            <w:rPr>
              <w:rFonts w:ascii="Segoe UI Symbol" w:eastAsia="MS Gothic" w:hAnsi="Segoe UI Symbol" w:cs="Segoe UI Symbol"/>
            </w:rPr>
            <w:t>☒</w:t>
          </w:r>
        </w:sdtContent>
      </w:sdt>
      <w:r w:rsidR="00600B5F" w:rsidRPr="004F5958">
        <w:t xml:space="preserve"> </w:t>
      </w:r>
      <w:r w:rsidR="00970D92" w:rsidRPr="004F5958">
        <w:t>Autres</w:t>
      </w:r>
      <w:r w:rsidR="00600B5F" w:rsidRPr="004F5958">
        <w:t xml:space="preserve"> (</w:t>
      </w:r>
      <w:r w:rsidR="00970D92" w:rsidRPr="004F5958">
        <w:t xml:space="preserve">veuillez </w:t>
      </w:r>
      <w:r w:rsidR="00B82E71" w:rsidRPr="004F5958">
        <w:t>préciser</w:t>
      </w:r>
      <w:proofErr w:type="gramStart"/>
      <w:r w:rsidR="00600B5F" w:rsidRPr="004F5958">
        <w:t>):</w:t>
      </w:r>
      <w:proofErr w:type="gramEnd"/>
      <w:r w:rsidR="00600B5F" w:rsidRPr="004F5958">
        <w:t xml:space="preserve"> </w:t>
      </w:r>
      <w:r w:rsidR="00E56B9B" w:rsidRPr="004F5958">
        <w:t>Renforcer les structures et organ</w:t>
      </w:r>
      <w:r w:rsidR="007D3ED9" w:rsidRPr="004F5958">
        <w:t>e</w:t>
      </w:r>
      <w:r w:rsidR="00E56B9B" w:rsidRPr="004F5958">
        <w:t xml:space="preserve">s de lutte et de </w:t>
      </w:r>
      <w:r w:rsidR="005B1C95" w:rsidRPr="004F5958">
        <w:t>répression</w:t>
      </w:r>
      <w:r w:rsidR="00E56B9B" w:rsidRPr="004F5958">
        <w:t xml:space="preserve"> en matière de Violences Basées sur le Genre et </w:t>
      </w:r>
      <w:r w:rsidR="007D3ED9" w:rsidRPr="004F5958">
        <w:t>de</w:t>
      </w:r>
      <w:r w:rsidR="00E56B9B" w:rsidRPr="004F5958">
        <w:t xml:space="preserve"> pédo criminalité.</w:t>
      </w:r>
    </w:p>
    <w:p w14:paraId="350CC976" w14:textId="77777777" w:rsidR="00600B5F" w:rsidRPr="004F5958" w:rsidRDefault="00600B5F" w:rsidP="00600B5F">
      <w:pPr>
        <w:ind w:left="2160"/>
      </w:pPr>
    </w:p>
    <w:p w14:paraId="46997774" w14:textId="7BBA6F8E" w:rsidR="00600B5F" w:rsidRPr="004F5958" w:rsidRDefault="00FD0105" w:rsidP="000E194D">
      <w:pPr>
        <w:jc w:val="both"/>
      </w:pPr>
      <w:r w:rsidRPr="004F5958">
        <w:t>Le cas échéant, veuillez partager une histoire de réussite COVID-19 de ce projet (</w:t>
      </w:r>
      <w:r w:rsidR="004C4272" w:rsidRPr="004F5958">
        <w:t xml:space="preserve">i.e. </w:t>
      </w:r>
      <w:r w:rsidR="00D61557" w:rsidRPr="004F5958">
        <w:t>comment les ajustements de ce projet ont fait une différence et ont contribué à une réponse positive à la pandémie / empêché les tensions ou la violence liées à la pandémie, etc</w:t>
      </w:r>
      <w:r w:rsidR="00600B5F" w:rsidRPr="004F5958">
        <w:t>.)</w:t>
      </w:r>
    </w:p>
    <w:p w14:paraId="4EC3FC59" w14:textId="17ECCB13" w:rsidR="00955713" w:rsidRPr="004F5958" w:rsidRDefault="00E56B9B" w:rsidP="003F43BE">
      <w:pPr>
        <w:jc w:val="both"/>
      </w:pPr>
      <w:r w:rsidRPr="004F5958">
        <w:t>La crise du COVID-19, avec sa série de restrictions de mouvement, a conduit à une recrudescence des cas de violence sexiste en Côte d'Ivoire. Cette situation a conduit le gouvernement à publier une déclaration de tolérance</w:t>
      </w:r>
      <w:r w:rsidR="00396000" w:rsidRPr="004F5958">
        <w:t xml:space="preserve"> « zéro »</w:t>
      </w:r>
      <w:r w:rsidRPr="004F5958">
        <w:t xml:space="preserve">. </w:t>
      </w:r>
      <w:r w:rsidR="000D6853" w:rsidRPr="004F5958">
        <w:t xml:space="preserve">Répondant à une sollicitation du Gouvernement, </w:t>
      </w:r>
      <w:bookmarkStart w:id="29" w:name="_Hlk39254906"/>
      <w:r w:rsidR="000D6853" w:rsidRPr="004F5958">
        <w:t xml:space="preserve">le projet a accompagné les acteurs nationaux dans le renforcement des capacités opérationnelles des entités publiques multisectorielles en charge notamment de la prévention et de </w:t>
      </w:r>
      <w:r w:rsidR="00955713" w:rsidRPr="004F5958">
        <w:t>la répression en matière de</w:t>
      </w:r>
      <w:r w:rsidR="000D6853" w:rsidRPr="004F5958">
        <w:t xml:space="preserve"> lutte contre les V</w:t>
      </w:r>
      <w:r w:rsidR="000E194D" w:rsidRPr="004F5958">
        <w:t>BG</w:t>
      </w:r>
      <w:r w:rsidR="000D6853" w:rsidRPr="004F5958">
        <w:t xml:space="preserve">. </w:t>
      </w:r>
    </w:p>
    <w:p w14:paraId="456ED494" w14:textId="121F8B8C" w:rsidR="00955713" w:rsidRPr="004F5958" w:rsidRDefault="00955713" w:rsidP="003F43BE">
      <w:pPr>
        <w:jc w:val="both"/>
      </w:pPr>
      <w:r w:rsidRPr="004F5958">
        <w:t>Cet appui multisectoriel</w:t>
      </w:r>
      <w:r w:rsidR="00E22AF7" w:rsidRPr="004F5958">
        <w:t xml:space="preserve"> </w:t>
      </w:r>
      <w:r w:rsidRPr="004F5958">
        <w:t xml:space="preserve">s’articule autour de 4 axes à savoir : (i) le renforcement de la sensibilisation des acteurs sur les conséquences négatives et le dispositif de recours existant ; </w:t>
      </w:r>
      <w:bookmarkStart w:id="30" w:name="_Hlk55552081"/>
      <w:r w:rsidRPr="004F5958">
        <w:t xml:space="preserve">(ii) </w:t>
      </w:r>
      <w:bookmarkStart w:id="31" w:name="_Hlk55552036"/>
      <w:bookmarkEnd w:id="30"/>
      <w:r w:rsidRPr="004F5958">
        <w:t xml:space="preserve">l’appui à la prise en charge holistique des victimes de VBG </w:t>
      </w:r>
      <w:bookmarkEnd w:id="31"/>
      <w:r w:rsidRPr="004F5958">
        <w:t xml:space="preserve">; </w:t>
      </w:r>
      <w:bookmarkStart w:id="32" w:name="_Hlk55552917"/>
      <w:r w:rsidRPr="004F5958">
        <w:t>(iii) le renforcement de l’assistance judiciaire en vue du traitement des dossiers de VBG encore pendants devant les tribunaux</w:t>
      </w:r>
      <w:bookmarkEnd w:id="32"/>
      <w:r w:rsidRPr="004F5958">
        <w:t xml:space="preserve"> ; (iv) le renforcement du plaidoyer auprès des autorités en vue d’ériger la lutte contre les VBG au titre des priorités nationales.</w:t>
      </w:r>
    </w:p>
    <w:p w14:paraId="17A287E9" w14:textId="77777777" w:rsidR="000E194D" w:rsidRPr="004F5958" w:rsidRDefault="000E194D" w:rsidP="000E194D">
      <w:pPr>
        <w:jc w:val="both"/>
      </w:pPr>
    </w:p>
    <w:p w14:paraId="37546980" w14:textId="74FCD7A5" w:rsidR="00923985" w:rsidRPr="004F5958" w:rsidRDefault="000E194D" w:rsidP="000E194D">
      <w:pPr>
        <w:pStyle w:val="Paragraphedeliste"/>
        <w:numPr>
          <w:ilvl w:val="0"/>
          <w:numId w:val="1"/>
        </w:numPr>
        <w:jc w:val="both"/>
      </w:pPr>
      <w:r w:rsidRPr="004F5958">
        <w:t>D</w:t>
      </w:r>
      <w:r w:rsidR="00923985" w:rsidRPr="004F5958">
        <w:t>ans le cadre de l’appui à la prise en charge holistique des victimes de VBG (ii), le</w:t>
      </w:r>
      <w:r w:rsidR="00E22AF7" w:rsidRPr="004F5958">
        <w:t xml:space="preserve"> projet a soutenu le renforcement des capacités techniques et opérationnelles des organes et structures en charge en charge du traitement des dossiers de </w:t>
      </w:r>
      <w:r w:rsidR="007F7F19" w:rsidRPr="004F5958">
        <w:t>VBG</w:t>
      </w:r>
      <w:r w:rsidR="00E22AF7" w:rsidRPr="004F5958">
        <w:t xml:space="preserve">. </w:t>
      </w:r>
      <w:r w:rsidR="00923985" w:rsidRPr="004F5958">
        <w:t xml:space="preserve">Il s’agit </w:t>
      </w:r>
      <w:r w:rsidR="007F7F19" w:rsidRPr="004F5958">
        <w:t>des structures ci-après :</w:t>
      </w:r>
      <w:r w:rsidR="00923985" w:rsidRPr="004F5958">
        <w:t xml:space="preserve"> </w:t>
      </w:r>
      <w:r w:rsidR="007F7F19" w:rsidRPr="004F5958">
        <w:t xml:space="preserve">le </w:t>
      </w:r>
      <w:r w:rsidR="00923985" w:rsidRPr="004F5958">
        <w:t xml:space="preserve">Centre d’accueil PAVVIOS, </w:t>
      </w:r>
      <w:r w:rsidR="007F7F19" w:rsidRPr="004F5958">
        <w:t>l</w:t>
      </w:r>
      <w:r w:rsidR="00923985" w:rsidRPr="004F5958">
        <w:t xml:space="preserve">es plateformes de lutte contre les VBG, </w:t>
      </w:r>
      <w:r w:rsidR="007F7F19" w:rsidRPr="004F5958">
        <w:t>le</w:t>
      </w:r>
      <w:r w:rsidR="00923985" w:rsidRPr="004F5958">
        <w:t xml:space="preserve"> Comité national de lutte contre les VBG, </w:t>
      </w:r>
      <w:r w:rsidR="007F7F19" w:rsidRPr="004F5958">
        <w:t>l</w:t>
      </w:r>
      <w:r w:rsidR="00923985" w:rsidRPr="004F5958">
        <w:t xml:space="preserve">es Bureaux d’Accueils Genre ou </w:t>
      </w:r>
      <w:proofErr w:type="spellStart"/>
      <w:r w:rsidR="00923985" w:rsidRPr="004F5958">
        <w:t>Gender</w:t>
      </w:r>
      <w:proofErr w:type="spellEnd"/>
      <w:r w:rsidR="00923985" w:rsidRPr="004F5958">
        <w:t xml:space="preserve"> Desk, </w:t>
      </w:r>
      <w:r w:rsidR="007F7F19" w:rsidRPr="004F5958">
        <w:t>l</w:t>
      </w:r>
      <w:r w:rsidR="00923985" w:rsidRPr="004F5958">
        <w:t xml:space="preserve">es Bureaux Locaux d’Assistance Judiciaires, </w:t>
      </w:r>
      <w:r w:rsidR="007F7F19" w:rsidRPr="004F5958">
        <w:t>l</w:t>
      </w:r>
      <w:r w:rsidR="00923985" w:rsidRPr="004F5958">
        <w:t xml:space="preserve">es bureaux des Procureurs et Procureurs Généraux et </w:t>
      </w:r>
      <w:r w:rsidR="007F7F19" w:rsidRPr="004F5958">
        <w:t>l</w:t>
      </w:r>
      <w:r w:rsidR="00923985" w:rsidRPr="004F5958">
        <w:t>es Magistrats points focaux VBG.</w:t>
      </w:r>
    </w:p>
    <w:p w14:paraId="059173EC" w14:textId="77777777" w:rsidR="000E194D" w:rsidRPr="004F5958" w:rsidRDefault="000E194D" w:rsidP="000E194D">
      <w:pPr>
        <w:jc w:val="both"/>
      </w:pPr>
    </w:p>
    <w:p w14:paraId="0C7FBC2B" w14:textId="7C6D2EA0" w:rsidR="00923985" w:rsidRPr="004F5958" w:rsidRDefault="00923985" w:rsidP="003F43BE">
      <w:pPr>
        <w:jc w:val="both"/>
      </w:pPr>
      <w:r w:rsidRPr="004F5958">
        <w:t>Les actions suivantes ont été réalisées :</w:t>
      </w:r>
    </w:p>
    <w:p w14:paraId="4733C9C0" w14:textId="61A79497" w:rsidR="00923985" w:rsidRPr="004F5958" w:rsidRDefault="00923985" w:rsidP="001C352F">
      <w:pPr>
        <w:numPr>
          <w:ilvl w:val="0"/>
          <w:numId w:val="3"/>
        </w:numPr>
        <w:jc w:val="both"/>
      </w:pPr>
      <w:proofErr w:type="gramStart"/>
      <w:r w:rsidRPr="004F5958">
        <w:t>une</w:t>
      </w:r>
      <w:proofErr w:type="gramEnd"/>
      <w:r w:rsidRPr="004F5958">
        <w:t xml:space="preserve"> ligne verte a été mise en place au centre d’appel du Ministère de la Justice et des Droits de l’Homme (MJDH) pour faciliter les dénonciations et permettre aux justiciables d’adresser leurs préoccupations d’ordre juridique aisément et surtout sans frais.</w:t>
      </w:r>
    </w:p>
    <w:p w14:paraId="39761CFD" w14:textId="5BAE9C51" w:rsidR="00923985" w:rsidRPr="004F5958" w:rsidRDefault="00923985" w:rsidP="001C352F">
      <w:pPr>
        <w:numPr>
          <w:ilvl w:val="0"/>
          <w:numId w:val="3"/>
        </w:numPr>
        <w:jc w:val="both"/>
      </w:pPr>
      <w:proofErr w:type="gramStart"/>
      <w:r w:rsidRPr="004F5958">
        <w:t>un</w:t>
      </w:r>
      <w:proofErr w:type="gramEnd"/>
      <w:r w:rsidRPr="004F5958">
        <w:t xml:space="preserve"> centre d’appel à ligne verte a été mise en place en partenariat avec le FNUAP pour les dénonciations, l’écoute, le conseil et l’orientation des victimes, sans frais ; </w:t>
      </w:r>
    </w:p>
    <w:p w14:paraId="0342F8BF" w14:textId="72376274" w:rsidR="00923985" w:rsidRPr="004F5958" w:rsidRDefault="00923985" w:rsidP="001C352F">
      <w:pPr>
        <w:numPr>
          <w:ilvl w:val="0"/>
          <w:numId w:val="3"/>
        </w:numPr>
        <w:jc w:val="both"/>
      </w:pPr>
      <w:proofErr w:type="gramStart"/>
      <w:r w:rsidRPr="004F5958">
        <w:t>des</w:t>
      </w:r>
      <w:proofErr w:type="gramEnd"/>
      <w:r w:rsidRPr="004F5958">
        <w:t xml:space="preserve"> équipements informatiques ont été fournis aux 15 Plateformes de lutte contre les VBG</w:t>
      </w:r>
      <w:r w:rsidR="000E194D" w:rsidRPr="004F5958">
        <w:t xml:space="preserve"> et au Comité national de </w:t>
      </w:r>
      <w:r w:rsidR="00396000" w:rsidRPr="004F5958">
        <w:t>l</w:t>
      </w:r>
      <w:r w:rsidR="000E194D" w:rsidRPr="004F5958">
        <w:t xml:space="preserve">utte contre les VB, </w:t>
      </w:r>
      <w:r w:rsidRPr="004F5958">
        <w:t>des outils devant leur permettre de collecter, analyser et consolider les données sur les VBG ;</w:t>
      </w:r>
    </w:p>
    <w:p w14:paraId="4352D6B5" w14:textId="2264A852" w:rsidR="00923985" w:rsidRPr="004F5958" w:rsidRDefault="00923985" w:rsidP="001C352F">
      <w:pPr>
        <w:numPr>
          <w:ilvl w:val="0"/>
          <w:numId w:val="3"/>
        </w:numPr>
        <w:jc w:val="both"/>
      </w:pPr>
      <w:proofErr w:type="gramStart"/>
      <w:r w:rsidRPr="004F5958">
        <w:t>des</w:t>
      </w:r>
      <w:proofErr w:type="gramEnd"/>
      <w:r w:rsidRPr="004F5958">
        <w:t xml:space="preserve"> équipements sanitaires, hygiéniques et alimentaires sont fournis au centre d’accueil des victimes, Centre PAVVIOS pour assurer sa fonctionnalité.</w:t>
      </w:r>
    </w:p>
    <w:p w14:paraId="1F639EC8" w14:textId="77777777" w:rsidR="003F43BE" w:rsidRPr="004F5958" w:rsidRDefault="003F43BE" w:rsidP="003F43BE">
      <w:pPr>
        <w:jc w:val="both"/>
      </w:pPr>
    </w:p>
    <w:p w14:paraId="65EB4680" w14:textId="64464DF7" w:rsidR="003F43BE" w:rsidRPr="004F5958" w:rsidRDefault="003F43BE" w:rsidP="001C352F">
      <w:pPr>
        <w:pStyle w:val="Paragraphedeliste"/>
        <w:numPr>
          <w:ilvl w:val="0"/>
          <w:numId w:val="4"/>
        </w:numPr>
        <w:ind w:left="-142" w:hanging="425"/>
        <w:jc w:val="both"/>
      </w:pPr>
      <w:bookmarkStart w:id="33" w:name="_Hlk55615701"/>
      <w:r w:rsidRPr="004F5958">
        <w:t>Dans le cadre du renforcement de l’assistance judiciaire en vue du traitement des dossiers de VBG encore pendants devant les tribunaux(iii), le projet soutient les autorités judiciaires en vue d'accélérer le traitement du nouveau cas de VBG enregistrés depuis la crise sanitaire du COVID-19</w:t>
      </w:r>
      <w:bookmarkEnd w:id="33"/>
      <w:r w:rsidRPr="004F5958">
        <w:t>.</w:t>
      </w:r>
    </w:p>
    <w:p w14:paraId="59E80182" w14:textId="17C4C89B" w:rsidR="00D00DBE" w:rsidRPr="004F5958" w:rsidRDefault="00D00DBE" w:rsidP="003F43BE">
      <w:pPr>
        <w:pStyle w:val="Paragraphedeliste"/>
        <w:ind w:left="-142"/>
        <w:jc w:val="both"/>
      </w:pPr>
      <w:r w:rsidRPr="004F5958">
        <w:t xml:space="preserve">En effet, selon les données fournies par le </w:t>
      </w:r>
      <w:r w:rsidR="000E194D" w:rsidRPr="004F5958">
        <w:t>M</w:t>
      </w:r>
      <w:r w:rsidRPr="004F5958">
        <w:t>inistère de la Justice et des Droits de l'Homme, 866 affaires pénales, dont 60% des cas de violence sexiste et de pédo-criminalité, ont été identifiées dans tout le pays. En raison du manque d'assistance juridique et judiciaire, 515 affaires restent pendantes devant les tribunaux de Bouaké et d'Abidjan, 351 devant le tribunal de Daloa. 470 accusés détenus sont en attente de jugement. Ces longs retards dans le procès posent de réels problèmes de droits humains en raison de la longue détention des accusés et du défaut d'indemnisation des victimes, dont la plupart sont devenues de plus en plus vulnérables dans le contexte du C</w:t>
      </w:r>
      <w:r w:rsidR="004535A5" w:rsidRPr="004F5958">
        <w:t>ovid</w:t>
      </w:r>
      <w:r w:rsidRPr="004F5958">
        <w:t xml:space="preserve">-19. Le projet a ainsi finalisé le recrutement de 3 avocats, 2 commissaires de justice chargés de fournir l’assistance juridique et judiciaire aux auteurs et victimes afin que ces derniers soient </w:t>
      </w:r>
      <w:r w:rsidR="003F43BE" w:rsidRPr="004F5958">
        <w:t xml:space="preserve">jugés et </w:t>
      </w:r>
      <w:r w:rsidRPr="004F5958">
        <w:t>dédommagés</w:t>
      </w:r>
      <w:r w:rsidR="003F43BE" w:rsidRPr="004F5958">
        <w:t xml:space="preserve"> le cas échéant. Les audiences criminelles sont programmées.</w:t>
      </w:r>
    </w:p>
    <w:bookmarkEnd w:id="29"/>
    <w:p w14:paraId="5C4D29E5" w14:textId="77777777" w:rsidR="00E56B9B" w:rsidRPr="004F5958" w:rsidRDefault="00E56B9B" w:rsidP="003F43BE">
      <w:pPr>
        <w:pStyle w:val="Paragraphedeliste"/>
        <w:ind w:left="-142"/>
        <w:jc w:val="both"/>
      </w:pPr>
    </w:p>
    <w:p w14:paraId="02C030D5" w14:textId="77777777" w:rsidR="00E56B9B" w:rsidRPr="004F5958" w:rsidRDefault="00E56B9B" w:rsidP="00E56B9B"/>
    <w:p w14:paraId="6EA035A9" w14:textId="77777777" w:rsidR="00E56B9B" w:rsidRPr="004F5958" w:rsidRDefault="00E56B9B" w:rsidP="00E56B9B"/>
    <w:p w14:paraId="63ED12FA" w14:textId="679C34BD" w:rsidR="00E56B9B" w:rsidRPr="004F5958" w:rsidRDefault="00E56B9B" w:rsidP="00E56B9B">
      <w:pPr>
        <w:sectPr w:rsidR="00E56B9B" w:rsidRPr="004F5958" w:rsidSect="0078600B">
          <w:pgSz w:w="11906" w:h="16838"/>
          <w:pgMar w:top="1440" w:right="1800" w:bottom="1440" w:left="1800" w:header="720" w:footer="720" w:gutter="0"/>
          <w:cols w:space="720"/>
          <w:docGrid w:linePitch="360"/>
        </w:sectPr>
      </w:pPr>
    </w:p>
    <w:p w14:paraId="5634A3B1" w14:textId="77777777" w:rsidR="00DF24B9" w:rsidRPr="004F5958"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Pr="004F5958"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Pr="004F5958" w:rsidRDefault="00675507" w:rsidP="00675507">
      <w:pPr>
        <w:pStyle w:val="PrformatHTML"/>
        <w:shd w:val="clear" w:color="auto" w:fill="FFFFFF"/>
        <w:rPr>
          <w:rFonts w:ascii="Times New Roman" w:hAnsi="Times New Roman" w:cs="Times New Roman"/>
          <w:b/>
          <w:sz w:val="24"/>
          <w:szCs w:val="24"/>
          <w:u w:val="single"/>
          <w:lang w:val="fr-FR" w:eastAsia="en-GB"/>
        </w:rPr>
      </w:pPr>
      <w:r w:rsidRPr="004F5958">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4F5958">
        <w:rPr>
          <w:rFonts w:ascii="Times New Roman" w:hAnsi="Times New Roman" w:cs="Times New Roman"/>
          <w:b/>
          <w:sz w:val="24"/>
          <w:szCs w:val="24"/>
          <w:u w:val="single"/>
          <w:lang w:val="fr-FR" w:eastAsia="en-GB"/>
        </w:rPr>
        <w:t>INDICATEURS:</w:t>
      </w:r>
      <w:proofErr w:type="gramEnd"/>
      <w:r w:rsidRPr="004F5958">
        <w:rPr>
          <w:rFonts w:ascii="Times New Roman" w:hAnsi="Times New Roman" w:cs="Times New Roman"/>
          <w:b/>
          <w:sz w:val="24"/>
          <w:szCs w:val="24"/>
          <w:u w:val="single"/>
          <w:lang w:val="fr-FR" w:eastAsia="en-GB"/>
        </w:rPr>
        <w:t xml:space="preserve"> </w:t>
      </w:r>
    </w:p>
    <w:p w14:paraId="6354B688" w14:textId="77777777" w:rsidR="00675507" w:rsidRPr="004F5958"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6BDEEA07" w:rsidR="00675507" w:rsidRPr="004F5958" w:rsidRDefault="00675507" w:rsidP="00675507">
      <w:pPr>
        <w:pStyle w:val="PrformatHTML"/>
        <w:shd w:val="clear" w:color="auto" w:fill="FFFFFF"/>
        <w:rPr>
          <w:rFonts w:ascii="Times New Roman" w:hAnsi="Times New Roman" w:cs="Times New Roman"/>
          <w:sz w:val="24"/>
          <w:szCs w:val="24"/>
          <w:lang w:val="fr-FR"/>
        </w:rPr>
      </w:pPr>
      <w:r w:rsidRPr="004F5958">
        <w:rPr>
          <w:rFonts w:ascii="Times New Roman" w:hAnsi="Times New Roman" w:cs="Times New Roman"/>
          <w:sz w:val="24"/>
          <w:szCs w:val="24"/>
          <w:lang w:val="fr-FR"/>
        </w:rPr>
        <w:t>Utilise</w:t>
      </w:r>
      <w:r w:rsidR="00826923" w:rsidRPr="004F5958">
        <w:rPr>
          <w:rFonts w:ascii="Times New Roman" w:hAnsi="Times New Roman" w:cs="Times New Roman"/>
          <w:sz w:val="24"/>
          <w:szCs w:val="24"/>
          <w:lang w:val="fr-FR"/>
        </w:rPr>
        <w:t>r</w:t>
      </w:r>
      <w:r w:rsidRPr="004F5958">
        <w:rPr>
          <w:rFonts w:ascii="Times New Roman" w:hAnsi="Times New Roman" w:cs="Times New Roman"/>
          <w:sz w:val="24"/>
          <w:szCs w:val="24"/>
          <w:lang w:val="fr-FR"/>
        </w:rPr>
        <w:t xml:space="preserve"> le cadre de résultats du projet conformément au document de projet approuvé ou à toute modification </w:t>
      </w:r>
      <w:r w:rsidR="00826923" w:rsidRPr="004F5958">
        <w:rPr>
          <w:rFonts w:ascii="Times New Roman" w:hAnsi="Times New Roman" w:cs="Times New Roman"/>
          <w:sz w:val="24"/>
          <w:szCs w:val="24"/>
          <w:lang w:val="fr-FR"/>
        </w:rPr>
        <w:t xml:space="preserve">et </w:t>
      </w:r>
      <w:r w:rsidRPr="004F5958">
        <w:rPr>
          <w:rFonts w:ascii="Times New Roman" w:hAnsi="Times New Roman" w:cs="Times New Roman"/>
          <w:sz w:val="24"/>
          <w:szCs w:val="24"/>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61C50082" w14:textId="5DB15FB4" w:rsidR="004416C9" w:rsidRPr="004F5958" w:rsidRDefault="004416C9" w:rsidP="00675507">
      <w:pPr>
        <w:pStyle w:val="PrformatHTML"/>
        <w:shd w:val="clear" w:color="auto" w:fill="FFFFFF"/>
        <w:rPr>
          <w:rFonts w:ascii="Times New Roman" w:hAnsi="Times New Roman" w:cs="Times New Roman"/>
          <w:sz w:val="24"/>
          <w:szCs w:val="24"/>
          <w:lang w:val="fr-FR"/>
        </w:rPr>
      </w:pPr>
    </w:p>
    <w:p w14:paraId="7EF4EBE2" w14:textId="0D67D7C4" w:rsidR="004416C9" w:rsidRPr="004F5958" w:rsidRDefault="004416C9" w:rsidP="004416C9">
      <w:pPr>
        <w:pStyle w:val="PrformatHTML"/>
        <w:shd w:val="clear" w:color="auto" w:fill="FFFFFF"/>
        <w:rPr>
          <w:rFonts w:ascii="Times New Roman" w:hAnsi="Times New Roman" w:cs="Times New Roman"/>
          <w:sz w:val="24"/>
          <w:szCs w:val="24"/>
          <w:lang w:val="fr-FR"/>
        </w:rPr>
      </w:pPr>
    </w:p>
    <w:p w14:paraId="63CD3505" w14:textId="5277F135" w:rsidR="00011FB4" w:rsidRPr="004F5958" w:rsidRDefault="00011FB4" w:rsidP="004416C9">
      <w:pPr>
        <w:pStyle w:val="PrformatHTML"/>
        <w:shd w:val="clear" w:color="auto" w:fill="FFFFFF"/>
        <w:rPr>
          <w:rFonts w:ascii="Times New Roman" w:hAnsi="Times New Roman" w:cs="Times New Roman"/>
          <w:sz w:val="24"/>
          <w:szCs w:val="24"/>
          <w:lang w:val="fr-FR"/>
        </w:rPr>
      </w:pPr>
    </w:p>
    <w:p w14:paraId="5E6D69C6" w14:textId="77777777" w:rsidR="00011FB4" w:rsidRPr="004F5958" w:rsidRDefault="00011FB4" w:rsidP="004416C9">
      <w:pPr>
        <w:pStyle w:val="PrformatHTML"/>
        <w:shd w:val="clear" w:color="auto" w:fill="FFFFFF"/>
        <w:rPr>
          <w:lang w:val="en-GB"/>
        </w:rPr>
      </w:pPr>
    </w:p>
    <w:tbl>
      <w:tblPr>
        <w:tblpPr w:leftFromText="141" w:rightFromText="141" w:vertAnchor="text" w:tblpX="-162" w:tblpY="1"/>
        <w:tblOverlap w:val="never"/>
        <w:tblW w:w="15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8"/>
        <w:gridCol w:w="2410"/>
        <w:gridCol w:w="1276"/>
        <w:gridCol w:w="2126"/>
        <w:gridCol w:w="1701"/>
        <w:gridCol w:w="4253"/>
        <w:gridCol w:w="1406"/>
      </w:tblGrid>
      <w:tr w:rsidR="004F5958" w:rsidRPr="004F5958" w14:paraId="5E68C71B" w14:textId="77777777" w:rsidTr="00DD177D">
        <w:trPr>
          <w:tblHeader/>
        </w:trPr>
        <w:tc>
          <w:tcPr>
            <w:tcW w:w="1858" w:type="dxa"/>
          </w:tcPr>
          <w:p w14:paraId="150A3584"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43B3B888" w14:textId="77777777" w:rsidR="004416C9" w:rsidRPr="004F5958" w:rsidRDefault="004416C9" w:rsidP="00DD177D">
            <w:pPr>
              <w:pStyle w:val="PrformatHTML"/>
              <w:shd w:val="clear" w:color="auto" w:fill="FFFFFF"/>
              <w:rPr>
                <w:b/>
                <w:lang w:val="en-GB"/>
              </w:rPr>
            </w:pPr>
            <w:proofErr w:type="spellStart"/>
            <w:r w:rsidRPr="004F5958">
              <w:rPr>
                <w:b/>
                <w:lang w:val="en-GB"/>
              </w:rPr>
              <w:t>Indicateurs</w:t>
            </w:r>
            <w:proofErr w:type="spellEnd"/>
          </w:p>
        </w:tc>
        <w:tc>
          <w:tcPr>
            <w:tcW w:w="1276" w:type="dxa"/>
            <w:shd w:val="clear" w:color="auto" w:fill="EEECE1"/>
          </w:tcPr>
          <w:p w14:paraId="60BB205B" w14:textId="77777777" w:rsidR="004416C9" w:rsidRPr="004F5958" w:rsidRDefault="004416C9" w:rsidP="00DD177D">
            <w:pPr>
              <w:pStyle w:val="PrformatHTML"/>
              <w:shd w:val="clear" w:color="auto" w:fill="FFFFFF"/>
              <w:rPr>
                <w:b/>
                <w:lang w:val="en-GB"/>
              </w:rPr>
            </w:pPr>
            <w:r w:rsidRPr="004F5958">
              <w:rPr>
                <w:b/>
                <w:lang w:val="en-GB"/>
              </w:rPr>
              <w:t xml:space="preserve">Base de </w:t>
            </w:r>
            <w:proofErr w:type="spellStart"/>
            <w:r w:rsidRPr="004F5958">
              <w:rPr>
                <w:b/>
                <w:lang w:val="en-GB"/>
              </w:rPr>
              <w:t>donnée</w:t>
            </w:r>
            <w:proofErr w:type="spellEnd"/>
          </w:p>
        </w:tc>
        <w:tc>
          <w:tcPr>
            <w:tcW w:w="2126" w:type="dxa"/>
            <w:shd w:val="clear" w:color="auto" w:fill="EEECE1"/>
          </w:tcPr>
          <w:p w14:paraId="05D532EE" w14:textId="77777777" w:rsidR="004416C9" w:rsidRPr="004F5958" w:rsidRDefault="004416C9" w:rsidP="00DD177D">
            <w:pPr>
              <w:pStyle w:val="PrformatHTML"/>
              <w:shd w:val="clear" w:color="auto" w:fill="FFFFFF"/>
              <w:rPr>
                <w:b/>
                <w:lang w:val="en-GB"/>
              </w:rPr>
            </w:pPr>
            <w:proofErr w:type="spellStart"/>
            <w:r w:rsidRPr="004F5958">
              <w:rPr>
                <w:b/>
                <w:lang w:val="en-GB"/>
              </w:rPr>
              <w:t>Cible</w:t>
            </w:r>
            <w:proofErr w:type="spellEnd"/>
            <w:r w:rsidRPr="004F5958">
              <w:rPr>
                <w:b/>
                <w:lang w:val="en-GB"/>
              </w:rPr>
              <w:t xml:space="preserve"> de fin de </w:t>
            </w:r>
            <w:proofErr w:type="spellStart"/>
            <w:r w:rsidRPr="004F5958">
              <w:rPr>
                <w:b/>
                <w:lang w:val="en-GB"/>
              </w:rPr>
              <w:t>projet</w:t>
            </w:r>
            <w:proofErr w:type="spellEnd"/>
          </w:p>
        </w:tc>
        <w:tc>
          <w:tcPr>
            <w:tcW w:w="1701" w:type="dxa"/>
          </w:tcPr>
          <w:p w14:paraId="5F0F8F34" w14:textId="77777777" w:rsidR="004416C9" w:rsidRPr="004F5958" w:rsidRDefault="004416C9" w:rsidP="00DD177D">
            <w:pPr>
              <w:pStyle w:val="PrformatHTML"/>
              <w:shd w:val="clear" w:color="auto" w:fill="FFFFFF"/>
              <w:rPr>
                <w:b/>
                <w:lang w:val="en-GB"/>
              </w:rPr>
            </w:pPr>
            <w:proofErr w:type="spellStart"/>
            <w:r w:rsidRPr="004F5958">
              <w:rPr>
                <w:b/>
                <w:lang w:val="en-GB"/>
              </w:rPr>
              <w:t>Etapes</w:t>
            </w:r>
            <w:proofErr w:type="spellEnd"/>
            <w:r w:rsidRPr="004F5958">
              <w:rPr>
                <w:b/>
                <w:lang w:val="en-GB"/>
              </w:rPr>
              <w:t xml:space="preserve"> </w:t>
            </w:r>
            <w:proofErr w:type="spellStart"/>
            <w:r w:rsidRPr="004F5958">
              <w:rPr>
                <w:b/>
                <w:lang w:val="en-GB"/>
              </w:rPr>
              <w:t>d'indicateur</w:t>
            </w:r>
            <w:proofErr w:type="spellEnd"/>
            <w:r w:rsidRPr="004F5958">
              <w:rPr>
                <w:b/>
                <w:lang w:val="en-GB"/>
              </w:rPr>
              <w:t>/ milestone</w:t>
            </w:r>
          </w:p>
        </w:tc>
        <w:tc>
          <w:tcPr>
            <w:tcW w:w="4253" w:type="dxa"/>
          </w:tcPr>
          <w:p w14:paraId="72F5A750" w14:textId="77777777" w:rsidR="004416C9" w:rsidRPr="004F5958" w:rsidRDefault="004416C9" w:rsidP="00DD177D">
            <w:pPr>
              <w:pStyle w:val="PrformatHTML"/>
              <w:shd w:val="clear" w:color="auto" w:fill="FFFFFF"/>
              <w:rPr>
                <w:b/>
                <w:lang w:val="en-GB"/>
              </w:rPr>
            </w:pPr>
            <w:proofErr w:type="spellStart"/>
            <w:r w:rsidRPr="004F5958">
              <w:rPr>
                <w:b/>
                <w:lang w:val="en-GB"/>
              </w:rPr>
              <w:t>Progrès</w:t>
            </w:r>
            <w:proofErr w:type="spellEnd"/>
            <w:r w:rsidRPr="004F5958">
              <w:rPr>
                <w:b/>
                <w:lang w:val="en-GB"/>
              </w:rPr>
              <w:t xml:space="preserve"> </w:t>
            </w:r>
            <w:proofErr w:type="spellStart"/>
            <w:r w:rsidRPr="004F5958">
              <w:rPr>
                <w:b/>
                <w:lang w:val="en-GB"/>
              </w:rPr>
              <w:t>actuel</w:t>
            </w:r>
            <w:proofErr w:type="spellEnd"/>
            <w:r w:rsidRPr="004F5958">
              <w:rPr>
                <w:b/>
                <w:lang w:val="en-GB"/>
              </w:rPr>
              <w:t xml:space="preserve"> de </w:t>
            </w:r>
            <w:proofErr w:type="spellStart"/>
            <w:r w:rsidRPr="004F5958">
              <w:rPr>
                <w:b/>
                <w:lang w:val="en-GB"/>
              </w:rPr>
              <w:t>l'indicateur</w:t>
            </w:r>
            <w:proofErr w:type="spellEnd"/>
          </w:p>
        </w:tc>
        <w:tc>
          <w:tcPr>
            <w:tcW w:w="1406" w:type="dxa"/>
          </w:tcPr>
          <w:p w14:paraId="552097B4" w14:textId="77777777" w:rsidR="004416C9" w:rsidRPr="004F5958" w:rsidRDefault="004416C9" w:rsidP="00DD177D">
            <w:pPr>
              <w:pStyle w:val="PrformatHTML"/>
              <w:shd w:val="clear" w:color="auto" w:fill="FFFFFF"/>
              <w:rPr>
                <w:b/>
                <w:lang w:val="en-GB"/>
              </w:rPr>
            </w:pPr>
            <w:r w:rsidRPr="004F5958">
              <w:rPr>
                <w:b/>
                <w:lang w:val="en-GB"/>
              </w:rPr>
              <w:t xml:space="preserve">Raisons pour les retards </w:t>
            </w:r>
            <w:proofErr w:type="spellStart"/>
            <w:r w:rsidRPr="004F5958">
              <w:rPr>
                <w:b/>
                <w:lang w:val="en-GB"/>
              </w:rPr>
              <w:t>ou</w:t>
            </w:r>
            <w:proofErr w:type="spellEnd"/>
            <w:r w:rsidRPr="004F5958">
              <w:rPr>
                <w:b/>
                <w:lang w:val="en-GB"/>
              </w:rPr>
              <w:t xml:space="preserve"> </w:t>
            </w:r>
            <w:proofErr w:type="spellStart"/>
            <w:r w:rsidRPr="004F5958">
              <w:rPr>
                <w:b/>
                <w:lang w:val="en-GB"/>
              </w:rPr>
              <w:t>changements</w:t>
            </w:r>
            <w:proofErr w:type="spellEnd"/>
          </w:p>
        </w:tc>
      </w:tr>
      <w:tr w:rsidR="004F5958" w:rsidRPr="004F5958" w14:paraId="34A3DD00" w14:textId="77777777" w:rsidTr="00DD177D">
        <w:trPr>
          <w:trHeight w:val="548"/>
        </w:trPr>
        <w:tc>
          <w:tcPr>
            <w:tcW w:w="1858" w:type="dxa"/>
            <w:vMerge w:val="restart"/>
          </w:tcPr>
          <w:p w14:paraId="74AB342B" w14:textId="77777777" w:rsidR="004416C9" w:rsidRPr="004F5958" w:rsidRDefault="004416C9" w:rsidP="00DD177D">
            <w:pPr>
              <w:pStyle w:val="PrformatHTML"/>
              <w:shd w:val="clear" w:color="auto" w:fill="FFFFFF"/>
              <w:rPr>
                <w:b/>
                <w:lang w:val="en-GB"/>
              </w:rPr>
            </w:pPr>
            <w:proofErr w:type="spellStart"/>
            <w:r w:rsidRPr="004F5958">
              <w:rPr>
                <w:b/>
                <w:lang w:val="en-GB"/>
              </w:rPr>
              <w:t>Résultat</w:t>
            </w:r>
            <w:proofErr w:type="spellEnd"/>
            <w:r w:rsidRPr="004F5958">
              <w:rPr>
                <w:b/>
                <w:lang w:val="en-GB"/>
              </w:rPr>
              <w:t xml:space="preserve"> 1</w:t>
            </w:r>
          </w:p>
          <w:p w14:paraId="66FD3BE5" w14:textId="77777777" w:rsidR="004416C9" w:rsidRPr="004F5958" w:rsidRDefault="004416C9" w:rsidP="00DD177D">
            <w:pPr>
              <w:pStyle w:val="PrformatHTML"/>
              <w:shd w:val="clear" w:color="auto" w:fill="FFFFFF"/>
              <w:rPr>
                <w:b/>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Le renforcement des actions de réparation communautaire et de justice en faveur des victimes de la crise permet la consolidation et la pérennisation d’un climat favorable à la cohésion sociale et à la réconciliation nationale, pour une paix durable</w:t>
            </w:r>
            <w:r w:rsidRPr="004F5958">
              <w:rPr>
                <w:b/>
                <w:lang w:val="en-GB"/>
              </w:rPr>
              <w:t> </w:t>
            </w:r>
            <w:r w:rsidRPr="004F5958">
              <w:fldChar w:fldCharType="end"/>
            </w:r>
          </w:p>
        </w:tc>
        <w:tc>
          <w:tcPr>
            <w:tcW w:w="2410" w:type="dxa"/>
            <w:shd w:val="clear" w:color="auto" w:fill="EEECE1"/>
          </w:tcPr>
          <w:p w14:paraId="1BEFBE26"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1.1</w:t>
            </w:r>
          </w:p>
          <w:p w14:paraId="575E783E"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Taux de satisfaction des victimes (hommes et femmes y compris les jeunes) dans les zones pilotes de mise en œuvre des projets de réparation communautaire.</w:t>
            </w:r>
            <w:r w:rsidRPr="004F5958">
              <w:rPr>
                <w:b/>
                <w:lang w:val="en-GB"/>
              </w:rPr>
              <w:t> </w:t>
            </w:r>
            <w:r w:rsidRPr="004F5958">
              <w:fldChar w:fldCharType="end"/>
            </w:r>
          </w:p>
        </w:tc>
        <w:tc>
          <w:tcPr>
            <w:tcW w:w="1276" w:type="dxa"/>
            <w:shd w:val="clear" w:color="auto" w:fill="EEECE1"/>
          </w:tcPr>
          <w:p w14:paraId="5E37C474"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18,84</w:t>
            </w:r>
            <w:r w:rsidRPr="004F5958">
              <w:rPr>
                <w:b/>
                <w:lang w:val="en-GB"/>
              </w:rPr>
              <w:t> </w:t>
            </w:r>
            <w:r w:rsidRPr="004F5958">
              <w:fldChar w:fldCharType="end"/>
            </w:r>
          </w:p>
        </w:tc>
        <w:tc>
          <w:tcPr>
            <w:tcW w:w="2126" w:type="dxa"/>
            <w:shd w:val="clear" w:color="auto" w:fill="EEECE1"/>
          </w:tcPr>
          <w:p w14:paraId="1C787F7E" w14:textId="77777777" w:rsidR="004416C9" w:rsidRPr="004F5958" w:rsidRDefault="004416C9" w:rsidP="00DD177D">
            <w:pPr>
              <w:pStyle w:val="PrformatHTML"/>
              <w:shd w:val="clear" w:color="auto" w:fill="FFFFFF"/>
              <w:rPr>
                <w:lang w:val="en-GB"/>
              </w:rPr>
            </w:pPr>
            <w:r w:rsidRPr="004F5958">
              <w:rPr>
                <w:lang w:val="en-GB"/>
              </w:rPr>
              <w:t xml:space="preserve">80% des </w:t>
            </w:r>
            <w:proofErr w:type="spellStart"/>
            <w:r w:rsidRPr="004F5958">
              <w:rPr>
                <w:lang w:val="en-GB"/>
              </w:rPr>
              <w:t>victimes</w:t>
            </w:r>
            <w:proofErr w:type="spellEnd"/>
            <w:r w:rsidRPr="004F5958">
              <w:rPr>
                <w:lang w:val="en-GB"/>
              </w:rPr>
              <w:t xml:space="preserve"> (hommes et femmes y </w:t>
            </w:r>
            <w:proofErr w:type="spellStart"/>
            <w:r w:rsidRPr="004F5958">
              <w:rPr>
                <w:lang w:val="en-GB"/>
              </w:rPr>
              <w:t>compris</w:t>
            </w:r>
            <w:proofErr w:type="spellEnd"/>
            <w:r w:rsidRPr="004F5958">
              <w:rPr>
                <w:lang w:val="en-GB"/>
              </w:rPr>
              <w:t xml:space="preserve"> les </w:t>
            </w:r>
            <w:proofErr w:type="spellStart"/>
            <w:r w:rsidRPr="004F5958">
              <w:rPr>
                <w:lang w:val="en-GB"/>
              </w:rPr>
              <w:t>jeunes</w:t>
            </w:r>
            <w:proofErr w:type="spellEnd"/>
            <w:r w:rsidRPr="004F5958">
              <w:rPr>
                <w:lang w:val="en-GB"/>
              </w:rPr>
              <w:t xml:space="preserve">) dans les zones </w:t>
            </w:r>
            <w:proofErr w:type="spellStart"/>
            <w:r w:rsidRPr="004F5958">
              <w:rPr>
                <w:lang w:val="en-GB"/>
              </w:rPr>
              <w:t>pilotes</w:t>
            </w:r>
            <w:proofErr w:type="spellEnd"/>
            <w:r w:rsidRPr="004F5958">
              <w:rPr>
                <w:lang w:val="en-GB"/>
              </w:rPr>
              <w:t xml:space="preserve"> se </w:t>
            </w:r>
            <w:proofErr w:type="spellStart"/>
            <w:r w:rsidRPr="004F5958">
              <w:rPr>
                <w:lang w:val="en-GB"/>
              </w:rPr>
              <w:t>déclarent</w:t>
            </w:r>
            <w:proofErr w:type="spellEnd"/>
            <w:r w:rsidRPr="004F5958">
              <w:rPr>
                <w:lang w:val="en-GB"/>
              </w:rPr>
              <w:t xml:space="preserve"> </w:t>
            </w:r>
            <w:proofErr w:type="spellStart"/>
            <w:r w:rsidRPr="004F5958">
              <w:rPr>
                <w:lang w:val="en-GB"/>
              </w:rPr>
              <w:t>satisfaites</w:t>
            </w:r>
            <w:proofErr w:type="spellEnd"/>
            <w:r w:rsidRPr="004F5958">
              <w:rPr>
                <w:lang w:val="en-GB"/>
              </w:rPr>
              <w:t xml:space="preserve"> des </w:t>
            </w:r>
            <w:proofErr w:type="spellStart"/>
            <w:r w:rsidRPr="004F5958">
              <w:rPr>
                <w:lang w:val="en-GB"/>
              </w:rPr>
              <w:t>projets</w:t>
            </w:r>
            <w:proofErr w:type="spellEnd"/>
            <w:r w:rsidRPr="004F5958">
              <w:rPr>
                <w:lang w:val="en-GB"/>
              </w:rPr>
              <w:t xml:space="preserve"> de </w:t>
            </w:r>
            <w:proofErr w:type="spellStart"/>
            <w:r w:rsidRPr="004F5958">
              <w:rPr>
                <w:lang w:val="en-GB"/>
              </w:rPr>
              <w:t>réparation</w:t>
            </w:r>
            <w:proofErr w:type="spellEnd"/>
            <w:r w:rsidRPr="004F5958">
              <w:rPr>
                <w:lang w:val="en-GB"/>
              </w:rPr>
              <w:t xml:space="preserve"> </w:t>
            </w:r>
            <w:proofErr w:type="spellStart"/>
            <w:r w:rsidRPr="004F5958">
              <w:rPr>
                <w:lang w:val="en-GB"/>
              </w:rPr>
              <w:t>communautaire</w:t>
            </w:r>
            <w:proofErr w:type="spellEnd"/>
            <w:r w:rsidRPr="004F5958">
              <w:rPr>
                <w:lang w:val="en-GB"/>
              </w:rPr>
              <w:t>.</w:t>
            </w:r>
          </w:p>
        </w:tc>
        <w:tc>
          <w:tcPr>
            <w:tcW w:w="1701" w:type="dxa"/>
          </w:tcPr>
          <w:p w14:paraId="339534AD" w14:textId="022CA999" w:rsidR="004416C9" w:rsidRPr="004F5958" w:rsidRDefault="00CB1514" w:rsidP="00DD177D">
            <w:pPr>
              <w:pStyle w:val="PrformatHTML"/>
              <w:shd w:val="clear" w:color="auto" w:fill="FFFFFF"/>
              <w:rPr>
                <w:b/>
                <w:lang w:val="en-GB"/>
              </w:rPr>
            </w:pPr>
            <w:r w:rsidRPr="004F5958">
              <w:rPr>
                <w:b/>
                <w:lang w:val="en-GB"/>
              </w:rPr>
              <w:t>-2020: 78%</w:t>
            </w:r>
          </w:p>
          <w:p w14:paraId="55BFC715" w14:textId="33B66EC3" w:rsidR="00CB1514" w:rsidRPr="004F5958" w:rsidRDefault="00CB1514" w:rsidP="00DD177D">
            <w:pPr>
              <w:pStyle w:val="PrformatHTML"/>
              <w:shd w:val="clear" w:color="auto" w:fill="FFFFFF"/>
              <w:rPr>
                <w:lang w:val="en-GB"/>
              </w:rPr>
            </w:pPr>
            <w:r w:rsidRPr="004F5958">
              <w:rPr>
                <w:b/>
                <w:lang w:val="en-GB"/>
              </w:rPr>
              <w:t>-2021: 78%</w:t>
            </w:r>
          </w:p>
        </w:tc>
        <w:tc>
          <w:tcPr>
            <w:tcW w:w="4253" w:type="dxa"/>
          </w:tcPr>
          <w:p w14:paraId="13CBF271" w14:textId="78C3FC8A" w:rsidR="004416C9" w:rsidRPr="004F5958" w:rsidRDefault="00A13FE9" w:rsidP="00DD177D">
            <w:pPr>
              <w:pStyle w:val="PrformatHTML"/>
              <w:shd w:val="clear" w:color="auto" w:fill="FFFFFF"/>
              <w:rPr>
                <w:b/>
                <w:lang w:val="en-GB"/>
              </w:rPr>
            </w:pPr>
            <w:r w:rsidRPr="004F5958">
              <w:rPr>
                <w:b/>
                <w:lang w:val="en-GB"/>
              </w:rPr>
              <w:t xml:space="preserve">La </w:t>
            </w:r>
            <w:proofErr w:type="spellStart"/>
            <w:r w:rsidRPr="004F5958">
              <w:rPr>
                <w:b/>
                <w:lang w:val="en-GB"/>
              </w:rPr>
              <w:t>stratégie</w:t>
            </w:r>
            <w:proofErr w:type="spellEnd"/>
            <w:r w:rsidRPr="004F5958">
              <w:rPr>
                <w:b/>
                <w:lang w:val="en-GB"/>
              </w:rPr>
              <w:t xml:space="preserve"> </w:t>
            </w:r>
            <w:proofErr w:type="spellStart"/>
            <w:r w:rsidRPr="004F5958">
              <w:rPr>
                <w:b/>
                <w:lang w:val="en-GB"/>
              </w:rPr>
              <w:t>nationale</w:t>
            </w:r>
            <w:proofErr w:type="spellEnd"/>
            <w:r w:rsidRPr="004F5958">
              <w:rPr>
                <w:b/>
                <w:lang w:val="en-GB"/>
              </w:rPr>
              <w:t xml:space="preserve"> de reconciliation et de cohesion </w:t>
            </w:r>
            <w:proofErr w:type="spellStart"/>
            <w:r w:rsidRPr="004F5958">
              <w:rPr>
                <w:b/>
                <w:lang w:val="en-GB"/>
              </w:rPr>
              <w:t>sociale</w:t>
            </w:r>
            <w:proofErr w:type="spellEnd"/>
            <w:r w:rsidRPr="004F5958">
              <w:rPr>
                <w:b/>
                <w:lang w:val="en-GB"/>
              </w:rPr>
              <w:t xml:space="preserve"> et son plan </w:t>
            </w:r>
            <w:proofErr w:type="spellStart"/>
            <w:r w:rsidRPr="004F5958">
              <w:rPr>
                <w:b/>
                <w:lang w:val="en-GB"/>
              </w:rPr>
              <w:t>sont</w:t>
            </w:r>
            <w:proofErr w:type="spellEnd"/>
            <w:r w:rsidRPr="004F5958">
              <w:rPr>
                <w:b/>
                <w:lang w:val="en-GB"/>
              </w:rPr>
              <w:t xml:space="preserve"> </w:t>
            </w:r>
            <w:proofErr w:type="spellStart"/>
            <w:r w:rsidRPr="004F5958">
              <w:rPr>
                <w:b/>
                <w:lang w:val="en-GB"/>
              </w:rPr>
              <w:t>disponibles</w:t>
            </w:r>
            <w:proofErr w:type="spellEnd"/>
            <w:r w:rsidRPr="004F5958">
              <w:rPr>
                <w:b/>
                <w:lang w:val="en-GB"/>
              </w:rPr>
              <w:t xml:space="preserve"> et mis </w:t>
            </w:r>
            <w:proofErr w:type="spellStart"/>
            <w:r w:rsidRPr="004F5958">
              <w:rPr>
                <w:b/>
                <w:lang w:val="en-GB"/>
              </w:rPr>
              <w:t>en</w:t>
            </w:r>
            <w:proofErr w:type="spellEnd"/>
            <w:r w:rsidRPr="004F5958">
              <w:rPr>
                <w:b/>
                <w:lang w:val="en-GB"/>
              </w:rPr>
              <w:t xml:space="preserve"> oeuvre. 16 </w:t>
            </w:r>
            <w:proofErr w:type="spellStart"/>
            <w:r w:rsidRPr="004F5958">
              <w:rPr>
                <w:b/>
                <w:lang w:val="en-GB"/>
              </w:rPr>
              <w:t>projets</w:t>
            </w:r>
            <w:proofErr w:type="spellEnd"/>
            <w:r w:rsidRPr="004F5958">
              <w:rPr>
                <w:b/>
                <w:lang w:val="en-GB"/>
              </w:rPr>
              <w:t xml:space="preserve"> de reparation </w:t>
            </w:r>
            <w:proofErr w:type="spellStart"/>
            <w:r w:rsidRPr="004F5958">
              <w:rPr>
                <w:b/>
                <w:lang w:val="en-GB"/>
              </w:rPr>
              <w:t>communautaires</w:t>
            </w:r>
            <w:proofErr w:type="spellEnd"/>
            <w:r w:rsidRPr="004F5958">
              <w:rPr>
                <w:b/>
                <w:lang w:val="en-GB"/>
              </w:rPr>
              <w:t xml:space="preserve"> </w:t>
            </w:r>
            <w:proofErr w:type="spellStart"/>
            <w:r w:rsidRPr="004F5958">
              <w:rPr>
                <w:b/>
                <w:lang w:val="en-GB"/>
              </w:rPr>
              <w:t>ont</w:t>
            </w:r>
            <w:proofErr w:type="spellEnd"/>
            <w:r w:rsidRPr="004F5958">
              <w:rPr>
                <w:b/>
                <w:lang w:val="en-GB"/>
              </w:rPr>
              <w:t xml:space="preserve"> été </w:t>
            </w:r>
            <w:proofErr w:type="spellStart"/>
            <w:r w:rsidRPr="004F5958">
              <w:rPr>
                <w:b/>
                <w:lang w:val="en-GB"/>
              </w:rPr>
              <w:t>réalisés</w:t>
            </w:r>
            <w:proofErr w:type="spellEnd"/>
            <w:r w:rsidRPr="004F5958">
              <w:rPr>
                <w:b/>
                <w:lang w:val="en-GB"/>
              </w:rPr>
              <w:t xml:space="preserve"> et 5 </w:t>
            </w:r>
            <w:proofErr w:type="spellStart"/>
            <w:r w:rsidRPr="004F5958">
              <w:rPr>
                <w:b/>
                <w:lang w:val="en-GB"/>
              </w:rPr>
              <w:t>infrasctructure</w:t>
            </w:r>
            <w:r w:rsidR="00CB1514" w:rsidRPr="004F5958">
              <w:rPr>
                <w:b/>
                <w:lang w:val="en-GB"/>
              </w:rPr>
              <w:t>s</w:t>
            </w:r>
            <w:proofErr w:type="spellEnd"/>
            <w:r w:rsidRPr="004F5958">
              <w:rPr>
                <w:b/>
                <w:lang w:val="en-GB"/>
              </w:rPr>
              <w:t xml:space="preserve"> socio </w:t>
            </w:r>
            <w:proofErr w:type="spellStart"/>
            <w:r w:rsidRPr="004F5958">
              <w:rPr>
                <w:b/>
                <w:lang w:val="en-GB"/>
              </w:rPr>
              <w:t>culturelles</w:t>
            </w:r>
            <w:proofErr w:type="spellEnd"/>
            <w:r w:rsidRPr="004F5958">
              <w:rPr>
                <w:b/>
                <w:lang w:val="en-GB"/>
              </w:rPr>
              <w:t xml:space="preserve">, </w:t>
            </w:r>
            <w:proofErr w:type="spellStart"/>
            <w:r w:rsidRPr="004F5958">
              <w:rPr>
                <w:b/>
                <w:lang w:val="en-GB"/>
              </w:rPr>
              <w:t>économiques</w:t>
            </w:r>
            <w:proofErr w:type="spellEnd"/>
            <w:r w:rsidRPr="004F5958">
              <w:rPr>
                <w:b/>
                <w:lang w:val="en-GB"/>
              </w:rPr>
              <w:t xml:space="preserve"> et </w:t>
            </w:r>
            <w:proofErr w:type="spellStart"/>
            <w:r w:rsidRPr="004F5958">
              <w:rPr>
                <w:b/>
                <w:lang w:val="en-GB"/>
              </w:rPr>
              <w:t>sanitaires</w:t>
            </w:r>
            <w:proofErr w:type="spellEnd"/>
            <w:r w:rsidRPr="004F5958">
              <w:rPr>
                <w:b/>
                <w:lang w:val="en-GB"/>
              </w:rPr>
              <w:t xml:space="preserve"> </w:t>
            </w:r>
            <w:proofErr w:type="spellStart"/>
            <w:r w:rsidRPr="004F5958">
              <w:rPr>
                <w:b/>
                <w:lang w:val="en-GB"/>
              </w:rPr>
              <w:t>ont</w:t>
            </w:r>
            <w:proofErr w:type="spellEnd"/>
            <w:r w:rsidRPr="004F5958">
              <w:rPr>
                <w:b/>
                <w:lang w:val="en-GB"/>
              </w:rPr>
              <w:t xml:space="preserve"> été </w:t>
            </w:r>
            <w:proofErr w:type="spellStart"/>
            <w:r w:rsidRPr="004F5958">
              <w:rPr>
                <w:b/>
                <w:lang w:val="en-GB"/>
              </w:rPr>
              <w:t>construites</w:t>
            </w:r>
            <w:proofErr w:type="spellEnd"/>
            <w:r w:rsidRPr="004F5958">
              <w:rPr>
                <w:b/>
                <w:lang w:val="en-GB"/>
              </w:rPr>
              <w:t>.</w:t>
            </w:r>
          </w:p>
          <w:p w14:paraId="39456751" w14:textId="4D816738" w:rsidR="00A13FE9" w:rsidRPr="004F5958" w:rsidRDefault="00A13FE9" w:rsidP="00DD177D">
            <w:pPr>
              <w:pStyle w:val="PrformatHTML"/>
              <w:shd w:val="clear" w:color="auto" w:fill="FFFFFF"/>
              <w:rPr>
                <w:lang w:val="en-GB"/>
              </w:rPr>
            </w:pPr>
            <w:r w:rsidRPr="004F5958">
              <w:rPr>
                <w:b/>
                <w:lang w:val="en-GB"/>
              </w:rPr>
              <w:t xml:space="preserve">La situation sanitaire </w:t>
            </w:r>
            <w:proofErr w:type="spellStart"/>
            <w:r w:rsidRPr="004F5958">
              <w:rPr>
                <w:b/>
                <w:lang w:val="en-GB"/>
              </w:rPr>
              <w:t>n’a</w:t>
            </w:r>
            <w:proofErr w:type="spellEnd"/>
            <w:r w:rsidRPr="004F5958">
              <w:rPr>
                <w:b/>
                <w:lang w:val="en-GB"/>
              </w:rPr>
              <w:t xml:space="preserve"> pas </w:t>
            </w:r>
            <w:proofErr w:type="spellStart"/>
            <w:r w:rsidRPr="004F5958">
              <w:rPr>
                <w:b/>
                <w:lang w:val="en-GB"/>
              </w:rPr>
              <w:t>permis</w:t>
            </w:r>
            <w:proofErr w:type="spellEnd"/>
            <w:r w:rsidRPr="004F5958">
              <w:rPr>
                <w:b/>
                <w:lang w:val="en-GB"/>
              </w:rPr>
              <w:t xml:space="preserve"> de </w:t>
            </w:r>
            <w:proofErr w:type="spellStart"/>
            <w:r w:rsidRPr="004F5958">
              <w:rPr>
                <w:b/>
                <w:lang w:val="en-GB"/>
              </w:rPr>
              <w:t>mener</w:t>
            </w:r>
            <w:proofErr w:type="spellEnd"/>
            <w:r w:rsidRPr="004F5958">
              <w:rPr>
                <w:b/>
                <w:lang w:val="en-GB"/>
              </w:rPr>
              <w:t xml:space="preserve"> </w:t>
            </w:r>
            <w:proofErr w:type="spellStart"/>
            <w:r w:rsidRPr="004F5958">
              <w:rPr>
                <w:b/>
                <w:lang w:val="en-GB"/>
              </w:rPr>
              <w:t>une</w:t>
            </w:r>
            <w:proofErr w:type="spellEnd"/>
            <w:r w:rsidRPr="004F5958">
              <w:rPr>
                <w:b/>
                <w:lang w:val="en-GB"/>
              </w:rPr>
              <w:t xml:space="preserve"> </w:t>
            </w:r>
            <w:proofErr w:type="spellStart"/>
            <w:r w:rsidRPr="004F5958">
              <w:rPr>
                <w:b/>
                <w:lang w:val="en-GB"/>
              </w:rPr>
              <w:t>enquête</w:t>
            </w:r>
            <w:proofErr w:type="spellEnd"/>
            <w:r w:rsidRPr="004F5958">
              <w:rPr>
                <w:b/>
                <w:lang w:val="en-GB"/>
              </w:rPr>
              <w:t xml:space="preserve"> de perception </w:t>
            </w:r>
            <w:proofErr w:type="spellStart"/>
            <w:r w:rsidRPr="004F5958">
              <w:rPr>
                <w:b/>
                <w:lang w:val="en-GB"/>
              </w:rPr>
              <w:t>auprès</w:t>
            </w:r>
            <w:proofErr w:type="spellEnd"/>
            <w:r w:rsidRPr="004F5958">
              <w:rPr>
                <w:b/>
                <w:lang w:val="en-GB"/>
              </w:rPr>
              <w:t xml:space="preserve"> des </w:t>
            </w:r>
            <w:proofErr w:type="spellStart"/>
            <w:r w:rsidRPr="004F5958">
              <w:rPr>
                <w:b/>
                <w:lang w:val="en-GB"/>
              </w:rPr>
              <w:t>communautés</w:t>
            </w:r>
            <w:proofErr w:type="spellEnd"/>
            <w:r w:rsidRPr="004F5958">
              <w:rPr>
                <w:b/>
                <w:lang w:val="en-GB"/>
              </w:rPr>
              <w:t xml:space="preserve"> </w:t>
            </w:r>
            <w:proofErr w:type="spellStart"/>
            <w:proofErr w:type="gramStart"/>
            <w:r w:rsidRPr="004F5958">
              <w:rPr>
                <w:b/>
                <w:lang w:val="en-GB"/>
              </w:rPr>
              <w:t>bénéficires.</w:t>
            </w:r>
            <w:r w:rsidR="00CB1514" w:rsidRPr="004F5958">
              <w:rPr>
                <w:b/>
                <w:lang w:val="en-GB"/>
              </w:rPr>
              <w:t>Cependant</w:t>
            </w:r>
            <w:proofErr w:type="spellEnd"/>
            <w:proofErr w:type="gramEnd"/>
            <w:r w:rsidR="00CB1514" w:rsidRPr="004F5958">
              <w:rPr>
                <w:b/>
                <w:lang w:val="en-GB"/>
              </w:rPr>
              <w:t>,</w:t>
            </w:r>
            <w:r w:rsidR="00CB1514" w:rsidRPr="004F5958">
              <w:rPr>
                <w:rFonts w:ascii="Times New Roman" w:hAnsi="Times New Roman" w:cs="Times New Roman"/>
                <w:bCs/>
                <w:iCs/>
                <w:sz w:val="22"/>
                <w:szCs w:val="22"/>
                <w:lang w:val="fr-FR" w:eastAsia="en-GB"/>
              </w:rPr>
              <w:t xml:space="preserve"> </w:t>
            </w:r>
            <w:r w:rsidR="00CB1514" w:rsidRPr="004F5958">
              <w:rPr>
                <w:b/>
                <w:bCs/>
                <w:iCs/>
                <w:lang w:val="fr-FR"/>
              </w:rPr>
              <w:t xml:space="preserve">78% des personnes interrogées pensent que la mise en œuvre de la SNRCS et du </w:t>
            </w:r>
            <w:proofErr w:type="spellStart"/>
            <w:r w:rsidR="00CB1514" w:rsidRPr="004F5958">
              <w:rPr>
                <w:b/>
                <w:bCs/>
                <w:iCs/>
                <w:lang w:val="fr-FR"/>
              </w:rPr>
              <w:t>PNRCo</w:t>
            </w:r>
            <w:proofErr w:type="spellEnd"/>
            <w:r w:rsidR="00CB1514" w:rsidRPr="004F5958">
              <w:rPr>
                <w:b/>
                <w:bCs/>
                <w:iCs/>
                <w:lang w:val="fr-FR"/>
              </w:rPr>
              <w:t xml:space="preserve"> ont apporté des changements positifs dans la vie des populations </w:t>
            </w:r>
          </w:p>
        </w:tc>
        <w:tc>
          <w:tcPr>
            <w:tcW w:w="1406" w:type="dxa"/>
          </w:tcPr>
          <w:p w14:paraId="36995D7A"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t> </w:t>
            </w:r>
            <w:r w:rsidRPr="004F5958">
              <w:fldChar w:fldCharType="end"/>
            </w:r>
          </w:p>
        </w:tc>
      </w:tr>
      <w:tr w:rsidR="004F5958" w:rsidRPr="004F5958" w14:paraId="5A51DA1F" w14:textId="77777777" w:rsidTr="00DD177D">
        <w:trPr>
          <w:trHeight w:val="548"/>
        </w:trPr>
        <w:tc>
          <w:tcPr>
            <w:tcW w:w="1858" w:type="dxa"/>
            <w:vMerge/>
          </w:tcPr>
          <w:p w14:paraId="0D620E03"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05C047BC"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1.2</w:t>
            </w:r>
          </w:p>
          <w:p w14:paraId="3C8CA514"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Pourcentage de réduction du nombre de dossiers en souffrance devant les organes de poursuites des violences post électorales</w:t>
            </w:r>
            <w:r w:rsidRPr="004F5958">
              <w:rPr>
                <w:b/>
                <w:lang w:val="en-GB"/>
              </w:rPr>
              <w:t> </w:t>
            </w:r>
            <w:r w:rsidRPr="004F5958">
              <w:fldChar w:fldCharType="end"/>
            </w:r>
          </w:p>
        </w:tc>
        <w:tc>
          <w:tcPr>
            <w:tcW w:w="1276" w:type="dxa"/>
            <w:shd w:val="clear" w:color="auto" w:fill="EEECE1"/>
          </w:tcPr>
          <w:p w14:paraId="7AA5C96D"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866 dossiers criminels en instance</w:t>
            </w:r>
            <w:r w:rsidRPr="004F5958">
              <w:rPr>
                <w:b/>
                <w:lang w:val="en-GB"/>
              </w:rPr>
              <w:t> </w:t>
            </w:r>
            <w:r w:rsidRPr="004F5958">
              <w:fldChar w:fldCharType="end"/>
            </w:r>
          </w:p>
        </w:tc>
        <w:tc>
          <w:tcPr>
            <w:tcW w:w="2126" w:type="dxa"/>
            <w:shd w:val="clear" w:color="auto" w:fill="EEECE1"/>
          </w:tcPr>
          <w:p w14:paraId="452D60A5" w14:textId="77777777" w:rsidR="004416C9" w:rsidRPr="004F5958" w:rsidRDefault="004416C9" w:rsidP="00DD177D">
            <w:pPr>
              <w:pStyle w:val="PrformatHTML"/>
              <w:shd w:val="clear" w:color="auto" w:fill="FFFFFF"/>
              <w:rPr>
                <w:lang w:val="en-GB"/>
              </w:rPr>
            </w:pPr>
            <w:r w:rsidRPr="004F5958">
              <w:rPr>
                <w:lang w:val="en-GB"/>
              </w:rPr>
              <w:t xml:space="preserve">Au </w:t>
            </w:r>
            <w:proofErr w:type="spellStart"/>
            <w:r w:rsidRPr="004F5958">
              <w:rPr>
                <w:lang w:val="en-GB"/>
              </w:rPr>
              <w:t>moins</w:t>
            </w:r>
            <w:proofErr w:type="spellEnd"/>
            <w:r w:rsidRPr="004F5958">
              <w:rPr>
                <w:lang w:val="en-GB"/>
              </w:rPr>
              <w:t xml:space="preserve"> 20 % de </w:t>
            </w:r>
            <w:proofErr w:type="spellStart"/>
            <w:r w:rsidRPr="004F5958">
              <w:rPr>
                <w:lang w:val="en-GB"/>
              </w:rPr>
              <w:t>réduction</w:t>
            </w:r>
            <w:proofErr w:type="spellEnd"/>
          </w:p>
        </w:tc>
        <w:tc>
          <w:tcPr>
            <w:tcW w:w="1701" w:type="dxa"/>
          </w:tcPr>
          <w:p w14:paraId="78E17221" w14:textId="231113F7" w:rsidR="004416C9" w:rsidRPr="004F5958" w:rsidRDefault="008A54FA" w:rsidP="00DD177D">
            <w:pPr>
              <w:pStyle w:val="PrformatHTML"/>
              <w:shd w:val="clear" w:color="auto" w:fill="FFFFFF"/>
              <w:rPr>
                <w:lang w:val="en-GB"/>
              </w:rPr>
            </w:pPr>
            <w:r w:rsidRPr="004F5958">
              <w:rPr>
                <w:b/>
                <w:lang w:val="en-GB"/>
              </w:rPr>
              <w:t>2020 et 2021:562 affaires</w:t>
            </w:r>
            <w:r w:rsidR="00A13FE9" w:rsidRPr="004F5958">
              <w:rPr>
                <w:b/>
                <w:lang w:val="en-GB"/>
              </w:rPr>
              <w:t xml:space="preserve"> </w:t>
            </w:r>
            <w:proofErr w:type="spellStart"/>
            <w:r w:rsidR="00A13FE9" w:rsidRPr="004F5958">
              <w:rPr>
                <w:b/>
                <w:lang w:val="en-GB"/>
              </w:rPr>
              <w:t>criminelles</w:t>
            </w:r>
            <w:proofErr w:type="spellEnd"/>
            <w:r w:rsidR="00AD4B96" w:rsidRPr="004F5958">
              <w:rPr>
                <w:b/>
                <w:lang w:val="en-GB"/>
              </w:rPr>
              <w:t xml:space="preserve"> </w:t>
            </w:r>
            <w:proofErr w:type="spellStart"/>
            <w:r w:rsidR="00AD4B96" w:rsidRPr="004F5958">
              <w:rPr>
                <w:b/>
                <w:lang w:val="en-GB"/>
              </w:rPr>
              <w:t>incluant</w:t>
            </w:r>
            <w:proofErr w:type="spellEnd"/>
            <w:r w:rsidR="00AD4B96" w:rsidRPr="004F5958">
              <w:rPr>
                <w:b/>
                <w:lang w:val="en-GB"/>
              </w:rPr>
              <w:t xml:space="preserve"> les </w:t>
            </w:r>
            <w:proofErr w:type="spellStart"/>
            <w:r w:rsidR="00AD4B96" w:rsidRPr="004F5958">
              <w:rPr>
                <w:b/>
                <w:lang w:val="en-GB"/>
              </w:rPr>
              <w:t>celles</w:t>
            </w:r>
            <w:proofErr w:type="spellEnd"/>
            <w:r w:rsidR="00AD4B96" w:rsidRPr="004F5958">
              <w:rPr>
                <w:b/>
                <w:lang w:val="en-GB"/>
              </w:rPr>
              <w:t xml:space="preserve"> </w:t>
            </w:r>
            <w:proofErr w:type="spellStart"/>
            <w:r w:rsidR="00AD4B96" w:rsidRPr="004F5958">
              <w:rPr>
                <w:b/>
                <w:lang w:val="en-GB"/>
              </w:rPr>
              <w:t>liées</w:t>
            </w:r>
            <w:proofErr w:type="spellEnd"/>
            <w:r w:rsidR="00AD4B96" w:rsidRPr="004F5958">
              <w:rPr>
                <w:b/>
                <w:lang w:val="en-GB"/>
              </w:rPr>
              <w:t xml:space="preserve"> aux </w:t>
            </w:r>
            <w:proofErr w:type="spellStart"/>
            <w:proofErr w:type="gramStart"/>
            <w:r w:rsidR="00AD4B96" w:rsidRPr="004F5958">
              <w:rPr>
                <w:b/>
                <w:lang w:val="en-GB"/>
              </w:rPr>
              <w:t>conflits</w:t>
            </w:r>
            <w:proofErr w:type="spellEnd"/>
            <w:r w:rsidR="00AD4B96" w:rsidRPr="004F5958">
              <w:rPr>
                <w:b/>
                <w:lang w:val="en-GB"/>
              </w:rPr>
              <w:t xml:space="preserve"> </w:t>
            </w:r>
            <w:r w:rsidRPr="004F5958">
              <w:rPr>
                <w:b/>
                <w:lang w:val="en-GB"/>
              </w:rPr>
              <w:t xml:space="preserve"> </w:t>
            </w:r>
            <w:r w:rsidR="00AD4B96" w:rsidRPr="004F5958">
              <w:rPr>
                <w:b/>
                <w:lang w:val="en-GB"/>
              </w:rPr>
              <w:t>post</w:t>
            </w:r>
            <w:proofErr w:type="gramEnd"/>
            <w:r w:rsidR="00AD4B96" w:rsidRPr="004F5958">
              <w:rPr>
                <w:b/>
                <w:lang w:val="en-GB"/>
              </w:rPr>
              <w:t xml:space="preserve"> </w:t>
            </w:r>
            <w:proofErr w:type="spellStart"/>
            <w:r w:rsidR="00AD4B96" w:rsidRPr="004F5958">
              <w:rPr>
                <w:b/>
                <w:lang w:val="en-GB"/>
              </w:rPr>
              <w:t>électoraux</w:t>
            </w:r>
            <w:proofErr w:type="spellEnd"/>
            <w:r w:rsidR="00AD4B96" w:rsidRPr="004F5958">
              <w:rPr>
                <w:b/>
                <w:lang w:val="en-GB"/>
              </w:rPr>
              <w:t xml:space="preserve"> et </w:t>
            </w:r>
            <w:proofErr w:type="spellStart"/>
            <w:r w:rsidR="00AD4B96" w:rsidRPr="004F5958">
              <w:rPr>
                <w:b/>
                <w:lang w:val="en-GB"/>
              </w:rPr>
              <w:t>celles</w:t>
            </w:r>
            <w:proofErr w:type="spellEnd"/>
            <w:r w:rsidR="00AD4B96" w:rsidRPr="004F5958">
              <w:rPr>
                <w:b/>
                <w:lang w:val="en-GB"/>
              </w:rPr>
              <w:t xml:space="preserve"> </w:t>
            </w:r>
            <w:r w:rsidRPr="004F5958">
              <w:rPr>
                <w:b/>
                <w:lang w:val="en-GB"/>
              </w:rPr>
              <w:t xml:space="preserve"> </w:t>
            </w:r>
            <w:proofErr w:type="spellStart"/>
            <w:r w:rsidRPr="004F5958">
              <w:rPr>
                <w:b/>
                <w:lang w:val="en-GB"/>
              </w:rPr>
              <w:t>liées</w:t>
            </w:r>
            <w:proofErr w:type="spellEnd"/>
            <w:r w:rsidRPr="004F5958">
              <w:rPr>
                <w:b/>
                <w:lang w:val="en-GB"/>
              </w:rPr>
              <w:t xml:space="preserve"> aux VBG</w:t>
            </w:r>
            <w:r w:rsidR="00AD4B96" w:rsidRPr="004F5958">
              <w:rPr>
                <w:b/>
                <w:lang w:val="en-GB"/>
              </w:rPr>
              <w:t xml:space="preserve"> (41,70%)</w:t>
            </w:r>
          </w:p>
        </w:tc>
        <w:tc>
          <w:tcPr>
            <w:tcW w:w="4253" w:type="dxa"/>
          </w:tcPr>
          <w:p w14:paraId="7BE4542C" w14:textId="54385437" w:rsidR="0055382B" w:rsidRPr="004F5958" w:rsidRDefault="0055382B" w:rsidP="00DD177D">
            <w:pPr>
              <w:pStyle w:val="PrformatHTML"/>
              <w:shd w:val="clear" w:color="auto" w:fill="FFFFFF"/>
              <w:rPr>
                <w:lang w:val="en-GB"/>
              </w:rPr>
            </w:pPr>
            <w:r w:rsidRPr="004F5958">
              <w:rPr>
                <w:lang w:val="en-GB"/>
              </w:rPr>
              <w:t>L</w:t>
            </w:r>
            <w:r w:rsidRPr="004F5958">
              <w:rPr>
                <w:lang w:val="fr-CI"/>
              </w:rPr>
              <w:t>e dialogue est renoué entre le gouvernement, les Avocats, les magistrats et les commissaires de justice sur les modalités pratiques de relance de traitement des dossiers criminels.</w:t>
            </w:r>
            <w:r w:rsidRPr="004F5958">
              <w:rPr>
                <w:lang w:val="fr-FR"/>
              </w:rPr>
              <w:t xml:space="preserve"> Les acteurs ont convenu que des solutions structurelles seront prises :  l'amélioration du cadre législatif tenant compte du sous-effectif des magistrats et des avocats, l'adoption de la loi sur l'assistance judiciaire et l’aide juridictionnelle, la création de fonds dédiés à l'assistance judiciaire comme le prévoient les dispositions de l'Union économique et monétaire ouest-africaine (UEMOA).</w:t>
            </w:r>
          </w:p>
        </w:tc>
        <w:tc>
          <w:tcPr>
            <w:tcW w:w="1406" w:type="dxa"/>
          </w:tcPr>
          <w:p w14:paraId="017E0351"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t> </w:t>
            </w:r>
            <w:r w:rsidRPr="004F5958">
              <w:fldChar w:fldCharType="end"/>
            </w:r>
          </w:p>
        </w:tc>
      </w:tr>
      <w:tr w:rsidR="004F5958" w:rsidRPr="004F5958" w14:paraId="64412231" w14:textId="77777777" w:rsidTr="00DD177D">
        <w:trPr>
          <w:trHeight w:val="548"/>
        </w:trPr>
        <w:tc>
          <w:tcPr>
            <w:tcW w:w="1858" w:type="dxa"/>
            <w:vMerge/>
          </w:tcPr>
          <w:p w14:paraId="1129AABC" w14:textId="77777777" w:rsidR="004416C9" w:rsidRPr="004F5958" w:rsidRDefault="004416C9" w:rsidP="00DD177D">
            <w:pPr>
              <w:pStyle w:val="PrformatHTML"/>
              <w:shd w:val="clear" w:color="auto" w:fill="FFFFFF"/>
              <w:rPr>
                <w:lang w:val="en-GB"/>
              </w:rPr>
            </w:pPr>
          </w:p>
        </w:tc>
        <w:tc>
          <w:tcPr>
            <w:tcW w:w="2410" w:type="dxa"/>
            <w:shd w:val="clear" w:color="auto" w:fill="EEECE1"/>
          </w:tcPr>
          <w:p w14:paraId="0687BA94"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1.3</w:t>
            </w:r>
          </w:p>
          <w:p w14:paraId="200D6FCC"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1276" w:type="dxa"/>
            <w:shd w:val="clear" w:color="auto" w:fill="EEECE1"/>
          </w:tcPr>
          <w:p w14:paraId="3E86A925"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2126" w:type="dxa"/>
            <w:shd w:val="clear" w:color="auto" w:fill="EEECE1"/>
          </w:tcPr>
          <w:p w14:paraId="4F13C795" w14:textId="77777777" w:rsidR="004416C9" w:rsidRPr="004F5958" w:rsidRDefault="004416C9" w:rsidP="00DD177D">
            <w:pPr>
              <w:pStyle w:val="PrformatHTML"/>
              <w:shd w:val="clear" w:color="auto" w:fill="FFFFFF"/>
              <w:rPr>
                <w:lang w:val="en-GB"/>
              </w:rPr>
            </w:pPr>
            <w:r w:rsidRPr="004F5958">
              <w:rPr>
                <w:lang w:val="en-GB"/>
              </w:rPr>
              <w:t xml:space="preserve">      </w:t>
            </w:r>
          </w:p>
        </w:tc>
        <w:tc>
          <w:tcPr>
            <w:tcW w:w="1701" w:type="dxa"/>
          </w:tcPr>
          <w:p w14:paraId="44DC827C"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4253" w:type="dxa"/>
          </w:tcPr>
          <w:p w14:paraId="5A86A357"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1406" w:type="dxa"/>
          </w:tcPr>
          <w:p w14:paraId="7A3527B4"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r>
      <w:tr w:rsidR="004F5958" w:rsidRPr="004F5958" w14:paraId="1FD77EA7" w14:textId="77777777" w:rsidTr="00DD177D">
        <w:trPr>
          <w:trHeight w:val="548"/>
        </w:trPr>
        <w:tc>
          <w:tcPr>
            <w:tcW w:w="1858" w:type="dxa"/>
            <w:vMerge w:val="restart"/>
          </w:tcPr>
          <w:p w14:paraId="31C9B11B" w14:textId="77777777" w:rsidR="004416C9" w:rsidRPr="004F5958" w:rsidRDefault="004416C9" w:rsidP="00DD177D">
            <w:pPr>
              <w:pStyle w:val="PrformatHTML"/>
              <w:shd w:val="clear" w:color="auto" w:fill="FFFFFF"/>
              <w:rPr>
                <w:lang w:val="en-GB"/>
              </w:rPr>
            </w:pPr>
            <w:proofErr w:type="spellStart"/>
            <w:r w:rsidRPr="004F5958">
              <w:rPr>
                <w:lang w:val="en-GB"/>
              </w:rPr>
              <w:t>Produit</w:t>
            </w:r>
            <w:proofErr w:type="spellEnd"/>
            <w:r w:rsidRPr="004F5958">
              <w:rPr>
                <w:lang w:val="en-GB"/>
              </w:rPr>
              <w:t xml:space="preserve"> 1.1</w:t>
            </w:r>
          </w:p>
          <w:p w14:paraId="219C2397"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Le plan de réparation communautaire est mis en œuvre avec la pleine participation des victimes à travers le PNCS (Programme National de Cohésion Sociale)</w:t>
            </w:r>
            <w:r w:rsidRPr="004F5958">
              <w:rPr>
                <w:lang w:val="en-GB"/>
              </w:rPr>
              <w:br/>
            </w:r>
            <w:r w:rsidRPr="004F5958">
              <w:rPr>
                <w:lang w:val="en-GB"/>
              </w:rPr>
              <w:br/>
            </w:r>
            <w:r w:rsidRPr="004F5958">
              <w:rPr>
                <w:b/>
                <w:lang w:val="en-GB"/>
              </w:rPr>
              <w:t> </w:t>
            </w:r>
            <w:r w:rsidRPr="004F5958">
              <w:fldChar w:fldCharType="end"/>
            </w:r>
          </w:p>
          <w:p w14:paraId="7E0E15F8"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7D6DBB2F" w14:textId="77777777" w:rsidR="004416C9" w:rsidRPr="004F5958" w:rsidRDefault="004416C9" w:rsidP="00DD177D">
            <w:pPr>
              <w:pStyle w:val="PrformatHTML"/>
              <w:shd w:val="clear" w:color="auto" w:fill="FFFFFF"/>
              <w:rPr>
                <w:lang w:val="en-GB"/>
              </w:rPr>
            </w:pPr>
            <w:proofErr w:type="spellStart"/>
            <w:proofErr w:type="gramStart"/>
            <w:r w:rsidRPr="004F5958">
              <w:rPr>
                <w:lang w:val="en-GB"/>
              </w:rPr>
              <w:t>Indicateur</w:t>
            </w:r>
            <w:proofErr w:type="spellEnd"/>
            <w:r w:rsidRPr="004F5958">
              <w:rPr>
                <w:lang w:val="en-GB"/>
              </w:rPr>
              <w:t xml:space="preserve">  1.1.1</w:t>
            </w:r>
            <w:proofErr w:type="gramEnd"/>
          </w:p>
          <w:p w14:paraId="75B2F015"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Existence d’une stratégie de priorisation des réparations communautaires mise en œuvre.  </w:t>
            </w:r>
            <w:r w:rsidRPr="004F5958">
              <w:rPr>
                <w:lang w:val="en-GB"/>
              </w:rPr>
              <w:br/>
            </w:r>
            <w:r w:rsidRPr="004F5958">
              <w:rPr>
                <w:lang w:val="en-GB"/>
              </w:rPr>
              <w:br/>
            </w:r>
            <w:r w:rsidRPr="004F5958">
              <w:rPr>
                <w:b/>
                <w:lang w:val="en-GB"/>
              </w:rPr>
              <w:t> </w:t>
            </w:r>
            <w:r w:rsidRPr="004F5958">
              <w:fldChar w:fldCharType="end"/>
            </w:r>
          </w:p>
        </w:tc>
        <w:tc>
          <w:tcPr>
            <w:tcW w:w="1276" w:type="dxa"/>
            <w:shd w:val="clear" w:color="auto" w:fill="EEECE1"/>
          </w:tcPr>
          <w:p w14:paraId="6CB15920"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0</w:t>
            </w:r>
            <w:r w:rsidRPr="004F5958">
              <w:rPr>
                <w:b/>
                <w:lang w:val="en-GB"/>
              </w:rPr>
              <w:t> </w:t>
            </w:r>
            <w:r w:rsidRPr="004F5958">
              <w:fldChar w:fldCharType="end"/>
            </w:r>
          </w:p>
        </w:tc>
        <w:tc>
          <w:tcPr>
            <w:tcW w:w="2126" w:type="dxa"/>
            <w:shd w:val="clear" w:color="auto" w:fill="EEECE1"/>
          </w:tcPr>
          <w:p w14:paraId="6AB5186F" w14:textId="77777777" w:rsidR="004416C9" w:rsidRPr="004F5958" w:rsidRDefault="004416C9" w:rsidP="00DD177D">
            <w:pPr>
              <w:pStyle w:val="PrformatHTML"/>
              <w:shd w:val="clear" w:color="auto" w:fill="FFFFFF"/>
              <w:rPr>
                <w:lang w:val="en-GB"/>
              </w:rPr>
            </w:pPr>
            <w:r w:rsidRPr="004F5958">
              <w:rPr>
                <w:lang w:val="en-GB"/>
              </w:rPr>
              <w:t>1</w:t>
            </w:r>
          </w:p>
        </w:tc>
        <w:tc>
          <w:tcPr>
            <w:tcW w:w="1701" w:type="dxa"/>
          </w:tcPr>
          <w:p w14:paraId="4077453F"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- 2020: 1            - 2021: 1           </w:t>
            </w:r>
            <w:r w:rsidRPr="004F5958">
              <w:rPr>
                <w:b/>
                <w:lang w:val="en-GB"/>
              </w:rPr>
              <w:t> </w:t>
            </w:r>
            <w:r w:rsidRPr="004F5958">
              <w:fldChar w:fldCharType="end"/>
            </w:r>
          </w:p>
        </w:tc>
        <w:tc>
          <w:tcPr>
            <w:tcW w:w="4253" w:type="dxa"/>
          </w:tcPr>
          <w:p w14:paraId="2F977397" w14:textId="77777777" w:rsidR="004416C9" w:rsidRPr="004F5958" w:rsidRDefault="004416C9" w:rsidP="00DD177D">
            <w:pPr>
              <w:pStyle w:val="PrformatHTML"/>
              <w:shd w:val="clear" w:color="auto" w:fill="FFFFFF"/>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la stratégie a été revue (chiffre clé:1)</w:t>
            </w:r>
            <w:r w:rsidRPr="004F5958">
              <w:rPr>
                <w:b/>
                <w:lang w:val="en-GB"/>
              </w:rPr>
              <w:t> </w:t>
            </w:r>
            <w:r w:rsidRPr="004F5958">
              <w:fldChar w:fldCharType="end"/>
            </w:r>
          </w:p>
          <w:p w14:paraId="3AA86372" w14:textId="000092CF" w:rsidR="00AD4B96" w:rsidRPr="004F5958" w:rsidRDefault="00AD4B96" w:rsidP="00DD177D">
            <w:pPr>
              <w:pStyle w:val="PrformatHTML"/>
              <w:shd w:val="clear" w:color="auto" w:fill="FFFFFF"/>
              <w:rPr>
                <w:lang w:val="en-GB"/>
              </w:rPr>
            </w:pPr>
            <w:r w:rsidRPr="004F5958">
              <w:t xml:space="preserve">Les </w:t>
            </w:r>
            <w:proofErr w:type="spellStart"/>
            <w:r w:rsidRPr="004F5958">
              <w:t>recommandations</w:t>
            </w:r>
            <w:proofErr w:type="spellEnd"/>
            <w:r w:rsidRPr="004F5958">
              <w:t xml:space="preserve"> issues de la revue </w:t>
            </w:r>
            <w:proofErr w:type="spellStart"/>
            <w:r w:rsidRPr="004F5958">
              <w:t>alimentera</w:t>
            </w:r>
            <w:proofErr w:type="spellEnd"/>
            <w:r w:rsidRPr="004F5958">
              <w:t xml:space="preserve"> la nouvelle </w:t>
            </w:r>
            <w:proofErr w:type="spellStart"/>
            <w:r w:rsidRPr="004F5958">
              <w:t>stratégie</w:t>
            </w:r>
            <w:proofErr w:type="spellEnd"/>
            <w:r w:rsidRPr="004F5958">
              <w:t xml:space="preserve"> de reconciliation et de cohesion </w:t>
            </w:r>
            <w:proofErr w:type="spellStart"/>
            <w:r w:rsidRPr="004F5958">
              <w:t>sociale</w:t>
            </w:r>
            <w:proofErr w:type="spellEnd"/>
            <w:r w:rsidRPr="004F5958">
              <w:t xml:space="preserve"> 2022-2025.</w:t>
            </w:r>
          </w:p>
        </w:tc>
        <w:tc>
          <w:tcPr>
            <w:tcW w:w="1406" w:type="dxa"/>
          </w:tcPr>
          <w:p w14:paraId="68FBD2EB"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t> </w:t>
            </w:r>
            <w:r w:rsidRPr="004F5958">
              <w:fldChar w:fldCharType="end"/>
            </w:r>
          </w:p>
        </w:tc>
      </w:tr>
      <w:tr w:rsidR="004F5958" w:rsidRPr="004F5958" w14:paraId="7DAA005F" w14:textId="77777777" w:rsidTr="00DD177D">
        <w:trPr>
          <w:trHeight w:val="512"/>
        </w:trPr>
        <w:tc>
          <w:tcPr>
            <w:tcW w:w="1858" w:type="dxa"/>
            <w:vMerge/>
          </w:tcPr>
          <w:p w14:paraId="29229B1F"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2FA5AE8F"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1.1.2</w:t>
            </w:r>
          </w:p>
          <w:p w14:paraId="02266391"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lang w:val="en-GB"/>
              </w:rPr>
              <w:t xml:space="preserve"> Existence d’un fonds au niveau national pour soutenir les réparations communautaires.</w:t>
            </w:r>
            <w:r w:rsidRPr="004F5958">
              <w:rPr>
                <w:b/>
                <w:lang w:val="en-GB"/>
              </w:rPr>
              <w:t> </w:t>
            </w:r>
            <w:r w:rsidRPr="004F5958">
              <w:fldChar w:fldCharType="end"/>
            </w:r>
          </w:p>
        </w:tc>
        <w:tc>
          <w:tcPr>
            <w:tcW w:w="1276" w:type="dxa"/>
            <w:shd w:val="clear" w:color="auto" w:fill="EEECE1"/>
          </w:tcPr>
          <w:p w14:paraId="15C66D52"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le gouvernement a contribué à hauteur de 18 millions de dollars dans le programme d’indemnisations individuelles et s’est engagé à contribuer au plan de réparation communautaire pour l’année 2018.</w:t>
            </w:r>
            <w:r w:rsidRPr="004F5958">
              <w:rPr>
                <w:b/>
                <w:lang w:val="en-GB"/>
              </w:rPr>
              <w:t> </w:t>
            </w:r>
            <w:r w:rsidRPr="004F5958">
              <w:fldChar w:fldCharType="end"/>
            </w:r>
          </w:p>
        </w:tc>
        <w:tc>
          <w:tcPr>
            <w:tcW w:w="2126" w:type="dxa"/>
            <w:shd w:val="clear" w:color="auto" w:fill="EEECE1"/>
          </w:tcPr>
          <w:p w14:paraId="785CACBE" w14:textId="77777777" w:rsidR="004416C9" w:rsidRPr="004F5958" w:rsidRDefault="004416C9" w:rsidP="00DD177D">
            <w:pPr>
              <w:pStyle w:val="PrformatHTML"/>
              <w:shd w:val="clear" w:color="auto" w:fill="FFFFFF"/>
              <w:rPr>
                <w:lang w:val="en-GB"/>
              </w:rPr>
            </w:pPr>
            <w:r w:rsidRPr="004F5958">
              <w:rPr>
                <w:lang w:val="en-GB"/>
              </w:rPr>
              <w:t xml:space="preserve">le fonds national </w:t>
            </w:r>
            <w:proofErr w:type="spellStart"/>
            <w:r w:rsidRPr="004F5958">
              <w:rPr>
                <w:lang w:val="en-GB"/>
              </w:rPr>
              <w:t>est</w:t>
            </w:r>
            <w:proofErr w:type="spellEnd"/>
            <w:r w:rsidRPr="004F5958">
              <w:rPr>
                <w:lang w:val="en-GB"/>
              </w:rPr>
              <w:t xml:space="preserve"> mis </w:t>
            </w:r>
            <w:proofErr w:type="spellStart"/>
            <w:r w:rsidRPr="004F5958">
              <w:rPr>
                <w:lang w:val="en-GB"/>
              </w:rPr>
              <w:t>en</w:t>
            </w:r>
            <w:proofErr w:type="spellEnd"/>
            <w:r w:rsidRPr="004F5958">
              <w:rPr>
                <w:lang w:val="en-GB"/>
              </w:rPr>
              <w:t xml:space="preserve"> place </w:t>
            </w:r>
            <w:proofErr w:type="gramStart"/>
            <w:r w:rsidRPr="004F5958">
              <w:rPr>
                <w:lang w:val="en-GB"/>
              </w:rPr>
              <w:t xml:space="preserve">et  </w:t>
            </w:r>
            <w:proofErr w:type="spellStart"/>
            <w:r w:rsidRPr="004F5958">
              <w:rPr>
                <w:lang w:val="en-GB"/>
              </w:rPr>
              <w:t>libère</w:t>
            </w:r>
            <w:proofErr w:type="spellEnd"/>
            <w:proofErr w:type="gramEnd"/>
            <w:r w:rsidRPr="004F5958">
              <w:rPr>
                <w:lang w:val="en-GB"/>
              </w:rPr>
              <w:t xml:space="preserve"> au </w:t>
            </w:r>
            <w:proofErr w:type="spellStart"/>
            <w:r w:rsidRPr="004F5958">
              <w:rPr>
                <w:lang w:val="en-GB"/>
              </w:rPr>
              <w:t>moins</w:t>
            </w:r>
            <w:proofErr w:type="spellEnd"/>
            <w:r w:rsidRPr="004F5958">
              <w:rPr>
                <w:lang w:val="en-GB"/>
              </w:rPr>
              <w:t xml:space="preserve"> 300 000 USD </w:t>
            </w:r>
            <w:proofErr w:type="spellStart"/>
            <w:r w:rsidRPr="004F5958">
              <w:rPr>
                <w:lang w:val="en-GB"/>
              </w:rPr>
              <w:t>durant</w:t>
            </w:r>
            <w:proofErr w:type="spellEnd"/>
            <w:r w:rsidRPr="004F5958">
              <w:rPr>
                <w:lang w:val="en-GB"/>
              </w:rPr>
              <w:t xml:space="preserve"> la </w:t>
            </w:r>
            <w:proofErr w:type="spellStart"/>
            <w:r w:rsidRPr="004F5958">
              <w:rPr>
                <w:lang w:val="en-GB"/>
              </w:rPr>
              <w:t>période</w:t>
            </w:r>
            <w:proofErr w:type="spellEnd"/>
            <w:r w:rsidRPr="004F5958">
              <w:rPr>
                <w:lang w:val="en-GB"/>
              </w:rPr>
              <w:t xml:space="preserve"> de mise </w:t>
            </w:r>
            <w:proofErr w:type="spellStart"/>
            <w:r w:rsidRPr="004F5958">
              <w:rPr>
                <w:lang w:val="en-GB"/>
              </w:rPr>
              <w:t>en</w:t>
            </w:r>
            <w:proofErr w:type="spellEnd"/>
            <w:r w:rsidRPr="004F5958">
              <w:rPr>
                <w:lang w:val="en-GB"/>
              </w:rPr>
              <w:t xml:space="preserve"> </w:t>
            </w:r>
            <w:proofErr w:type="spellStart"/>
            <w:r w:rsidRPr="004F5958">
              <w:rPr>
                <w:lang w:val="en-GB"/>
              </w:rPr>
              <w:t>œuvre</w:t>
            </w:r>
            <w:proofErr w:type="spellEnd"/>
            <w:r w:rsidRPr="004F5958">
              <w:rPr>
                <w:lang w:val="en-GB"/>
              </w:rPr>
              <w:t xml:space="preserve"> du </w:t>
            </w:r>
            <w:proofErr w:type="spellStart"/>
            <w:r w:rsidRPr="004F5958">
              <w:rPr>
                <w:lang w:val="en-GB"/>
              </w:rPr>
              <w:t>projet</w:t>
            </w:r>
            <w:proofErr w:type="spellEnd"/>
            <w:r w:rsidRPr="004F5958">
              <w:rPr>
                <w:lang w:val="en-GB"/>
              </w:rPr>
              <w:t xml:space="preserve">. (30% de 1 </w:t>
            </w:r>
            <w:proofErr w:type="spellStart"/>
            <w:proofErr w:type="gramStart"/>
            <w:r w:rsidRPr="004F5958">
              <w:rPr>
                <w:lang w:val="en-GB"/>
              </w:rPr>
              <w:t>millions</w:t>
            </w:r>
            <w:proofErr w:type="spellEnd"/>
            <w:proofErr w:type="gramEnd"/>
            <w:r w:rsidRPr="004F5958">
              <w:rPr>
                <w:lang w:val="en-GB"/>
              </w:rPr>
              <w:t xml:space="preserve"> </w:t>
            </w:r>
            <w:proofErr w:type="spellStart"/>
            <w:r w:rsidRPr="004F5958">
              <w:rPr>
                <w:lang w:val="en-GB"/>
              </w:rPr>
              <w:t>prévus</w:t>
            </w:r>
            <w:proofErr w:type="spellEnd"/>
            <w:r w:rsidRPr="004F5958">
              <w:rPr>
                <w:lang w:val="en-GB"/>
              </w:rPr>
              <w:t xml:space="preserve"> par le </w:t>
            </w:r>
            <w:proofErr w:type="spellStart"/>
            <w:r w:rsidRPr="004F5958">
              <w:rPr>
                <w:lang w:val="en-GB"/>
              </w:rPr>
              <w:t>projet</w:t>
            </w:r>
            <w:proofErr w:type="spellEnd"/>
            <w:r w:rsidRPr="004F5958">
              <w:rPr>
                <w:lang w:val="en-GB"/>
              </w:rPr>
              <w:t>).</w:t>
            </w:r>
          </w:p>
          <w:p w14:paraId="165BF095" w14:textId="77777777" w:rsidR="004416C9" w:rsidRPr="004F5958" w:rsidRDefault="004416C9" w:rsidP="00DD177D">
            <w:pPr>
              <w:pStyle w:val="PrformatHTML"/>
              <w:shd w:val="clear" w:color="auto" w:fill="FFFFFF"/>
              <w:rPr>
                <w:lang w:val="en-GB"/>
              </w:rPr>
            </w:pPr>
          </w:p>
        </w:tc>
        <w:tc>
          <w:tcPr>
            <w:tcW w:w="1701" w:type="dxa"/>
          </w:tcPr>
          <w:p w14:paraId="60294BD5"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- 2019: 1            - 2020: 1            - 2021: 1           </w:t>
            </w:r>
            <w:r w:rsidRPr="004F5958">
              <w:rPr>
                <w:b/>
                <w:lang w:val="en-GB"/>
              </w:rPr>
              <w:t> </w:t>
            </w:r>
            <w:r w:rsidRPr="004F5958">
              <w:fldChar w:fldCharType="end"/>
            </w:r>
          </w:p>
        </w:tc>
        <w:tc>
          <w:tcPr>
            <w:tcW w:w="4253" w:type="dxa"/>
          </w:tcPr>
          <w:p w14:paraId="2B4F2410"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Le fonds national est mis en place. </w:t>
            </w:r>
            <w:r w:rsidRPr="004F5958">
              <w:rPr>
                <w:lang w:val="en-GB"/>
              </w:rPr>
              <w:br/>
            </w:r>
            <w:r w:rsidRPr="004F5958">
              <w:rPr>
                <w:lang w:val="en-GB"/>
              </w:rPr>
              <w:br/>
              <w:t xml:space="preserve">Pour la constitution du fonds, le gouvernement a mobilisé 18 685 000 F CFA. Le PNCS a reçu et dépensé 3 685 813 072 F CFA. </w:t>
            </w:r>
            <w:r w:rsidRPr="004F5958">
              <w:rPr>
                <w:lang w:val="en-GB"/>
              </w:rPr>
              <w:br/>
              <w:t xml:space="preserve">Avec ce montant, le PNCS a effectué les réalisations suivantes: </w:t>
            </w:r>
            <w:r w:rsidRPr="004F5958">
              <w:rPr>
                <w:lang w:val="en-GB"/>
              </w:rPr>
              <w:br/>
              <w:t>- Construction de 6 radios communales,</w:t>
            </w:r>
            <w:r w:rsidRPr="004F5958">
              <w:rPr>
                <w:lang w:val="en-GB"/>
              </w:rPr>
              <w:br/>
              <w:t>- 24 foyers polyvalents,</w:t>
            </w:r>
            <w:r w:rsidRPr="004F5958">
              <w:rPr>
                <w:lang w:val="en-GB"/>
              </w:rPr>
              <w:br/>
              <w:t>- 20 pompes hydrauliques villageoises à motricité solaire,</w:t>
            </w:r>
            <w:r w:rsidRPr="004F5958">
              <w:rPr>
                <w:lang w:val="en-GB"/>
              </w:rPr>
              <w:br/>
              <w:t>- 11 centres multi-ethniques de médiation et d'arbitrage,</w:t>
            </w:r>
            <w:r w:rsidRPr="004F5958">
              <w:rPr>
                <w:lang w:val="en-GB"/>
              </w:rPr>
              <w:br/>
              <w:t>- construction et réhabilitation d'infrastructures primaires et préscolaires,</w:t>
            </w:r>
            <w:r w:rsidRPr="004F5958">
              <w:rPr>
                <w:lang w:val="en-GB"/>
              </w:rPr>
              <w:br/>
              <w:t>- 3 centres de protection de la petite enfance,</w:t>
            </w:r>
            <w:r w:rsidRPr="004F5958">
              <w:rPr>
                <w:lang w:val="en-GB"/>
              </w:rPr>
              <w:br/>
              <w:t>- 1 IFEF(INSTITUT DE FORMATION ET D'EDUCATION FEMININE). (chiffre clé:1)</w:t>
            </w:r>
            <w:r w:rsidRPr="004F5958">
              <w:rPr>
                <w:b/>
                <w:lang w:val="en-GB"/>
              </w:rPr>
              <w:t> </w:t>
            </w:r>
            <w:r w:rsidRPr="004F5958">
              <w:fldChar w:fldCharType="end"/>
            </w:r>
          </w:p>
        </w:tc>
        <w:tc>
          <w:tcPr>
            <w:tcW w:w="1406" w:type="dxa"/>
          </w:tcPr>
          <w:p w14:paraId="1627530E"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t> </w:t>
            </w:r>
            <w:r w:rsidRPr="004F5958">
              <w:fldChar w:fldCharType="end"/>
            </w:r>
          </w:p>
        </w:tc>
      </w:tr>
      <w:tr w:rsidR="004F5958" w:rsidRPr="004F5958" w14:paraId="3C6A9825" w14:textId="77777777" w:rsidTr="00DD177D">
        <w:trPr>
          <w:trHeight w:val="512"/>
        </w:trPr>
        <w:tc>
          <w:tcPr>
            <w:tcW w:w="1858" w:type="dxa"/>
            <w:vMerge/>
          </w:tcPr>
          <w:p w14:paraId="7DDD36DE"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2A8ED451"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1.1.3</w:t>
            </w:r>
          </w:p>
          <w:p w14:paraId="4473F008"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lang w:val="en-GB"/>
              </w:rPr>
              <w:t>Nombre de victimes (hommes et femmes y compris les jeunes) impliquées dans la mise en œuvre des projets de réparation communautaire à travers différentes activités notamment les HIMO</w:t>
            </w:r>
            <w:r w:rsidRPr="004F5958">
              <w:rPr>
                <w:b/>
                <w:lang w:val="en-GB"/>
              </w:rPr>
              <w:t> </w:t>
            </w:r>
            <w:r w:rsidRPr="004F5958">
              <w:fldChar w:fldCharType="end"/>
            </w:r>
          </w:p>
        </w:tc>
        <w:tc>
          <w:tcPr>
            <w:tcW w:w="1276" w:type="dxa"/>
            <w:shd w:val="clear" w:color="auto" w:fill="EEECE1"/>
          </w:tcPr>
          <w:p w14:paraId="2ECC3D1F" w14:textId="77777777" w:rsidR="004416C9" w:rsidRPr="004F5958" w:rsidRDefault="004416C9" w:rsidP="00DD177D">
            <w:pPr>
              <w:pStyle w:val="PrformatHTML"/>
              <w:shd w:val="clear" w:color="auto" w:fill="FFFFFF"/>
              <w:rPr>
                <w:b/>
                <w:lang w:val="en-GB"/>
              </w:rPr>
            </w:pPr>
            <w:r w:rsidRPr="004F5958">
              <w:rPr>
                <w:lang w:val="en-GB"/>
              </w:rPr>
              <w:t>0</w:t>
            </w:r>
          </w:p>
        </w:tc>
        <w:tc>
          <w:tcPr>
            <w:tcW w:w="2126" w:type="dxa"/>
            <w:shd w:val="clear" w:color="auto" w:fill="EEECE1"/>
          </w:tcPr>
          <w:p w14:paraId="6C519C69" w14:textId="77777777" w:rsidR="004416C9" w:rsidRPr="004F5958" w:rsidRDefault="004416C9" w:rsidP="00DD177D">
            <w:pPr>
              <w:pStyle w:val="PrformatHTML"/>
              <w:shd w:val="clear" w:color="auto" w:fill="FFFFFF"/>
              <w:rPr>
                <w:b/>
                <w:lang w:val="en-GB"/>
              </w:rPr>
            </w:pPr>
            <w:r w:rsidRPr="004F5958">
              <w:rPr>
                <w:lang w:val="en-GB"/>
              </w:rPr>
              <w:t xml:space="preserve">Au </w:t>
            </w:r>
            <w:proofErr w:type="spellStart"/>
            <w:r w:rsidRPr="004F5958">
              <w:rPr>
                <w:lang w:val="en-GB"/>
              </w:rPr>
              <w:t>moins</w:t>
            </w:r>
            <w:proofErr w:type="spellEnd"/>
            <w:r w:rsidRPr="004F5958">
              <w:rPr>
                <w:lang w:val="en-GB"/>
              </w:rPr>
              <w:t xml:space="preserve"> 3000 </w:t>
            </w:r>
            <w:proofErr w:type="spellStart"/>
            <w:r w:rsidRPr="004F5958">
              <w:rPr>
                <w:lang w:val="en-GB"/>
              </w:rPr>
              <w:t>victimes</w:t>
            </w:r>
            <w:proofErr w:type="spellEnd"/>
          </w:p>
        </w:tc>
        <w:tc>
          <w:tcPr>
            <w:tcW w:w="1701" w:type="dxa"/>
          </w:tcPr>
          <w:p w14:paraId="11EA534C" w14:textId="51CEB211" w:rsidR="004416C9" w:rsidRPr="004F5958" w:rsidRDefault="004416C9" w:rsidP="00DD177D">
            <w:pPr>
              <w:pStyle w:val="PrformatHTML"/>
              <w:shd w:val="clear" w:color="auto" w:fill="FFFFFF"/>
              <w:rPr>
                <w:b/>
                <w:lang w:val="en-GB"/>
              </w:rPr>
            </w:pPr>
            <w:r w:rsidRPr="004F5958">
              <w:rPr>
                <w:lang w:val="en-GB"/>
              </w:rPr>
              <w:t xml:space="preserve"> - 2020: </w:t>
            </w:r>
            <w:r w:rsidR="00DF6162" w:rsidRPr="004F5958">
              <w:rPr>
                <w:lang w:val="en-GB"/>
              </w:rPr>
              <w:t>4528</w:t>
            </w:r>
            <w:r w:rsidRPr="004F5958">
              <w:rPr>
                <w:lang w:val="en-GB"/>
              </w:rPr>
              <w:t xml:space="preserve">            - 2021: </w:t>
            </w:r>
            <w:r w:rsidR="00DF6162" w:rsidRPr="004F5958">
              <w:rPr>
                <w:lang w:val="en-GB"/>
              </w:rPr>
              <w:t>3000</w:t>
            </w:r>
            <w:r w:rsidRPr="004F5958">
              <w:rPr>
                <w:lang w:val="en-GB"/>
              </w:rPr>
              <w:t xml:space="preserve">           </w:t>
            </w:r>
          </w:p>
        </w:tc>
        <w:tc>
          <w:tcPr>
            <w:tcW w:w="4253" w:type="dxa"/>
          </w:tcPr>
          <w:p w14:paraId="6B6077AD" w14:textId="77777777" w:rsidR="004416C9" w:rsidRPr="004F5958" w:rsidRDefault="004416C9" w:rsidP="00DD177D">
            <w:pPr>
              <w:pStyle w:val="PrformatHTML"/>
              <w:shd w:val="clear" w:color="auto" w:fill="FFFFFF"/>
              <w:rPr>
                <w:lang w:val="en-GB"/>
              </w:rPr>
            </w:pPr>
            <w:r w:rsidRPr="004F5958">
              <w:rPr>
                <w:lang w:val="en-GB"/>
              </w:rPr>
              <w:t xml:space="preserve">16 </w:t>
            </w:r>
            <w:proofErr w:type="spellStart"/>
            <w:r w:rsidRPr="004F5958">
              <w:rPr>
                <w:lang w:val="en-GB"/>
              </w:rPr>
              <w:t>projets</w:t>
            </w:r>
            <w:proofErr w:type="spellEnd"/>
            <w:r w:rsidRPr="004F5958">
              <w:rPr>
                <w:lang w:val="en-GB"/>
              </w:rPr>
              <w:t xml:space="preserve"> de </w:t>
            </w:r>
            <w:proofErr w:type="spellStart"/>
            <w:r w:rsidRPr="004F5958">
              <w:rPr>
                <w:lang w:val="en-GB"/>
              </w:rPr>
              <w:t>réparation</w:t>
            </w:r>
            <w:proofErr w:type="spellEnd"/>
            <w:r w:rsidRPr="004F5958">
              <w:rPr>
                <w:lang w:val="en-GB"/>
              </w:rPr>
              <w:t xml:space="preserve"> </w:t>
            </w:r>
            <w:proofErr w:type="spellStart"/>
            <w:r w:rsidRPr="004F5958">
              <w:rPr>
                <w:lang w:val="en-GB"/>
              </w:rPr>
              <w:t>communautaires</w:t>
            </w:r>
            <w:proofErr w:type="spellEnd"/>
            <w:r w:rsidRPr="004F5958">
              <w:rPr>
                <w:lang w:val="en-GB"/>
              </w:rPr>
              <w:t xml:space="preserve"> </w:t>
            </w:r>
            <w:proofErr w:type="spellStart"/>
            <w:r w:rsidRPr="004F5958">
              <w:rPr>
                <w:lang w:val="en-GB"/>
              </w:rPr>
              <w:t>réalisés</w:t>
            </w:r>
            <w:proofErr w:type="spellEnd"/>
            <w:r w:rsidRPr="004F5958">
              <w:rPr>
                <w:lang w:val="en-GB"/>
              </w:rPr>
              <w:t xml:space="preserve"> fin 2019 au profit de </w:t>
            </w:r>
            <w:proofErr w:type="spellStart"/>
            <w:r w:rsidRPr="004F5958">
              <w:rPr>
                <w:lang w:val="en-GB"/>
              </w:rPr>
              <w:t>l'ensemble</w:t>
            </w:r>
            <w:proofErr w:type="spellEnd"/>
            <w:r w:rsidRPr="004F5958">
              <w:rPr>
                <w:lang w:val="en-GB"/>
              </w:rPr>
              <w:t xml:space="preserve"> des </w:t>
            </w:r>
            <w:proofErr w:type="spellStart"/>
            <w:r w:rsidRPr="004F5958">
              <w:rPr>
                <w:lang w:val="en-GB"/>
              </w:rPr>
              <w:t>communautés</w:t>
            </w:r>
            <w:proofErr w:type="spellEnd"/>
            <w:r w:rsidRPr="004F5958">
              <w:rPr>
                <w:lang w:val="en-GB"/>
              </w:rPr>
              <w:t xml:space="preserve"> </w:t>
            </w:r>
            <w:proofErr w:type="spellStart"/>
            <w:r w:rsidRPr="004F5958">
              <w:rPr>
                <w:lang w:val="en-GB"/>
              </w:rPr>
              <w:t>bénéficiaires</w:t>
            </w:r>
            <w:proofErr w:type="spellEnd"/>
            <w:r w:rsidRPr="004F5958">
              <w:rPr>
                <w:lang w:val="en-GB"/>
              </w:rPr>
              <w:t xml:space="preserve"> (</w:t>
            </w:r>
            <w:proofErr w:type="spellStart"/>
            <w:r w:rsidRPr="004F5958">
              <w:rPr>
                <w:lang w:val="en-GB"/>
              </w:rPr>
              <w:t>Tabou</w:t>
            </w:r>
            <w:proofErr w:type="spellEnd"/>
            <w:r w:rsidRPr="004F5958">
              <w:rPr>
                <w:lang w:val="en-GB"/>
              </w:rPr>
              <w:t xml:space="preserve">, </w:t>
            </w:r>
            <w:proofErr w:type="spellStart"/>
            <w:r w:rsidRPr="004F5958">
              <w:rPr>
                <w:lang w:val="en-GB"/>
              </w:rPr>
              <w:t>Duekoué</w:t>
            </w:r>
            <w:proofErr w:type="spellEnd"/>
            <w:r w:rsidRPr="004F5958">
              <w:rPr>
                <w:lang w:val="en-GB"/>
              </w:rPr>
              <w:t xml:space="preserve">, </w:t>
            </w:r>
            <w:proofErr w:type="spellStart"/>
            <w:r w:rsidRPr="004F5958">
              <w:rPr>
                <w:lang w:val="en-GB"/>
              </w:rPr>
              <w:t>Bangolo</w:t>
            </w:r>
            <w:proofErr w:type="spellEnd"/>
            <w:r w:rsidRPr="004F5958">
              <w:rPr>
                <w:lang w:val="en-GB"/>
              </w:rPr>
              <w:t xml:space="preserve">, </w:t>
            </w:r>
            <w:proofErr w:type="spellStart"/>
            <w:r w:rsidRPr="004F5958">
              <w:rPr>
                <w:lang w:val="en-GB"/>
              </w:rPr>
              <w:t>Vavoua</w:t>
            </w:r>
            <w:proofErr w:type="spellEnd"/>
            <w:r w:rsidRPr="004F5958">
              <w:rPr>
                <w:lang w:val="en-GB"/>
              </w:rPr>
              <w:t xml:space="preserve">, </w:t>
            </w:r>
            <w:proofErr w:type="spellStart"/>
            <w:r w:rsidRPr="004F5958">
              <w:rPr>
                <w:lang w:val="en-GB"/>
              </w:rPr>
              <w:t>Bonon</w:t>
            </w:r>
            <w:proofErr w:type="spellEnd"/>
            <w:r w:rsidRPr="004F5958">
              <w:rPr>
                <w:lang w:val="en-GB"/>
              </w:rPr>
              <w:t xml:space="preserve">, </w:t>
            </w:r>
            <w:proofErr w:type="spellStart"/>
            <w:r w:rsidRPr="004F5958">
              <w:rPr>
                <w:lang w:val="en-GB"/>
              </w:rPr>
              <w:t>Gagnoa</w:t>
            </w:r>
            <w:proofErr w:type="spellEnd"/>
            <w:r w:rsidRPr="004F5958">
              <w:rPr>
                <w:lang w:val="en-GB"/>
              </w:rPr>
              <w:t xml:space="preserve">, </w:t>
            </w:r>
            <w:proofErr w:type="spellStart"/>
            <w:r w:rsidRPr="004F5958">
              <w:rPr>
                <w:lang w:val="en-GB"/>
              </w:rPr>
              <w:t>Oumé</w:t>
            </w:r>
            <w:proofErr w:type="spellEnd"/>
            <w:r w:rsidRPr="004F5958">
              <w:rPr>
                <w:lang w:val="en-GB"/>
              </w:rPr>
              <w:t xml:space="preserve">, </w:t>
            </w:r>
            <w:proofErr w:type="spellStart"/>
            <w:r w:rsidRPr="004F5958">
              <w:rPr>
                <w:lang w:val="en-GB"/>
              </w:rPr>
              <w:t>Boundiali</w:t>
            </w:r>
            <w:proofErr w:type="spellEnd"/>
            <w:r w:rsidRPr="004F5958">
              <w:rPr>
                <w:lang w:val="en-GB"/>
              </w:rPr>
              <w:t xml:space="preserve">, </w:t>
            </w:r>
            <w:proofErr w:type="spellStart"/>
            <w:r w:rsidRPr="004F5958">
              <w:rPr>
                <w:lang w:val="en-GB"/>
              </w:rPr>
              <w:t>Botro</w:t>
            </w:r>
            <w:proofErr w:type="spellEnd"/>
            <w:r w:rsidRPr="004F5958">
              <w:rPr>
                <w:lang w:val="en-GB"/>
              </w:rPr>
              <w:t xml:space="preserve">, </w:t>
            </w:r>
            <w:proofErr w:type="spellStart"/>
            <w:r w:rsidRPr="004F5958">
              <w:rPr>
                <w:lang w:val="en-GB"/>
              </w:rPr>
              <w:t>Sakassou</w:t>
            </w:r>
            <w:proofErr w:type="spellEnd"/>
            <w:r w:rsidRPr="004F5958">
              <w:rPr>
                <w:lang w:val="en-GB"/>
              </w:rPr>
              <w:t xml:space="preserve">, </w:t>
            </w:r>
            <w:proofErr w:type="spellStart"/>
            <w:r w:rsidRPr="004F5958">
              <w:rPr>
                <w:lang w:val="en-GB"/>
              </w:rPr>
              <w:t>Toumodi</w:t>
            </w:r>
            <w:proofErr w:type="spellEnd"/>
            <w:r w:rsidRPr="004F5958">
              <w:rPr>
                <w:lang w:val="en-GB"/>
              </w:rPr>
              <w:t xml:space="preserve">, </w:t>
            </w:r>
            <w:proofErr w:type="spellStart"/>
            <w:r w:rsidRPr="004F5958">
              <w:rPr>
                <w:lang w:val="en-GB"/>
              </w:rPr>
              <w:t>Agnibilékro</w:t>
            </w:r>
            <w:proofErr w:type="spellEnd"/>
            <w:r w:rsidRPr="004F5958">
              <w:rPr>
                <w:lang w:val="en-GB"/>
              </w:rPr>
              <w:t xml:space="preserve"> et </w:t>
            </w:r>
            <w:proofErr w:type="spellStart"/>
            <w:r w:rsidRPr="004F5958">
              <w:rPr>
                <w:lang w:val="en-GB"/>
              </w:rPr>
              <w:t>Bingerville</w:t>
            </w:r>
            <w:proofErr w:type="spellEnd"/>
            <w:r w:rsidRPr="004F5958">
              <w:rPr>
                <w:lang w:val="en-GB"/>
              </w:rPr>
              <w:t xml:space="preserve">) </w:t>
            </w:r>
            <w:proofErr w:type="spellStart"/>
            <w:proofErr w:type="gramStart"/>
            <w:r w:rsidRPr="004F5958">
              <w:rPr>
                <w:lang w:val="en-GB"/>
              </w:rPr>
              <w:t>dont</w:t>
            </w:r>
            <w:proofErr w:type="spellEnd"/>
            <w:r w:rsidRPr="004F5958">
              <w:rPr>
                <w:lang w:val="en-GB"/>
              </w:rPr>
              <w:t xml:space="preserve">  4</w:t>
            </w:r>
            <w:proofErr w:type="gramEnd"/>
            <w:r w:rsidRPr="004F5958">
              <w:rPr>
                <w:lang w:val="en-GB"/>
              </w:rPr>
              <w:t xml:space="preserve"> 528 femmes. </w:t>
            </w:r>
            <w:r w:rsidRPr="004F5958">
              <w:rPr>
                <w:lang w:val="en-GB"/>
              </w:rPr>
              <w:br/>
              <w:t xml:space="preserve"> (chiffre clé:4528)</w:t>
            </w:r>
          </w:p>
          <w:p w14:paraId="658A347E" w14:textId="77B43960" w:rsidR="00AD4B96" w:rsidRPr="004F5958" w:rsidRDefault="00AD4B96" w:rsidP="00DD177D">
            <w:pPr>
              <w:pStyle w:val="PrformatHTML"/>
              <w:shd w:val="clear" w:color="auto" w:fill="FFFFFF"/>
              <w:rPr>
                <w:lang w:val="en-GB"/>
              </w:rPr>
            </w:pPr>
            <w:r w:rsidRPr="004F5958">
              <w:rPr>
                <w:lang w:val="en-GB"/>
              </w:rPr>
              <w:t xml:space="preserve">5 </w:t>
            </w:r>
            <w:proofErr w:type="spellStart"/>
            <w:r w:rsidRPr="004F5958">
              <w:rPr>
                <w:lang w:val="en-GB"/>
              </w:rPr>
              <w:t>projets</w:t>
            </w:r>
            <w:proofErr w:type="spellEnd"/>
            <w:r w:rsidRPr="004F5958">
              <w:rPr>
                <w:lang w:val="en-GB"/>
              </w:rPr>
              <w:t xml:space="preserve"> de construction et de rehabilitation </w:t>
            </w:r>
            <w:proofErr w:type="spellStart"/>
            <w:r w:rsidRPr="004F5958">
              <w:rPr>
                <w:lang w:val="en-GB"/>
              </w:rPr>
              <w:t>d’infrastructures</w:t>
            </w:r>
            <w:proofErr w:type="spellEnd"/>
            <w:r w:rsidRPr="004F5958">
              <w:rPr>
                <w:lang w:val="en-GB"/>
              </w:rPr>
              <w:t xml:space="preserve"> socio </w:t>
            </w:r>
            <w:proofErr w:type="spellStart"/>
            <w:r w:rsidRPr="004F5958">
              <w:rPr>
                <w:lang w:val="en-GB"/>
              </w:rPr>
              <w:t>communautaires</w:t>
            </w:r>
            <w:proofErr w:type="spellEnd"/>
            <w:r w:rsidRPr="004F5958">
              <w:rPr>
                <w:lang w:val="en-GB"/>
              </w:rPr>
              <w:t xml:space="preserve"> </w:t>
            </w:r>
            <w:proofErr w:type="spellStart"/>
            <w:r w:rsidR="00DF6162" w:rsidRPr="004F5958">
              <w:rPr>
                <w:lang w:val="en-GB"/>
              </w:rPr>
              <w:t>ont</w:t>
            </w:r>
            <w:proofErr w:type="spellEnd"/>
            <w:r w:rsidR="00DF6162" w:rsidRPr="004F5958">
              <w:rPr>
                <w:lang w:val="en-GB"/>
              </w:rPr>
              <w:t xml:space="preserve"> été </w:t>
            </w:r>
            <w:proofErr w:type="spellStart"/>
            <w:r w:rsidRPr="004F5958">
              <w:rPr>
                <w:lang w:val="en-GB"/>
              </w:rPr>
              <w:t>réalisés</w:t>
            </w:r>
            <w:proofErr w:type="spellEnd"/>
            <w:r w:rsidRPr="004F5958">
              <w:rPr>
                <w:lang w:val="en-GB"/>
              </w:rPr>
              <w:t xml:space="preserve"> dans les regions de </w:t>
            </w:r>
            <w:r w:rsidR="00DF6162" w:rsidRPr="004F5958">
              <w:rPr>
                <w:bCs/>
                <w:iCs/>
                <w:lang w:val="fr-CI"/>
              </w:rPr>
              <w:t xml:space="preserve">régions de </w:t>
            </w:r>
            <w:proofErr w:type="spellStart"/>
            <w:r w:rsidR="00DF6162" w:rsidRPr="004F5958">
              <w:rPr>
                <w:bCs/>
                <w:iCs/>
                <w:lang w:val="fr-CI"/>
              </w:rPr>
              <w:t>Hambôl</w:t>
            </w:r>
            <w:proofErr w:type="spellEnd"/>
            <w:r w:rsidR="00DF6162" w:rsidRPr="004F5958">
              <w:rPr>
                <w:bCs/>
                <w:iCs/>
                <w:lang w:val="fr-CI"/>
              </w:rPr>
              <w:t xml:space="preserve">, </w:t>
            </w:r>
            <w:proofErr w:type="spellStart"/>
            <w:r w:rsidR="00DF6162" w:rsidRPr="004F5958">
              <w:rPr>
                <w:bCs/>
                <w:iCs/>
                <w:lang w:val="fr-CI"/>
              </w:rPr>
              <w:t>Lôh-Djiboua</w:t>
            </w:r>
            <w:proofErr w:type="spellEnd"/>
            <w:r w:rsidR="00DF6162" w:rsidRPr="004F5958">
              <w:rPr>
                <w:bCs/>
                <w:iCs/>
                <w:lang w:val="fr-CI"/>
              </w:rPr>
              <w:t xml:space="preserve">, </w:t>
            </w:r>
            <w:proofErr w:type="spellStart"/>
            <w:r w:rsidR="00DF6162" w:rsidRPr="004F5958">
              <w:rPr>
                <w:bCs/>
                <w:iCs/>
                <w:lang w:val="fr-CI"/>
              </w:rPr>
              <w:t>Gbôklê</w:t>
            </w:r>
            <w:proofErr w:type="spellEnd"/>
            <w:r w:rsidR="00DF6162" w:rsidRPr="004F5958">
              <w:rPr>
                <w:bCs/>
                <w:iCs/>
                <w:lang w:val="fr-CI"/>
              </w:rPr>
              <w:t xml:space="preserve">, </w:t>
            </w:r>
            <w:proofErr w:type="spellStart"/>
            <w:r w:rsidR="00DF6162" w:rsidRPr="004F5958">
              <w:rPr>
                <w:bCs/>
                <w:iCs/>
                <w:lang w:val="fr-CI"/>
              </w:rPr>
              <w:t>Bagoué</w:t>
            </w:r>
            <w:proofErr w:type="spellEnd"/>
            <w:r w:rsidR="00DF6162" w:rsidRPr="004F5958">
              <w:rPr>
                <w:bCs/>
                <w:iCs/>
                <w:lang w:val="fr-CI"/>
              </w:rPr>
              <w:t xml:space="preserve"> et Lagunes</w:t>
            </w:r>
          </w:p>
        </w:tc>
        <w:tc>
          <w:tcPr>
            <w:tcW w:w="1406" w:type="dxa"/>
          </w:tcPr>
          <w:p w14:paraId="020CB439" w14:textId="77777777" w:rsidR="004416C9" w:rsidRPr="004F5958" w:rsidRDefault="004416C9" w:rsidP="00DD177D">
            <w:pPr>
              <w:pStyle w:val="PrformatHTML"/>
              <w:shd w:val="clear" w:color="auto" w:fill="FFFFFF"/>
              <w:rPr>
                <w:b/>
                <w:lang w:val="en-GB"/>
              </w:rPr>
            </w:pPr>
          </w:p>
        </w:tc>
      </w:tr>
      <w:tr w:rsidR="004F5958" w:rsidRPr="004F5958" w14:paraId="6207D41D" w14:textId="77777777" w:rsidTr="00DD177D">
        <w:trPr>
          <w:trHeight w:val="440"/>
        </w:trPr>
        <w:tc>
          <w:tcPr>
            <w:tcW w:w="1858" w:type="dxa"/>
            <w:vMerge w:val="restart"/>
          </w:tcPr>
          <w:p w14:paraId="605B8814" w14:textId="77777777" w:rsidR="004416C9" w:rsidRPr="004F5958" w:rsidRDefault="004416C9" w:rsidP="00DD177D">
            <w:pPr>
              <w:pStyle w:val="PrformatHTML"/>
              <w:shd w:val="clear" w:color="auto" w:fill="FFFFFF"/>
              <w:rPr>
                <w:lang w:val="en-GB"/>
              </w:rPr>
            </w:pPr>
            <w:proofErr w:type="spellStart"/>
            <w:r w:rsidRPr="004F5958">
              <w:rPr>
                <w:lang w:val="en-GB"/>
              </w:rPr>
              <w:t>Produit</w:t>
            </w:r>
            <w:proofErr w:type="spellEnd"/>
            <w:r w:rsidRPr="004F5958">
              <w:rPr>
                <w:lang w:val="en-GB"/>
              </w:rPr>
              <w:t xml:space="preserve"> 1.2</w:t>
            </w:r>
          </w:p>
          <w:p w14:paraId="3280406E"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Les organes de poursuites sont renforcés afin d’accélérer les procédures judiciaires en matière pénale incluant les violences basées sur le genre.</w:t>
            </w:r>
            <w:r w:rsidRPr="004F5958">
              <w:rPr>
                <w:b/>
                <w:lang w:val="en-GB"/>
              </w:rPr>
              <w:t> </w:t>
            </w:r>
            <w:r w:rsidRPr="004F5958">
              <w:fldChar w:fldCharType="end"/>
            </w:r>
          </w:p>
        </w:tc>
        <w:tc>
          <w:tcPr>
            <w:tcW w:w="2410" w:type="dxa"/>
            <w:shd w:val="clear" w:color="auto" w:fill="EEECE1"/>
          </w:tcPr>
          <w:p w14:paraId="7D349BA4" w14:textId="77777777" w:rsidR="004416C9" w:rsidRPr="004F5958" w:rsidRDefault="004416C9" w:rsidP="00DD177D">
            <w:pPr>
              <w:pStyle w:val="PrformatHTML"/>
              <w:shd w:val="clear" w:color="auto" w:fill="FFFFFF"/>
              <w:rPr>
                <w:lang w:val="en-GB"/>
              </w:rPr>
            </w:pPr>
            <w:proofErr w:type="spellStart"/>
            <w:proofErr w:type="gramStart"/>
            <w:r w:rsidRPr="004F5958">
              <w:rPr>
                <w:lang w:val="en-GB"/>
              </w:rPr>
              <w:t>Indicateur</w:t>
            </w:r>
            <w:proofErr w:type="spellEnd"/>
            <w:r w:rsidRPr="004F5958">
              <w:rPr>
                <w:lang w:val="en-GB"/>
              </w:rPr>
              <w:t xml:space="preserve">  1.2.1</w:t>
            </w:r>
            <w:proofErr w:type="gramEnd"/>
          </w:p>
          <w:bookmarkStart w:id="34" w:name="_Hlk85455375"/>
          <w:p w14:paraId="6643E10E"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Nombre d’initiatives de renforcement de capacités des acteurs de la chaîne pénale</w:t>
            </w:r>
            <w:r w:rsidRPr="004F5958">
              <w:rPr>
                <w:lang w:val="en-GB"/>
              </w:rPr>
              <w:br/>
            </w:r>
            <w:r w:rsidRPr="004F5958">
              <w:rPr>
                <w:lang w:val="en-GB"/>
              </w:rPr>
              <w:br/>
              <w:t xml:space="preserve"> </w:t>
            </w:r>
            <w:r w:rsidRPr="004F5958">
              <w:rPr>
                <w:b/>
                <w:lang w:val="en-GB"/>
              </w:rPr>
              <w:t> </w:t>
            </w:r>
            <w:r w:rsidRPr="004F5958">
              <w:fldChar w:fldCharType="end"/>
            </w:r>
            <w:bookmarkEnd w:id="34"/>
          </w:p>
        </w:tc>
        <w:tc>
          <w:tcPr>
            <w:tcW w:w="1276" w:type="dxa"/>
            <w:shd w:val="clear" w:color="auto" w:fill="EEECE1"/>
          </w:tcPr>
          <w:p w14:paraId="551DC74D"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0</w:t>
            </w:r>
            <w:r w:rsidRPr="004F5958">
              <w:rPr>
                <w:b/>
                <w:lang w:val="en-GB"/>
              </w:rPr>
              <w:t> </w:t>
            </w:r>
            <w:r w:rsidRPr="004F5958">
              <w:fldChar w:fldCharType="end"/>
            </w:r>
          </w:p>
        </w:tc>
        <w:tc>
          <w:tcPr>
            <w:tcW w:w="2126" w:type="dxa"/>
            <w:shd w:val="clear" w:color="auto" w:fill="EEECE1"/>
          </w:tcPr>
          <w:p w14:paraId="7273C06B" w14:textId="77777777" w:rsidR="004416C9" w:rsidRPr="004F5958" w:rsidRDefault="004416C9" w:rsidP="00DD177D">
            <w:pPr>
              <w:pStyle w:val="PrformatHTML"/>
              <w:shd w:val="clear" w:color="auto" w:fill="FFFFFF"/>
              <w:rPr>
                <w:lang w:val="en-GB"/>
              </w:rPr>
            </w:pPr>
            <w:r w:rsidRPr="004F5958">
              <w:rPr>
                <w:lang w:val="en-GB"/>
              </w:rPr>
              <w:t>10</w:t>
            </w:r>
          </w:p>
        </w:tc>
        <w:tc>
          <w:tcPr>
            <w:tcW w:w="1701" w:type="dxa"/>
          </w:tcPr>
          <w:p w14:paraId="5DA9B4D7"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- 2020: 10            - 2021: 10           </w:t>
            </w:r>
            <w:r w:rsidRPr="004F5958">
              <w:rPr>
                <w:b/>
                <w:lang w:val="en-GB"/>
              </w:rPr>
              <w:t> </w:t>
            </w:r>
            <w:r w:rsidRPr="004F5958">
              <w:fldChar w:fldCharType="end"/>
            </w:r>
          </w:p>
        </w:tc>
        <w:tc>
          <w:tcPr>
            <w:tcW w:w="4253" w:type="dxa"/>
          </w:tcPr>
          <w:p w14:paraId="02311A54" w14:textId="77777777" w:rsidR="00C118A0" w:rsidRPr="004F5958" w:rsidRDefault="00C118A0" w:rsidP="00DD177D">
            <w:pPr>
              <w:pStyle w:val="PrformatHTML"/>
              <w:shd w:val="clear" w:color="auto" w:fill="FFFFFF"/>
              <w:rPr>
                <w:b/>
                <w:lang w:val="fr-CI"/>
              </w:rPr>
            </w:pPr>
            <w:r w:rsidRPr="004F5958">
              <w:rPr>
                <w:b/>
                <w:lang w:val="fr-CI"/>
              </w:rPr>
              <w:t>-Les magistrats ont été formés sur la procédure en matière de détention préventive, de VBG et de Droits de l’Homme.</w:t>
            </w:r>
          </w:p>
          <w:p w14:paraId="30CBAF2E" w14:textId="700C356F" w:rsidR="00C118A0" w:rsidRPr="004F5958" w:rsidRDefault="00C118A0" w:rsidP="00DD177D">
            <w:pPr>
              <w:pStyle w:val="PrformatHTML"/>
              <w:shd w:val="clear" w:color="auto" w:fill="FFFFFF"/>
              <w:rPr>
                <w:b/>
                <w:lang w:val="fr-CI"/>
              </w:rPr>
            </w:pPr>
            <w:r w:rsidRPr="004F5958">
              <w:rPr>
                <w:b/>
                <w:lang w:val="fr-CI"/>
              </w:rPr>
              <w:t xml:space="preserve">-Les capacités techniques des organes judiciaires de lutte contre les s Violences Basées sur le Genre (VBG) ont été renforcées à travers la fourniture d’équipements informatiques et sanitaires (Points focaux genre, 13 procureurs de la République, les bureaux locaux d’assistance juridique, les bureaux d’accueil genre) </w:t>
            </w:r>
          </w:p>
          <w:p w14:paraId="110C4711" w14:textId="77777777" w:rsidR="00C118A0" w:rsidRPr="004F5958" w:rsidRDefault="00C118A0" w:rsidP="00DD177D">
            <w:pPr>
              <w:pStyle w:val="PrformatHTML"/>
              <w:shd w:val="clear" w:color="auto" w:fill="FFFFFF"/>
              <w:rPr>
                <w:b/>
                <w:lang w:val="fr-CI"/>
              </w:rPr>
            </w:pPr>
            <w:r w:rsidRPr="004F5958">
              <w:rPr>
                <w:b/>
                <w:lang w:val="fr-CI"/>
              </w:rPr>
              <w:t xml:space="preserve">- Un centre d'accueil des survivantes des VBG est fonctionnel </w:t>
            </w:r>
            <w:proofErr w:type="gramStart"/>
            <w:r w:rsidRPr="004F5958">
              <w:rPr>
                <w:b/>
                <w:lang w:val="fr-CI"/>
              </w:rPr>
              <w:t>suite à</w:t>
            </w:r>
            <w:proofErr w:type="gramEnd"/>
            <w:r w:rsidRPr="004F5958">
              <w:rPr>
                <w:b/>
                <w:lang w:val="fr-CI"/>
              </w:rPr>
              <w:t xml:space="preserve"> l'appui en kits alimentaire, sanitaire, hygiénique et du matériel électroménager et bureautique </w:t>
            </w:r>
          </w:p>
          <w:p w14:paraId="1F0F0901" w14:textId="77777777" w:rsidR="00C118A0" w:rsidRPr="004F5958" w:rsidRDefault="00C118A0" w:rsidP="00DD177D">
            <w:pPr>
              <w:pStyle w:val="PrformatHTML"/>
              <w:shd w:val="clear" w:color="auto" w:fill="FFFFFF"/>
              <w:rPr>
                <w:b/>
                <w:lang w:val="fr-CI"/>
              </w:rPr>
            </w:pPr>
            <w:r w:rsidRPr="004F5958">
              <w:rPr>
                <w:b/>
                <w:lang w:val="fr-CI"/>
              </w:rPr>
              <w:t>-Le rapport d’étude sur le fonctionnement du système pénal est disponible</w:t>
            </w:r>
          </w:p>
          <w:p w14:paraId="0F0D1B67" w14:textId="49A18F27" w:rsidR="00C118A0" w:rsidRPr="004F5958" w:rsidRDefault="00C118A0" w:rsidP="00DD177D">
            <w:pPr>
              <w:pStyle w:val="PrformatHTML"/>
              <w:shd w:val="clear" w:color="auto" w:fill="FFFFFF"/>
              <w:rPr>
                <w:b/>
                <w:lang w:val="fr-CI"/>
              </w:rPr>
            </w:pPr>
            <w:r w:rsidRPr="004F5958">
              <w:rPr>
                <w:b/>
                <w:lang w:val="fr-CI"/>
              </w:rPr>
              <w:t>-Le rapport de l’étude sur la révision des curricula de formation de l’INFJ est disponible.</w:t>
            </w:r>
          </w:p>
          <w:p w14:paraId="528B9291" w14:textId="5E3068CB" w:rsidR="004416C9" w:rsidRPr="004F5958" w:rsidRDefault="004416C9" w:rsidP="00DD177D">
            <w:pPr>
              <w:pStyle w:val="PrformatHTML"/>
              <w:shd w:val="clear" w:color="auto" w:fill="FFFFFF"/>
              <w:rPr>
                <w:lang w:val="en-GB"/>
              </w:rPr>
            </w:pPr>
          </w:p>
        </w:tc>
        <w:tc>
          <w:tcPr>
            <w:tcW w:w="1406" w:type="dxa"/>
          </w:tcPr>
          <w:p w14:paraId="4F82A52F"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t> </w:t>
            </w:r>
            <w:r w:rsidRPr="004F5958">
              <w:fldChar w:fldCharType="end"/>
            </w:r>
          </w:p>
        </w:tc>
      </w:tr>
      <w:tr w:rsidR="004F5958" w:rsidRPr="004F5958" w14:paraId="1E06CDAB" w14:textId="77777777" w:rsidTr="00DD177D">
        <w:trPr>
          <w:trHeight w:val="467"/>
        </w:trPr>
        <w:tc>
          <w:tcPr>
            <w:tcW w:w="1858" w:type="dxa"/>
            <w:vMerge/>
          </w:tcPr>
          <w:p w14:paraId="616146C8"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6BE55639"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1.2.2</w:t>
            </w:r>
          </w:p>
          <w:p w14:paraId="5829B44E"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1276" w:type="dxa"/>
            <w:shd w:val="clear" w:color="auto" w:fill="EEECE1"/>
          </w:tcPr>
          <w:p w14:paraId="52F6E7E1" w14:textId="77777777" w:rsidR="004416C9" w:rsidRPr="004F5958" w:rsidRDefault="004416C9" w:rsidP="00DD177D">
            <w:pPr>
              <w:pStyle w:val="PrformatHTML"/>
              <w:shd w:val="clear" w:color="auto" w:fill="FFFFFF"/>
              <w:rPr>
                <w:lang w:val="en-GB"/>
              </w:rPr>
            </w:pPr>
            <w:r w:rsidRPr="004F5958">
              <w:rPr>
                <w:lang w:val="en-GB"/>
              </w:rPr>
              <w:t xml:space="preserve">      </w:t>
            </w:r>
          </w:p>
          <w:p w14:paraId="652A90E2" w14:textId="77777777" w:rsidR="004416C9" w:rsidRPr="004F5958" w:rsidRDefault="004416C9" w:rsidP="00DD177D">
            <w:pPr>
              <w:pStyle w:val="PrformatHTML"/>
              <w:shd w:val="clear" w:color="auto" w:fill="FFFFFF"/>
              <w:rPr>
                <w:lang w:val="en-GB"/>
              </w:rPr>
            </w:pPr>
          </w:p>
        </w:tc>
        <w:tc>
          <w:tcPr>
            <w:tcW w:w="2126" w:type="dxa"/>
            <w:shd w:val="clear" w:color="auto" w:fill="EEECE1"/>
          </w:tcPr>
          <w:p w14:paraId="2D050864" w14:textId="77777777" w:rsidR="004416C9" w:rsidRPr="004F5958" w:rsidRDefault="004416C9" w:rsidP="00DD177D">
            <w:pPr>
              <w:pStyle w:val="PrformatHTML"/>
              <w:shd w:val="clear" w:color="auto" w:fill="FFFFFF"/>
              <w:rPr>
                <w:lang w:val="en-GB"/>
              </w:rPr>
            </w:pPr>
            <w:r w:rsidRPr="004F5958">
              <w:rPr>
                <w:lang w:val="en-GB"/>
              </w:rPr>
              <w:t xml:space="preserve">      </w:t>
            </w:r>
          </w:p>
        </w:tc>
        <w:tc>
          <w:tcPr>
            <w:tcW w:w="1701" w:type="dxa"/>
          </w:tcPr>
          <w:p w14:paraId="351FB973"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4253" w:type="dxa"/>
          </w:tcPr>
          <w:p w14:paraId="1D1A3171"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1406" w:type="dxa"/>
          </w:tcPr>
          <w:p w14:paraId="10E78C87"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r>
      <w:tr w:rsidR="004F5958" w:rsidRPr="004F5958" w14:paraId="5331461D" w14:textId="77777777" w:rsidTr="00DD177D">
        <w:trPr>
          <w:trHeight w:val="467"/>
        </w:trPr>
        <w:tc>
          <w:tcPr>
            <w:tcW w:w="1858" w:type="dxa"/>
            <w:vMerge/>
          </w:tcPr>
          <w:p w14:paraId="060CDC8F"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36761FB5"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1.2.3</w:t>
            </w:r>
          </w:p>
          <w:p w14:paraId="6CAB40B6"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1276" w:type="dxa"/>
            <w:shd w:val="clear" w:color="auto" w:fill="EEECE1"/>
          </w:tcPr>
          <w:p w14:paraId="00DE7DC8"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2126" w:type="dxa"/>
            <w:shd w:val="clear" w:color="auto" w:fill="EEECE1"/>
          </w:tcPr>
          <w:p w14:paraId="728C1847"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1701" w:type="dxa"/>
          </w:tcPr>
          <w:p w14:paraId="038C4599"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4253" w:type="dxa"/>
          </w:tcPr>
          <w:p w14:paraId="3756A984"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1406" w:type="dxa"/>
          </w:tcPr>
          <w:p w14:paraId="12B209DE" w14:textId="77777777" w:rsidR="004416C9" w:rsidRPr="004F5958" w:rsidRDefault="004416C9" w:rsidP="00DD177D">
            <w:pPr>
              <w:pStyle w:val="PrformatHTML"/>
              <w:shd w:val="clear" w:color="auto" w:fill="FFFFFF"/>
              <w:rPr>
                <w:b/>
                <w:lang w:val="en-GB"/>
              </w:rPr>
            </w:pPr>
            <w:r w:rsidRPr="004F5958">
              <w:rPr>
                <w:lang w:val="en-GB"/>
              </w:rPr>
              <w:t xml:space="preserve">      </w:t>
            </w:r>
          </w:p>
        </w:tc>
      </w:tr>
      <w:tr w:rsidR="004F5958" w:rsidRPr="004F5958" w14:paraId="43EC75B3" w14:textId="77777777" w:rsidTr="00DD177D">
        <w:trPr>
          <w:trHeight w:val="422"/>
        </w:trPr>
        <w:tc>
          <w:tcPr>
            <w:tcW w:w="1858" w:type="dxa"/>
            <w:vMerge w:val="restart"/>
          </w:tcPr>
          <w:p w14:paraId="245BB6C8" w14:textId="77777777" w:rsidR="004416C9" w:rsidRPr="004F5958" w:rsidRDefault="004416C9" w:rsidP="00DD177D">
            <w:pPr>
              <w:pStyle w:val="PrformatHTML"/>
              <w:shd w:val="clear" w:color="auto" w:fill="FFFFFF"/>
              <w:rPr>
                <w:lang w:val="en-GB"/>
              </w:rPr>
            </w:pPr>
            <w:proofErr w:type="spellStart"/>
            <w:r w:rsidRPr="004F5958">
              <w:rPr>
                <w:lang w:val="en-GB"/>
              </w:rPr>
              <w:t>Produit</w:t>
            </w:r>
            <w:proofErr w:type="spellEnd"/>
            <w:r w:rsidRPr="004F5958">
              <w:rPr>
                <w:lang w:val="en-GB"/>
              </w:rPr>
              <w:t xml:space="preserve"> 1.3</w:t>
            </w:r>
          </w:p>
          <w:p w14:paraId="6D7FCDE0"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Sensibiliser et faciliter la participation des victimes aux procédures et le monitoring du processus de justice et de réparation.</w:t>
            </w:r>
            <w:r w:rsidRPr="004F5958">
              <w:rPr>
                <w:b/>
                <w:lang w:val="en-GB"/>
              </w:rPr>
              <w:t> </w:t>
            </w:r>
            <w:r w:rsidRPr="004F5958">
              <w:fldChar w:fldCharType="end"/>
            </w:r>
          </w:p>
        </w:tc>
        <w:tc>
          <w:tcPr>
            <w:tcW w:w="2410" w:type="dxa"/>
            <w:shd w:val="clear" w:color="auto" w:fill="EEECE1"/>
          </w:tcPr>
          <w:p w14:paraId="5B0A058E"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1.3.1</w:t>
            </w:r>
          </w:p>
          <w:p w14:paraId="2A840A1B"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Nombre de victimes sensibilisées et accompagnées durant le processus de justice et réparation.</w:t>
            </w:r>
            <w:r w:rsidRPr="004F5958">
              <w:rPr>
                <w:b/>
                <w:lang w:val="en-GB"/>
              </w:rPr>
              <w:t> </w:t>
            </w:r>
            <w:r w:rsidRPr="004F5958">
              <w:fldChar w:fldCharType="end"/>
            </w:r>
          </w:p>
        </w:tc>
        <w:tc>
          <w:tcPr>
            <w:tcW w:w="1276" w:type="dxa"/>
            <w:shd w:val="clear" w:color="auto" w:fill="EEECE1"/>
          </w:tcPr>
          <w:p w14:paraId="26846868"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0 victimes regroupées en communauté</w:t>
            </w:r>
            <w:r w:rsidRPr="004F5958">
              <w:rPr>
                <w:b/>
                <w:lang w:val="en-GB"/>
              </w:rPr>
              <w:t> </w:t>
            </w:r>
            <w:r w:rsidRPr="004F5958">
              <w:fldChar w:fldCharType="end"/>
            </w:r>
          </w:p>
        </w:tc>
        <w:tc>
          <w:tcPr>
            <w:tcW w:w="2126" w:type="dxa"/>
            <w:shd w:val="clear" w:color="auto" w:fill="EEECE1"/>
          </w:tcPr>
          <w:p w14:paraId="40A612E8" w14:textId="77777777" w:rsidR="004416C9" w:rsidRPr="004F5958" w:rsidRDefault="004416C9" w:rsidP="00DD177D">
            <w:pPr>
              <w:pStyle w:val="PrformatHTML"/>
              <w:shd w:val="clear" w:color="auto" w:fill="FFFFFF"/>
              <w:rPr>
                <w:lang w:val="en-GB"/>
              </w:rPr>
            </w:pPr>
            <w:r w:rsidRPr="004F5958">
              <w:rPr>
                <w:lang w:val="en-GB"/>
              </w:rPr>
              <w:t xml:space="preserve">Au </w:t>
            </w:r>
            <w:proofErr w:type="spellStart"/>
            <w:r w:rsidRPr="004F5958">
              <w:rPr>
                <w:lang w:val="en-GB"/>
              </w:rPr>
              <w:t>moins</w:t>
            </w:r>
            <w:proofErr w:type="spellEnd"/>
            <w:r w:rsidRPr="004F5958">
              <w:rPr>
                <w:lang w:val="en-GB"/>
              </w:rPr>
              <w:t xml:space="preserve"> 3 000 </w:t>
            </w:r>
            <w:proofErr w:type="spellStart"/>
            <w:r w:rsidRPr="004F5958">
              <w:rPr>
                <w:lang w:val="en-GB"/>
              </w:rPr>
              <w:t>victimes</w:t>
            </w:r>
            <w:proofErr w:type="spellEnd"/>
            <w:r w:rsidRPr="004F5958">
              <w:rPr>
                <w:lang w:val="en-GB"/>
              </w:rPr>
              <w:t xml:space="preserve"> </w:t>
            </w:r>
            <w:proofErr w:type="spellStart"/>
            <w:r w:rsidRPr="004F5958">
              <w:rPr>
                <w:lang w:val="en-GB"/>
              </w:rPr>
              <w:t>regroupées</w:t>
            </w:r>
            <w:proofErr w:type="spellEnd"/>
            <w:r w:rsidRPr="004F5958">
              <w:rPr>
                <w:lang w:val="en-GB"/>
              </w:rPr>
              <w:t xml:space="preserve"> </w:t>
            </w:r>
            <w:proofErr w:type="spellStart"/>
            <w:r w:rsidRPr="004F5958">
              <w:rPr>
                <w:lang w:val="en-GB"/>
              </w:rPr>
              <w:t>en</w:t>
            </w:r>
            <w:proofErr w:type="spellEnd"/>
            <w:r w:rsidRPr="004F5958">
              <w:rPr>
                <w:lang w:val="en-GB"/>
              </w:rPr>
              <w:t xml:space="preserve"> </w:t>
            </w:r>
            <w:proofErr w:type="spellStart"/>
            <w:r w:rsidRPr="004F5958">
              <w:rPr>
                <w:lang w:val="en-GB"/>
              </w:rPr>
              <w:t>communauté</w:t>
            </w:r>
            <w:proofErr w:type="spellEnd"/>
            <w:r w:rsidRPr="004F5958">
              <w:rPr>
                <w:lang w:val="en-GB"/>
              </w:rPr>
              <w:t xml:space="preserve"> </w:t>
            </w:r>
          </w:p>
        </w:tc>
        <w:tc>
          <w:tcPr>
            <w:tcW w:w="1701" w:type="dxa"/>
          </w:tcPr>
          <w:p w14:paraId="3E301FCE"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- 2020: 3000            - 2021: 3000           </w:t>
            </w:r>
            <w:r w:rsidRPr="004F5958">
              <w:rPr>
                <w:b/>
                <w:lang w:val="en-GB"/>
              </w:rPr>
              <w:t> </w:t>
            </w:r>
            <w:r w:rsidRPr="004F5958">
              <w:fldChar w:fldCharType="end"/>
            </w:r>
          </w:p>
        </w:tc>
        <w:tc>
          <w:tcPr>
            <w:tcW w:w="4253" w:type="dxa"/>
          </w:tcPr>
          <w:p w14:paraId="5740ED4A" w14:textId="55FDBA96" w:rsidR="004416C9" w:rsidRPr="004F5958" w:rsidRDefault="004416C9" w:rsidP="00DD177D">
            <w:pPr>
              <w:pStyle w:val="PrformatHTML"/>
              <w:shd w:val="clear" w:color="auto" w:fill="FFFFFF"/>
              <w:rPr>
                <w:lang w:val="en-GB"/>
              </w:rPr>
            </w:pPr>
          </w:p>
        </w:tc>
        <w:tc>
          <w:tcPr>
            <w:tcW w:w="1406" w:type="dxa"/>
          </w:tcPr>
          <w:p w14:paraId="70DC0659"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Restrictions dues COVID19</w:t>
            </w:r>
            <w:r w:rsidRPr="004F5958">
              <w:rPr>
                <w:b/>
                <w:lang w:val="en-GB"/>
              </w:rPr>
              <w:t> </w:t>
            </w:r>
            <w:r w:rsidRPr="004F5958">
              <w:fldChar w:fldCharType="end"/>
            </w:r>
          </w:p>
        </w:tc>
      </w:tr>
      <w:tr w:rsidR="004F5958" w:rsidRPr="004F5958" w14:paraId="3DBD2D1A" w14:textId="77777777" w:rsidTr="00DD177D">
        <w:trPr>
          <w:trHeight w:val="422"/>
        </w:trPr>
        <w:tc>
          <w:tcPr>
            <w:tcW w:w="1858" w:type="dxa"/>
            <w:vMerge/>
          </w:tcPr>
          <w:p w14:paraId="616C271F"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0D25BAF7"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1.3.2</w:t>
            </w:r>
          </w:p>
          <w:p w14:paraId="7B823C04"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Nombre d’outils d’accompagnement des victimes rendus disponibles par les organisations renforcées. </w:t>
            </w:r>
            <w:r w:rsidRPr="004F5958">
              <w:rPr>
                <w:b/>
                <w:lang w:val="en-GB"/>
              </w:rPr>
              <w:t> </w:t>
            </w:r>
            <w:r w:rsidRPr="004F5958">
              <w:fldChar w:fldCharType="end"/>
            </w:r>
          </w:p>
        </w:tc>
        <w:tc>
          <w:tcPr>
            <w:tcW w:w="1276" w:type="dxa"/>
            <w:shd w:val="clear" w:color="auto" w:fill="EEECE1"/>
          </w:tcPr>
          <w:p w14:paraId="4E455EB0"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0</w:t>
            </w:r>
          </w:p>
          <w:p w14:paraId="564E5BE1" w14:textId="77777777" w:rsidR="004416C9" w:rsidRPr="004F5958" w:rsidRDefault="004416C9" w:rsidP="00DD177D">
            <w:pPr>
              <w:pStyle w:val="PrformatHTML"/>
              <w:shd w:val="clear" w:color="auto" w:fill="FFFFFF"/>
              <w:rPr>
                <w:lang w:val="en-GB"/>
              </w:rPr>
            </w:pPr>
            <w:r w:rsidRPr="004F5958">
              <w:fldChar w:fldCharType="end"/>
            </w:r>
          </w:p>
        </w:tc>
        <w:tc>
          <w:tcPr>
            <w:tcW w:w="2126" w:type="dxa"/>
            <w:shd w:val="clear" w:color="auto" w:fill="EEECE1"/>
          </w:tcPr>
          <w:p w14:paraId="1727ADB1" w14:textId="77777777" w:rsidR="004416C9" w:rsidRPr="004F5958" w:rsidRDefault="004416C9" w:rsidP="00DD177D">
            <w:pPr>
              <w:pStyle w:val="PrformatHTML"/>
              <w:shd w:val="clear" w:color="auto" w:fill="FFFFFF"/>
              <w:rPr>
                <w:lang w:val="en-GB"/>
              </w:rPr>
            </w:pPr>
            <w:r w:rsidRPr="004F5958">
              <w:rPr>
                <w:lang w:val="en-GB"/>
              </w:rPr>
              <w:t xml:space="preserve">3(au </w:t>
            </w:r>
            <w:proofErr w:type="spellStart"/>
            <w:r w:rsidRPr="004F5958">
              <w:rPr>
                <w:lang w:val="en-GB"/>
              </w:rPr>
              <w:t>moins</w:t>
            </w:r>
            <w:proofErr w:type="spellEnd"/>
            <w:r w:rsidRPr="004F5958">
              <w:rPr>
                <w:lang w:val="en-GB"/>
              </w:rPr>
              <w:t xml:space="preserve"> un par organisation)</w:t>
            </w:r>
          </w:p>
        </w:tc>
        <w:tc>
          <w:tcPr>
            <w:tcW w:w="1701" w:type="dxa"/>
          </w:tcPr>
          <w:p w14:paraId="683F28CE"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- 2020: 3            - 2021: 3           </w:t>
            </w:r>
            <w:r w:rsidRPr="004F5958">
              <w:rPr>
                <w:b/>
                <w:lang w:val="en-GB"/>
              </w:rPr>
              <w:t> </w:t>
            </w:r>
            <w:r w:rsidRPr="004F5958">
              <w:fldChar w:fldCharType="end"/>
            </w:r>
          </w:p>
        </w:tc>
        <w:tc>
          <w:tcPr>
            <w:tcW w:w="4253" w:type="dxa"/>
          </w:tcPr>
          <w:p w14:paraId="5A0D47F1"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Activité supprimée dans le PTA (chiffre clé:0)</w:t>
            </w:r>
            <w:r w:rsidRPr="004F5958">
              <w:rPr>
                <w:b/>
                <w:lang w:val="en-GB"/>
              </w:rPr>
              <w:t> </w:t>
            </w:r>
            <w:r w:rsidRPr="004F5958">
              <w:fldChar w:fldCharType="end"/>
            </w:r>
          </w:p>
        </w:tc>
        <w:tc>
          <w:tcPr>
            <w:tcW w:w="1406" w:type="dxa"/>
          </w:tcPr>
          <w:p w14:paraId="4A8DD1F9"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actvité supprimée dans le PTA</w:t>
            </w:r>
            <w:r w:rsidRPr="004F5958">
              <w:rPr>
                <w:b/>
                <w:lang w:val="en-GB"/>
              </w:rPr>
              <w:t> </w:t>
            </w:r>
            <w:r w:rsidRPr="004F5958">
              <w:fldChar w:fldCharType="end"/>
            </w:r>
          </w:p>
        </w:tc>
      </w:tr>
      <w:tr w:rsidR="004F5958" w:rsidRPr="004F5958" w14:paraId="41654321" w14:textId="77777777" w:rsidTr="00DD177D">
        <w:trPr>
          <w:trHeight w:val="422"/>
        </w:trPr>
        <w:tc>
          <w:tcPr>
            <w:tcW w:w="1858" w:type="dxa"/>
            <w:vMerge/>
          </w:tcPr>
          <w:p w14:paraId="1D780AA6"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213D51BB"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1.3.3</w:t>
            </w:r>
          </w:p>
          <w:p w14:paraId="48753B17"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1276" w:type="dxa"/>
            <w:shd w:val="clear" w:color="auto" w:fill="EEECE1"/>
          </w:tcPr>
          <w:p w14:paraId="5468B81F"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2126" w:type="dxa"/>
            <w:shd w:val="clear" w:color="auto" w:fill="EEECE1"/>
          </w:tcPr>
          <w:p w14:paraId="506C6423"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1701" w:type="dxa"/>
          </w:tcPr>
          <w:p w14:paraId="694A7B9D"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4253" w:type="dxa"/>
          </w:tcPr>
          <w:p w14:paraId="69751B43"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1406" w:type="dxa"/>
          </w:tcPr>
          <w:p w14:paraId="4CA3C264" w14:textId="77777777" w:rsidR="004416C9" w:rsidRPr="004F5958" w:rsidRDefault="004416C9" w:rsidP="00DD177D">
            <w:pPr>
              <w:pStyle w:val="PrformatHTML"/>
              <w:shd w:val="clear" w:color="auto" w:fill="FFFFFF"/>
              <w:rPr>
                <w:b/>
                <w:lang w:val="en-GB"/>
              </w:rPr>
            </w:pPr>
            <w:r w:rsidRPr="004F5958">
              <w:rPr>
                <w:lang w:val="en-GB"/>
              </w:rPr>
              <w:t xml:space="preserve">      </w:t>
            </w:r>
          </w:p>
        </w:tc>
      </w:tr>
      <w:tr w:rsidR="004F5958" w:rsidRPr="004F5958" w14:paraId="4A5C7AD6" w14:textId="77777777" w:rsidTr="00DD177D">
        <w:trPr>
          <w:trHeight w:val="422"/>
        </w:trPr>
        <w:tc>
          <w:tcPr>
            <w:tcW w:w="1858" w:type="dxa"/>
            <w:vMerge w:val="restart"/>
          </w:tcPr>
          <w:p w14:paraId="64CD29CB" w14:textId="77777777" w:rsidR="004416C9" w:rsidRPr="004F5958" w:rsidRDefault="004416C9" w:rsidP="00DD177D">
            <w:pPr>
              <w:pStyle w:val="PrformatHTML"/>
              <w:shd w:val="clear" w:color="auto" w:fill="FFFFFF"/>
              <w:rPr>
                <w:lang w:val="en-GB"/>
              </w:rPr>
            </w:pPr>
            <w:proofErr w:type="spellStart"/>
            <w:r w:rsidRPr="004F5958">
              <w:rPr>
                <w:lang w:val="en-GB"/>
              </w:rPr>
              <w:t>Produit</w:t>
            </w:r>
            <w:proofErr w:type="spellEnd"/>
            <w:r w:rsidRPr="004F5958">
              <w:rPr>
                <w:lang w:val="en-GB"/>
              </w:rPr>
              <w:t xml:space="preserve"> 1.4</w:t>
            </w:r>
          </w:p>
          <w:p w14:paraId="2DC944A9"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2410" w:type="dxa"/>
            <w:shd w:val="clear" w:color="auto" w:fill="EEECE1"/>
          </w:tcPr>
          <w:p w14:paraId="1D5BE129"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1.4.1</w:t>
            </w:r>
          </w:p>
          <w:p w14:paraId="68D9AC99"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lang w:val="en-GB"/>
              </w:rPr>
              <w:t xml:space="preserve">      </w:t>
            </w:r>
            <w:r w:rsidRPr="004F5958">
              <w:fldChar w:fldCharType="end"/>
            </w:r>
            <w:r w:rsidRPr="004F5958">
              <w:fldChar w:fldCharType="end"/>
            </w:r>
          </w:p>
        </w:tc>
        <w:tc>
          <w:tcPr>
            <w:tcW w:w="1276" w:type="dxa"/>
            <w:shd w:val="clear" w:color="auto" w:fill="EEECE1"/>
          </w:tcPr>
          <w:p w14:paraId="01BF4719"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lang w:val="en-GB"/>
              </w:rPr>
              <w:t xml:space="preserve">      </w:t>
            </w:r>
            <w:r w:rsidRPr="004F5958">
              <w:fldChar w:fldCharType="end"/>
            </w:r>
            <w:r w:rsidRPr="004F5958">
              <w:rPr>
                <w:b/>
                <w:lang w:val="en-GB"/>
              </w:rPr>
              <w:t> </w:t>
            </w:r>
            <w:r w:rsidRPr="004F5958">
              <w:fldChar w:fldCharType="end"/>
            </w:r>
          </w:p>
        </w:tc>
        <w:tc>
          <w:tcPr>
            <w:tcW w:w="2126" w:type="dxa"/>
            <w:shd w:val="clear" w:color="auto" w:fill="EEECE1"/>
          </w:tcPr>
          <w:p w14:paraId="22173192" w14:textId="77777777" w:rsidR="004416C9" w:rsidRPr="004F5958" w:rsidRDefault="004416C9" w:rsidP="00DD177D">
            <w:pPr>
              <w:pStyle w:val="PrformatHTML"/>
              <w:shd w:val="clear" w:color="auto" w:fill="FFFFFF"/>
              <w:rPr>
                <w:lang w:val="en-GB"/>
              </w:rPr>
            </w:pPr>
            <w:r w:rsidRPr="004F5958">
              <w:rPr>
                <w:lang w:val="en-GB"/>
              </w:rPr>
              <w:t xml:space="preserve">      </w:t>
            </w:r>
          </w:p>
        </w:tc>
        <w:tc>
          <w:tcPr>
            <w:tcW w:w="1701" w:type="dxa"/>
          </w:tcPr>
          <w:p w14:paraId="6ED57D50"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4253" w:type="dxa"/>
          </w:tcPr>
          <w:p w14:paraId="0F355DA7"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1406" w:type="dxa"/>
          </w:tcPr>
          <w:p w14:paraId="0D567F40"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r>
      <w:tr w:rsidR="004F5958" w:rsidRPr="004F5958" w14:paraId="4E251FD8" w14:textId="77777777" w:rsidTr="00DD177D">
        <w:trPr>
          <w:trHeight w:val="422"/>
        </w:trPr>
        <w:tc>
          <w:tcPr>
            <w:tcW w:w="1858" w:type="dxa"/>
            <w:vMerge/>
          </w:tcPr>
          <w:p w14:paraId="58E1539C"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575168C7"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1.4.2</w:t>
            </w:r>
          </w:p>
          <w:p w14:paraId="692D83B7"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lang w:val="en-GB"/>
              </w:rPr>
              <w:t xml:space="preserve">      </w:t>
            </w:r>
            <w:r w:rsidRPr="004F5958">
              <w:fldChar w:fldCharType="end"/>
            </w:r>
            <w:r w:rsidRPr="004F5958">
              <w:fldChar w:fldCharType="end"/>
            </w:r>
            <w:r w:rsidRPr="004F5958">
              <w:rPr>
                <w:b/>
                <w:lang w:val="en-GB"/>
              </w:rPr>
              <w:t> </w:t>
            </w:r>
            <w:r w:rsidRPr="004F5958">
              <w:fldChar w:fldCharType="end"/>
            </w:r>
          </w:p>
        </w:tc>
        <w:tc>
          <w:tcPr>
            <w:tcW w:w="1276" w:type="dxa"/>
            <w:shd w:val="clear" w:color="auto" w:fill="EEECE1"/>
          </w:tcPr>
          <w:p w14:paraId="1222F320" w14:textId="77777777" w:rsidR="004416C9" w:rsidRPr="004F5958" w:rsidRDefault="004416C9" w:rsidP="00DD177D">
            <w:pPr>
              <w:pStyle w:val="PrformatHTML"/>
              <w:shd w:val="clear" w:color="auto" w:fill="FFFFFF"/>
              <w:rPr>
                <w:b/>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lang w:val="en-GB"/>
              </w:rPr>
              <w:t xml:space="preserve">      </w:t>
            </w:r>
            <w:r w:rsidRPr="004F5958">
              <w:fldChar w:fldCharType="end"/>
            </w:r>
            <w:r w:rsidRPr="004F5958">
              <w:rPr>
                <w:b/>
                <w:lang w:val="en-GB"/>
              </w:rPr>
              <w:t> </w:t>
            </w:r>
            <w:r w:rsidRPr="004F5958">
              <w:fldChar w:fldCharType="end"/>
            </w:r>
          </w:p>
        </w:tc>
        <w:tc>
          <w:tcPr>
            <w:tcW w:w="2126" w:type="dxa"/>
            <w:shd w:val="clear" w:color="auto" w:fill="EEECE1"/>
          </w:tcPr>
          <w:p w14:paraId="61D5DED3" w14:textId="77777777" w:rsidR="004416C9" w:rsidRPr="004F5958" w:rsidRDefault="004416C9" w:rsidP="00DD177D">
            <w:pPr>
              <w:pStyle w:val="PrformatHTML"/>
              <w:shd w:val="clear" w:color="auto" w:fill="FFFFFF"/>
              <w:rPr>
                <w:lang w:val="en-GB"/>
              </w:rPr>
            </w:pPr>
            <w:r w:rsidRPr="004F5958">
              <w:rPr>
                <w:lang w:val="en-GB"/>
              </w:rPr>
              <w:t xml:space="preserve">      </w:t>
            </w:r>
          </w:p>
        </w:tc>
        <w:tc>
          <w:tcPr>
            <w:tcW w:w="1701" w:type="dxa"/>
          </w:tcPr>
          <w:p w14:paraId="64D23A70" w14:textId="77777777" w:rsidR="004416C9" w:rsidRPr="004F5958" w:rsidRDefault="004416C9" w:rsidP="00DD177D">
            <w:pPr>
              <w:pStyle w:val="PrformatHTML"/>
              <w:shd w:val="clear" w:color="auto" w:fill="FFFFFF"/>
              <w:rPr>
                <w:b/>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4253" w:type="dxa"/>
          </w:tcPr>
          <w:p w14:paraId="7018C934" w14:textId="77777777" w:rsidR="004416C9" w:rsidRPr="004F5958" w:rsidRDefault="004416C9" w:rsidP="00DD177D">
            <w:pPr>
              <w:pStyle w:val="PrformatHTML"/>
              <w:shd w:val="clear" w:color="auto" w:fill="FFFFFF"/>
              <w:rPr>
                <w:b/>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1406" w:type="dxa"/>
          </w:tcPr>
          <w:p w14:paraId="01EBCD06" w14:textId="77777777" w:rsidR="004416C9" w:rsidRPr="004F5958" w:rsidRDefault="004416C9" w:rsidP="00DD177D">
            <w:pPr>
              <w:pStyle w:val="PrformatHTML"/>
              <w:shd w:val="clear" w:color="auto" w:fill="FFFFFF"/>
              <w:rPr>
                <w:b/>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r>
      <w:tr w:rsidR="004F5958" w:rsidRPr="004F5958" w14:paraId="20E04E86" w14:textId="77777777" w:rsidTr="00DD177D">
        <w:trPr>
          <w:trHeight w:val="422"/>
        </w:trPr>
        <w:tc>
          <w:tcPr>
            <w:tcW w:w="1858" w:type="dxa"/>
            <w:vMerge/>
          </w:tcPr>
          <w:p w14:paraId="014371F3"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13771E8B"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1.4.3</w:t>
            </w:r>
          </w:p>
          <w:p w14:paraId="5BDB74DD"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lang w:val="en-GB"/>
              </w:rPr>
              <w:t xml:space="preserve">      </w:t>
            </w:r>
            <w:r w:rsidRPr="004F5958">
              <w:fldChar w:fldCharType="end"/>
            </w:r>
            <w:r w:rsidRPr="004F5958">
              <w:fldChar w:fldCharType="end"/>
            </w:r>
            <w:r w:rsidRPr="004F5958">
              <w:rPr>
                <w:b/>
                <w:lang w:val="en-GB"/>
              </w:rPr>
              <w:t> </w:t>
            </w:r>
            <w:r w:rsidRPr="004F5958">
              <w:fldChar w:fldCharType="end"/>
            </w:r>
          </w:p>
        </w:tc>
        <w:tc>
          <w:tcPr>
            <w:tcW w:w="1276" w:type="dxa"/>
            <w:shd w:val="clear" w:color="auto" w:fill="EEECE1"/>
          </w:tcPr>
          <w:p w14:paraId="0D1F3ABC" w14:textId="77777777" w:rsidR="004416C9" w:rsidRPr="004F5958" w:rsidRDefault="004416C9" w:rsidP="00DD177D">
            <w:pPr>
              <w:pStyle w:val="PrformatHTML"/>
              <w:shd w:val="clear" w:color="auto" w:fill="FFFFFF"/>
              <w:rPr>
                <w:b/>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2126" w:type="dxa"/>
            <w:shd w:val="clear" w:color="auto" w:fill="EEECE1"/>
          </w:tcPr>
          <w:p w14:paraId="021D046F" w14:textId="77777777" w:rsidR="004416C9" w:rsidRPr="004F5958" w:rsidRDefault="004416C9" w:rsidP="00DD177D">
            <w:pPr>
              <w:pStyle w:val="PrformatHTML"/>
              <w:shd w:val="clear" w:color="auto" w:fill="FFFFFF"/>
              <w:rPr>
                <w:lang w:val="en-GB"/>
              </w:rPr>
            </w:pPr>
            <w:r w:rsidRPr="004F5958">
              <w:rPr>
                <w:lang w:val="en-GB"/>
              </w:rPr>
              <w:t xml:space="preserve">      </w:t>
            </w:r>
          </w:p>
        </w:tc>
        <w:tc>
          <w:tcPr>
            <w:tcW w:w="1701" w:type="dxa"/>
          </w:tcPr>
          <w:p w14:paraId="2E3FCA67"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4253" w:type="dxa"/>
          </w:tcPr>
          <w:p w14:paraId="60448E1C"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1406" w:type="dxa"/>
          </w:tcPr>
          <w:p w14:paraId="410CBDF6" w14:textId="77777777" w:rsidR="004416C9" w:rsidRPr="004F5958" w:rsidRDefault="004416C9" w:rsidP="00DD177D">
            <w:pPr>
              <w:pStyle w:val="PrformatHTML"/>
              <w:shd w:val="clear" w:color="auto" w:fill="FFFFFF"/>
              <w:rPr>
                <w:b/>
                <w:lang w:val="en-GB"/>
              </w:rPr>
            </w:pPr>
            <w:r w:rsidRPr="004F5958">
              <w:rPr>
                <w:lang w:val="en-GB"/>
              </w:rPr>
              <w:t xml:space="preserve">      </w:t>
            </w:r>
          </w:p>
        </w:tc>
      </w:tr>
      <w:tr w:rsidR="004F5958" w:rsidRPr="004F5958" w14:paraId="1D8FEFB1" w14:textId="77777777" w:rsidTr="00DD177D">
        <w:trPr>
          <w:trHeight w:val="422"/>
        </w:trPr>
        <w:tc>
          <w:tcPr>
            <w:tcW w:w="1858" w:type="dxa"/>
            <w:vMerge w:val="restart"/>
          </w:tcPr>
          <w:p w14:paraId="58314172" w14:textId="77777777" w:rsidR="004416C9" w:rsidRPr="004F5958" w:rsidRDefault="004416C9" w:rsidP="00DD177D">
            <w:pPr>
              <w:pStyle w:val="PrformatHTML"/>
              <w:shd w:val="clear" w:color="auto" w:fill="FFFFFF"/>
              <w:rPr>
                <w:b/>
                <w:lang w:val="en-GB"/>
              </w:rPr>
            </w:pPr>
            <w:proofErr w:type="spellStart"/>
            <w:r w:rsidRPr="004F5958">
              <w:rPr>
                <w:b/>
                <w:lang w:val="en-GB"/>
              </w:rPr>
              <w:t>Résultat</w:t>
            </w:r>
            <w:proofErr w:type="spellEnd"/>
            <w:r w:rsidRPr="004F5958">
              <w:rPr>
                <w:b/>
                <w:lang w:val="en-GB"/>
              </w:rPr>
              <w:t xml:space="preserve"> 2</w:t>
            </w:r>
          </w:p>
          <w:p w14:paraId="74A8994A" w14:textId="77777777" w:rsidR="004416C9" w:rsidRPr="004F5958" w:rsidRDefault="004416C9" w:rsidP="00DD177D">
            <w:pPr>
              <w:pStyle w:val="PrformatHTML"/>
              <w:shd w:val="clear" w:color="auto" w:fill="FFFFFF"/>
              <w:rPr>
                <w:b/>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Les populations vulnérables bénéficient d’une aide légale fiable et efficace pour prévenir et résoudre les conflits fonciers à travers les modes alternatifs/communautaires de règlement des conflits et l’accès à la justice. </w:t>
            </w:r>
            <w:r w:rsidRPr="004F5958">
              <w:rPr>
                <w:b/>
                <w:lang w:val="en-GB"/>
              </w:rPr>
              <w:t>  </w:t>
            </w:r>
            <w:r w:rsidRPr="004F5958">
              <w:fldChar w:fldCharType="end"/>
            </w:r>
          </w:p>
          <w:p w14:paraId="030D94C9"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3B11A1E3"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2.1</w:t>
            </w:r>
          </w:p>
          <w:p w14:paraId="2E7C4428"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Taux de réduction des conflits fonciers dans les zones d’intervention </w:t>
            </w:r>
            <w:r w:rsidRPr="004F5958">
              <w:rPr>
                <w:b/>
                <w:lang w:val="en-GB"/>
              </w:rPr>
              <w:t> </w:t>
            </w:r>
            <w:r w:rsidRPr="004F5958">
              <w:fldChar w:fldCharType="end"/>
            </w:r>
          </w:p>
        </w:tc>
        <w:tc>
          <w:tcPr>
            <w:tcW w:w="1276" w:type="dxa"/>
            <w:shd w:val="clear" w:color="auto" w:fill="EEECE1"/>
          </w:tcPr>
          <w:p w14:paraId="704F6FF8" w14:textId="4AA577C4" w:rsidR="004416C9" w:rsidRPr="004F5958" w:rsidRDefault="00571B5E" w:rsidP="00DD177D">
            <w:pPr>
              <w:pStyle w:val="PrformatHTML"/>
              <w:shd w:val="clear" w:color="auto" w:fill="FFFFFF"/>
              <w:rPr>
                <w:lang w:val="en-GB"/>
              </w:rPr>
            </w:pPr>
            <w:r w:rsidRPr="004F5958">
              <w:rPr>
                <w:b/>
                <w:lang w:val="fr-FR"/>
              </w:rPr>
              <w:t>406 (année 2018)</w:t>
            </w:r>
          </w:p>
        </w:tc>
        <w:tc>
          <w:tcPr>
            <w:tcW w:w="2126" w:type="dxa"/>
            <w:shd w:val="clear" w:color="auto" w:fill="EEECE1"/>
          </w:tcPr>
          <w:p w14:paraId="32877B33" w14:textId="77777777" w:rsidR="004416C9" w:rsidRPr="004F5958" w:rsidRDefault="004416C9" w:rsidP="00DD177D">
            <w:pPr>
              <w:pStyle w:val="PrformatHTML"/>
              <w:shd w:val="clear" w:color="auto" w:fill="FFFFFF"/>
              <w:rPr>
                <w:lang w:val="en-GB"/>
              </w:rPr>
            </w:pPr>
            <w:r w:rsidRPr="004F5958">
              <w:rPr>
                <w:lang w:val="en-GB"/>
              </w:rPr>
              <w:t xml:space="preserve">Au </w:t>
            </w:r>
            <w:proofErr w:type="spellStart"/>
            <w:r w:rsidRPr="004F5958">
              <w:rPr>
                <w:lang w:val="en-GB"/>
              </w:rPr>
              <w:t>moins</w:t>
            </w:r>
            <w:proofErr w:type="spellEnd"/>
            <w:r w:rsidRPr="004F5958">
              <w:rPr>
                <w:lang w:val="en-GB"/>
              </w:rPr>
              <w:t xml:space="preserve"> 20 % de </w:t>
            </w:r>
            <w:proofErr w:type="spellStart"/>
            <w:r w:rsidRPr="004F5958">
              <w:rPr>
                <w:lang w:val="en-GB"/>
              </w:rPr>
              <w:t>réduction</w:t>
            </w:r>
            <w:proofErr w:type="spellEnd"/>
            <w:r w:rsidRPr="004F5958">
              <w:rPr>
                <w:lang w:val="en-GB"/>
              </w:rPr>
              <w:t xml:space="preserve"> des </w:t>
            </w:r>
            <w:proofErr w:type="spellStart"/>
            <w:r w:rsidRPr="004F5958">
              <w:rPr>
                <w:lang w:val="en-GB"/>
              </w:rPr>
              <w:t>conflits</w:t>
            </w:r>
            <w:proofErr w:type="spellEnd"/>
            <w:r w:rsidRPr="004F5958">
              <w:rPr>
                <w:lang w:val="en-GB"/>
              </w:rPr>
              <w:t xml:space="preserve"> </w:t>
            </w:r>
            <w:proofErr w:type="spellStart"/>
            <w:r w:rsidRPr="004F5958">
              <w:rPr>
                <w:lang w:val="en-GB"/>
              </w:rPr>
              <w:t>fonciers</w:t>
            </w:r>
            <w:proofErr w:type="spellEnd"/>
          </w:p>
        </w:tc>
        <w:tc>
          <w:tcPr>
            <w:tcW w:w="1701" w:type="dxa"/>
          </w:tcPr>
          <w:p w14:paraId="128E21FB" w14:textId="73413083" w:rsidR="004416C9" w:rsidRPr="004F5958" w:rsidRDefault="00571B5E" w:rsidP="00DD177D">
            <w:pPr>
              <w:pStyle w:val="PrformatHTML"/>
              <w:shd w:val="clear" w:color="auto" w:fill="FFFFFF"/>
              <w:rPr>
                <w:lang w:val="en-GB"/>
              </w:rPr>
            </w:pPr>
            <w:r w:rsidRPr="004F5958">
              <w:rPr>
                <w:b/>
                <w:lang w:val="fr-FR"/>
              </w:rPr>
              <w:t>En Décembre 2020, le taux de réduction des conflits était de 24 % donc +4% comparé à la Cible de 20%</w:t>
            </w:r>
          </w:p>
        </w:tc>
        <w:tc>
          <w:tcPr>
            <w:tcW w:w="4253" w:type="dxa"/>
          </w:tcPr>
          <w:p w14:paraId="71BA547A"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39% de litiges fonciers réglés en 2020 (chiffre clé:39)</w:t>
            </w:r>
            <w:r w:rsidRPr="004F5958">
              <w:rPr>
                <w:b/>
                <w:lang w:val="en-GB"/>
              </w:rPr>
              <w:t> </w:t>
            </w:r>
            <w:r w:rsidRPr="004F5958">
              <w:fldChar w:fldCharType="end"/>
            </w:r>
          </w:p>
        </w:tc>
        <w:tc>
          <w:tcPr>
            <w:tcW w:w="1406" w:type="dxa"/>
          </w:tcPr>
          <w:p w14:paraId="1447B24D" w14:textId="11BC9C1C" w:rsidR="004416C9" w:rsidRPr="004F5958" w:rsidRDefault="00571B5E" w:rsidP="00DD177D">
            <w:pPr>
              <w:pStyle w:val="PrformatHTML"/>
              <w:shd w:val="clear" w:color="auto" w:fill="FFFFFF"/>
              <w:rPr>
                <w:lang w:val="en-GB"/>
              </w:rPr>
            </w:pPr>
            <w:r w:rsidRPr="004F5958">
              <w:rPr>
                <w:b/>
                <w:lang w:val="fr-FR"/>
              </w:rPr>
              <w:t xml:space="preserve">   Le suivi des conflits dans l'ensemble des localités se fait sur la base des informations collectées au niveau de la chefferie qui est l'organe d'arbitrage de tous les conflits.</w:t>
            </w:r>
          </w:p>
        </w:tc>
      </w:tr>
      <w:tr w:rsidR="004F5958" w:rsidRPr="004F5958" w14:paraId="1A717C20" w14:textId="77777777" w:rsidTr="00571B5E">
        <w:trPr>
          <w:trHeight w:val="2277"/>
        </w:trPr>
        <w:tc>
          <w:tcPr>
            <w:tcW w:w="1858" w:type="dxa"/>
            <w:vMerge/>
          </w:tcPr>
          <w:p w14:paraId="35EB2A39" w14:textId="77777777" w:rsidR="004416C9" w:rsidRPr="004F5958" w:rsidRDefault="004416C9" w:rsidP="00DD177D">
            <w:pPr>
              <w:pStyle w:val="PrformatHTML"/>
              <w:shd w:val="clear" w:color="auto" w:fill="FFFFFF"/>
              <w:rPr>
                <w:lang w:val="en-GB"/>
              </w:rPr>
            </w:pPr>
          </w:p>
        </w:tc>
        <w:tc>
          <w:tcPr>
            <w:tcW w:w="2410" w:type="dxa"/>
            <w:shd w:val="clear" w:color="auto" w:fill="EEECE1"/>
          </w:tcPr>
          <w:p w14:paraId="19BFAD24"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2.2</w:t>
            </w:r>
          </w:p>
          <w:p w14:paraId="69620F26"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Proportion des conflits fonciers résolus à travers les modes alternatifs/communautaires de règlement</w:t>
            </w:r>
            <w:r w:rsidRPr="004F5958">
              <w:rPr>
                <w:b/>
                <w:lang w:val="en-GB"/>
              </w:rPr>
              <w:t> </w:t>
            </w:r>
            <w:r w:rsidRPr="004F5958">
              <w:fldChar w:fldCharType="end"/>
            </w:r>
          </w:p>
        </w:tc>
        <w:tc>
          <w:tcPr>
            <w:tcW w:w="1276" w:type="dxa"/>
            <w:shd w:val="clear" w:color="auto" w:fill="EEECE1"/>
          </w:tcPr>
          <w:p w14:paraId="71EC132C"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En attente de la réalisation et des résultats d'une étude</w:t>
            </w:r>
            <w:r w:rsidRPr="004F5958">
              <w:rPr>
                <w:b/>
                <w:lang w:val="en-GB"/>
              </w:rPr>
              <w:t> </w:t>
            </w:r>
            <w:r w:rsidRPr="004F5958">
              <w:fldChar w:fldCharType="end"/>
            </w:r>
          </w:p>
        </w:tc>
        <w:tc>
          <w:tcPr>
            <w:tcW w:w="2126" w:type="dxa"/>
            <w:shd w:val="clear" w:color="auto" w:fill="EEECE1"/>
          </w:tcPr>
          <w:p w14:paraId="08A86E2F" w14:textId="77777777" w:rsidR="004416C9" w:rsidRPr="004F5958" w:rsidRDefault="004416C9" w:rsidP="00DD177D">
            <w:pPr>
              <w:pStyle w:val="PrformatHTML"/>
              <w:shd w:val="clear" w:color="auto" w:fill="FFFFFF"/>
              <w:rPr>
                <w:lang w:val="en-GB"/>
              </w:rPr>
            </w:pPr>
            <w:r w:rsidRPr="004F5958">
              <w:rPr>
                <w:lang w:val="en-GB"/>
              </w:rPr>
              <w:t xml:space="preserve">Au </w:t>
            </w:r>
            <w:proofErr w:type="spellStart"/>
            <w:r w:rsidRPr="004F5958">
              <w:rPr>
                <w:lang w:val="en-GB"/>
              </w:rPr>
              <w:t>moins</w:t>
            </w:r>
            <w:proofErr w:type="spellEnd"/>
            <w:r w:rsidRPr="004F5958">
              <w:rPr>
                <w:lang w:val="en-GB"/>
              </w:rPr>
              <w:t xml:space="preserve"> 20%</w:t>
            </w:r>
          </w:p>
        </w:tc>
        <w:tc>
          <w:tcPr>
            <w:tcW w:w="1701" w:type="dxa"/>
          </w:tcPr>
          <w:p w14:paraId="24D7F5FF" w14:textId="77777777" w:rsidR="004416C9" w:rsidRPr="004F5958" w:rsidRDefault="004416C9" w:rsidP="00DD177D">
            <w:pPr>
              <w:pStyle w:val="PrformatHTML"/>
              <w:shd w:val="clear" w:color="auto" w:fill="FFFFFF"/>
              <w:rPr>
                <w:b/>
                <w:lang w:val="en-GB"/>
              </w:rPr>
            </w:pPr>
          </w:p>
          <w:p w14:paraId="4097A377" w14:textId="7E7D9B09" w:rsidR="00571B5E" w:rsidRPr="004F5958" w:rsidRDefault="00571B5E" w:rsidP="00DD177D">
            <w:pPr>
              <w:pStyle w:val="PrformatHTML"/>
              <w:shd w:val="clear" w:color="auto" w:fill="FFFFFF"/>
              <w:rPr>
                <w:lang w:val="en-GB"/>
              </w:rPr>
            </w:pPr>
            <w:r w:rsidRPr="004F5958">
              <w:rPr>
                <w:lang w:val="fr-FR"/>
              </w:rPr>
              <w:t xml:space="preserve">En Décembre 2020, le taux de réduction est à 32% donc +12% comparé à la cible de 20%    </w:t>
            </w:r>
          </w:p>
        </w:tc>
        <w:tc>
          <w:tcPr>
            <w:tcW w:w="4253" w:type="dxa"/>
          </w:tcPr>
          <w:p w14:paraId="1466F462"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Tous les conflits sont réglés par les voies communautaires (chiffre clé:39)</w:t>
            </w:r>
            <w:r w:rsidRPr="004F5958">
              <w:rPr>
                <w:b/>
                <w:lang w:val="en-GB"/>
              </w:rPr>
              <w:t>  </w:t>
            </w:r>
            <w:r w:rsidRPr="004F5958">
              <w:fldChar w:fldCharType="end"/>
            </w:r>
          </w:p>
        </w:tc>
        <w:tc>
          <w:tcPr>
            <w:tcW w:w="1406" w:type="dxa"/>
          </w:tcPr>
          <w:p w14:paraId="4CBA1982"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t> </w:t>
            </w:r>
            <w:r w:rsidRPr="004F5958">
              <w:fldChar w:fldCharType="end"/>
            </w:r>
          </w:p>
        </w:tc>
      </w:tr>
      <w:tr w:rsidR="004F5958" w:rsidRPr="004F5958" w14:paraId="1831C593" w14:textId="77777777" w:rsidTr="00DD177D">
        <w:trPr>
          <w:trHeight w:val="422"/>
        </w:trPr>
        <w:tc>
          <w:tcPr>
            <w:tcW w:w="1858" w:type="dxa"/>
            <w:vMerge/>
          </w:tcPr>
          <w:p w14:paraId="0EB3A0AF" w14:textId="77777777" w:rsidR="004416C9" w:rsidRPr="004F5958" w:rsidRDefault="004416C9" w:rsidP="00DD177D">
            <w:pPr>
              <w:pStyle w:val="PrformatHTML"/>
              <w:shd w:val="clear" w:color="auto" w:fill="FFFFFF"/>
              <w:rPr>
                <w:lang w:val="en-GB"/>
              </w:rPr>
            </w:pPr>
          </w:p>
        </w:tc>
        <w:tc>
          <w:tcPr>
            <w:tcW w:w="2410" w:type="dxa"/>
            <w:shd w:val="clear" w:color="auto" w:fill="EEECE1"/>
          </w:tcPr>
          <w:p w14:paraId="1C2810E0"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2.3</w:t>
            </w:r>
          </w:p>
          <w:p w14:paraId="481C16CC"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1276" w:type="dxa"/>
            <w:shd w:val="clear" w:color="auto" w:fill="EEECE1"/>
          </w:tcPr>
          <w:p w14:paraId="78A37D80"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2126" w:type="dxa"/>
            <w:shd w:val="clear" w:color="auto" w:fill="EEECE1"/>
          </w:tcPr>
          <w:p w14:paraId="33129F32" w14:textId="77777777" w:rsidR="004416C9" w:rsidRPr="004F5958" w:rsidRDefault="004416C9" w:rsidP="00DD177D">
            <w:pPr>
              <w:pStyle w:val="PrformatHTML"/>
              <w:shd w:val="clear" w:color="auto" w:fill="FFFFFF"/>
              <w:rPr>
                <w:lang w:val="en-GB"/>
              </w:rPr>
            </w:pPr>
            <w:r w:rsidRPr="004F5958">
              <w:rPr>
                <w:lang w:val="en-GB"/>
              </w:rPr>
              <w:t xml:space="preserve">      </w:t>
            </w:r>
          </w:p>
        </w:tc>
        <w:tc>
          <w:tcPr>
            <w:tcW w:w="1701" w:type="dxa"/>
          </w:tcPr>
          <w:p w14:paraId="6C721934"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4253" w:type="dxa"/>
          </w:tcPr>
          <w:p w14:paraId="703DCA23"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lang w:val="en-GB"/>
              </w:rPr>
              <w:t xml:space="preserve">      </w:t>
            </w:r>
            <w:r w:rsidRPr="004F5958">
              <w:rPr>
                <w:b/>
                <w:lang w:val="en-GB"/>
              </w:rPr>
              <w:t> </w:t>
            </w:r>
            <w:r w:rsidRPr="004F5958">
              <w:fldChar w:fldCharType="end"/>
            </w:r>
          </w:p>
        </w:tc>
        <w:tc>
          <w:tcPr>
            <w:tcW w:w="1406" w:type="dxa"/>
          </w:tcPr>
          <w:p w14:paraId="0D809070"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r>
      <w:tr w:rsidR="004F5958" w:rsidRPr="004F5958" w14:paraId="591BDF93" w14:textId="77777777" w:rsidTr="00DD177D">
        <w:trPr>
          <w:trHeight w:val="422"/>
        </w:trPr>
        <w:tc>
          <w:tcPr>
            <w:tcW w:w="1858" w:type="dxa"/>
            <w:vMerge w:val="restart"/>
          </w:tcPr>
          <w:p w14:paraId="4875444F" w14:textId="77777777" w:rsidR="004416C9" w:rsidRPr="004F5958" w:rsidRDefault="004416C9" w:rsidP="00DD177D">
            <w:pPr>
              <w:pStyle w:val="PrformatHTML"/>
              <w:shd w:val="clear" w:color="auto" w:fill="FFFFFF"/>
              <w:rPr>
                <w:lang w:val="en-GB"/>
              </w:rPr>
            </w:pPr>
            <w:proofErr w:type="spellStart"/>
            <w:r w:rsidRPr="004F5958">
              <w:rPr>
                <w:lang w:val="en-GB"/>
              </w:rPr>
              <w:t>Produit</w:t>
            </w:r>
            <w:proofErr w:type="spellEnd"/>
            <w:r w:rsidRPr="004F5958">
              <w:rPr>
                <w:lang w:val="en-GB"/>
              </w:rPr>
              <w:t xml:space="preserve"> 2.1</w:t>
            </w:r>
          </w:p>
          <w:p w14:paraId="55CA7579"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La cohésion sociale est renforcée par le renforcement des capacités de l’AFOR pour la mise en œuvre de la politique foncière et le suivi de la gouvernance foncière rurale, ainsi que par le rapprochement communautaire au sein des populations à travers des activités de production agricole</w:t>
            </w:r>
            <w:r w:rsidRPr="004F5958">
              <w:rPr>
                <w:b/>
                <w:lang w:val="en-GB"/>
              </w:rPr>
              <w:t> </w:t>
            </w:r>
            <w:r w:rsidRPr="004F5958">
              <w:fldChar w:fldCharType="end"/>
            </w:r>
          </w:p>
          <w:p w14:paraId="53097693"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2D16DA84" w14:textId="77777777" w:rsidR="004416C9" w:rsidRPr="004F5958" w:rsidRDefault="004416C9" w:rsidP="00DD177D">
            <w:pPr>
              <w:pStyle w:val="PrformatHTML"/>
              <w:shd w:val="clear" w:color="auto" w:fill="FFFFFF"/>
              <w:rPr>
                <w:lang w:val="en-GB"/>
              </w:rPr>
            </w:pPr>
            <w:proofErr w:type="spellStart"/>
            <w:proofErr w:type="gramStart"/>
            <w:r w:rsidRPr="004F5958">
              <w:rPr>
                <w:lang w:val="en-GB"/>
              </w:rPr>
              <w:t>Indicateur</w:t>
            </w:r>
            <w:proofErr w:type="spellEnd"/>
            <w:r w:rsidRPr="004F5958">
              <w:rPr>
                <w:lang w:val="en-GB"/>
              </w:rPr>
              <w:t xml:space="preserve">  2.1.1</w:t>
            </w:r>
            <w:proofErr w:type="gramEnd"/>
          </w:p>
          <w:p w14:paraId="60C9D01E"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Nombre de d’outils mis à la disposition de l’AFOR pour assurer la gouvernance foncière à travers la mise en œuvre de la politique foncière.  </w:t>
            </w:r>
            <w:r w:rsidRPr="004F5958">
              <w:rPr>
                <w:b/>
                <w:lang w:val="en-GB"/>
              </w:rPr>
              <w:t> </w:t>
            </w:r>
            <w:r w:rsidRPr="004F5958">
              <w:fldChar w:fldCharType="end"/>
            </w:r>
          </w:p>
        </w:tc>
        <w:tc>
          <w:tcPr>
            <w:tcW w:w="1276" w:type="dxa"/>
            <w:shd w:val="clear" w:color="auto" w:fill="EEECE1"/>
          </w:tcPr>
          <w:p w14:paraId="39420AC1"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0</w:t>
            </w:r>
            <w:r w:rsidRPr="004F5958">
              <w:rPr>
                <w:b/>
                <w:lang w:val="en-GB"/>
              </w:rPr>
              <w:t> </w:t>
            </w:r>
            <w:r w:rsidRPr="004F5958">
              <w:fldChar w:fldCharType="end"/>
            </w:r>
          </w:p>
        </w:tc>
        <w:tc>
          <w:tcPr>
            <w:tcW w:w="2126" w:type="dxa"/>
            <w:shd w:val="clear" w:color="auto" w:fill="EEECE1"/>
          </w:tcPr>
          <w:p w14:paraId="35A3719E" w14:textId="77777777" w:rsidR="004416C9" w:rsidRPr="004F5958" w:rsidRDefault="004416C9" w:rsidP="00DD177D">
            <w:pPr>
              <w:pStyle w:val="PrformatHTML"/>
              <w:shd w:val="clear" w:color="auto" w:fill="FFFFFF"/>
              <w:rPr>
                <w:lang w:val="en-GB"/>
              </w:rPr>
            </w:pPr>
            <w:r w:rsidRPr="004F5958">
              <w:rPr>
                <w:lang w:val="en-GB"/>
              </w:rPr>
              <w:t xml:space="preserve">4(documentation </w:t>
            </w:r>
            <w:proofErr w:type="spellStart"/>
            <w:r w:rsidRPr="004F5958">
              <w:rPr>
                <w:lang w:val="en-GB"/>
              </w:rPr>
              <w:t>foncière</w:t>
            </w:r>
            <w:proofErr w:type="spellEnd"/>
            <w:r w:rsidRPr="004F5958">
              <w:rPr>
                <w:lang w:val="en-GB"/>
              </w:rPr>
              <w:t xml:space="preserve">-formalisation des documents, </w:t>
            </w:r>
            <w:proofErr w:type="spellStart"/>
            <w:r w:rsidRPr="004F5958">
              <w:rPr>
                <w:lang w:val="en-GB"/>
              </w:rPr>
              <w:t>aménagements</w:t>
            </w:r>
            <w:proofErr w:type="spellEnd"/>
            <w:r w:rsidRPr="004F5958">
              <w:rPr>
                <w:lang w:val="en-GB"/>
              </w:rPr>
              <w:t xml:space="preserve"> </w:t>
            </w:r>
            <w:proofErr w:type="spellStart"/>
            <w:r w:rsidRPr="004F5958">
              <w:rPr>
                <w:lang w:val="en-GB"/>
              </w:rPr>
              <w:t>agricoles</w:t>
            </w:r>
            <w:proofErr w:type="spellEnd"/>
            <w:r w:rsidRPr="004F5958">
              <w:rPr>
                <w:lang w:val="en-GB"/>
              </w:rPr>
              <w:t xml:space="preserve">, AGR, gestion des </w:t>
            </w:r>
            <w:proofErr w:type="spellStart"/>
            <w:r w:rsidRPr="004F5958">
              <w:rPr>
                <w:lang w:val="en-GB"/>
              </w:rPr>
              <w:t>conflits</w:t>
            </w:r>
            <w:proofErr w:type="spellEnd"/>
            <w:r w:rsidRPr="004F5958">
              <w:rPr>
                <w:lang w:val="en-GB"/>
              </w:rPr>
              <w:t xml:space="preserve"> </w:t>
            </w:r>
            <w:proofErr w:type="spellStart"/>
            <w:r w:rsidRPr="004F5958">
              <w:rPr>
                <w:lang w:val="en-GB"/>
              </w:rPr>
              <w:t>fonciers</w:t>
            </w:r>
            <w:proofErr w:type="spellEnd"/>
            <w:r w:rsidRPr="004F5958">
              <w:rPr>
                <w:lang w:val="en-GB"/>
              </w:rPr>
              <w:t>).</w:t>
            </w:r>
          </w:p>
        </w:tc>
        <w:tc>
          <w:tcPr>
            <w:tcW w:w="1701" w:type="dxa"/>
          </w:tcPr>
          <w:p w14:paraId="5A4A9CA1"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- 2020: 4            - 2021: 4           </w:t>
            </w:r>
            <w:r w:rsidRPr="004F5958">
              <w:rPr>
                <w:b/>
                <w:lang w:val="en-GB"/>
              </w:rPr>
              <w:t> </w:t>
            </w:r>
            <w:r w:rsidRPr="004F5958">
              <w:fldChar w:fldCharType="end"/>
            </w:r>
          </w:p>
        </w:tc>
        <w:tc>
          <w:tcPr>
            <w:tcW w:w="4253" w:type="dxa"/>
          </w:tcPr>
          <w:p w14:paraId="7B67AB58"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4 (documentation foncière, formalisation des documents, aménagements agricoles, AGR, gestion des conflits fonciers). (chiffre clé:4)</w:t>
            </w:r>
            <w:r w:rsidRPr="004F5958">
              <w:rPr>
                <w:b/>
                <w:lang w:val="en-GB"/>
              </w:rPr>
              <w:t> </w:t>
            </w:r>
            <w:r w:rsidRPr="004F5958">
              <w:fldChar w:fldCharType="end"/>
            </w:r>
          </w:p>
        </w:tc>
        <w:tc>
          <w:tcPr>
            <w:tcW w:w="1406" w:type="dxa"/>
          </w:tcPr>
          <w:p w14:paraId="53254D86"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t> </w:t>
            </w:r>
            <w:r w:rsidRPr="004F5958">
              <w:fldChar w:fldCharType="end"/>
            </w:r>
          </w:p>
        </w:tc>
      </w:tr>
      <w:tr w:rsidR="004F5958" w:rsidRPr="004F5958" w14:paraId="1E617A70" w14:textId="77777777" w:rsidTr="00DD177D">
        <w:trPr>
          <w:trHeight w:val="458"/>
        </w:trPr>
        <w:tc>
          <w:tcPr>
            <w:tcW w:w="1858" w:type="dxa"/>
            <w:vMerge/>
          </w:tcPr>
          <w:p w14:paraId="1D5CF8B3"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12BDACE4" w14:textId="77777777" w:rsidR="004416C9" w:rsidRPr="004F5958" w:rsidRDefault="004416C9" w:rsidP="00DD177D">
            <w:pPr>
              <w:pStyle w:val="PrformatHTML"/>
              <w:shd w:val="clear" w:color="auto" w:fill="FFFFFF"/>
              <w:rPr>
                <w:lang w:val="en-GB"/>
              </w:rPr>
            </w:pPr>
            <w:proofErr w:type="spellStart"/>
            <w:proofErr w:type="gramStart"/>
            <w:r w:rsidRPr="004F5958">
              <w:rPr>
                <w:lang w:val="en-GB"/>
              </w:rPr>
              <w:t>Indicateur</w:t>
            </w:r>
            <w:proofErr w:type="spellEnd"/>
            <w:r w:rsidRPr="004F5958">
              <w:rPr>
                <w:lang w:val="en-GB"/>
              </w:rPr>
              <w:t xml:space="preserve">  2.1.2</w:t>
            </w:r>
            <w:proofErr w:type="gramEnd"/>
          </w:p>
          <w:p w14:paraId="119E73B5"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Nombre de certificats fonciers</w:t>
            </w:r>
            <w:r w:rsidRPr="004F5958">
              <w:rPr>
                <w:b/>
                <w:lang w:val="en-GB"/>
              </w:rPr>
              <w:t> </w:t>
            </w:r>
            <w:r w:rsidRPr="004F5958">
              <w:fldChar w:fldCharType="end"/>
            </w:r>
          </w:p>
        </w:tc>
        <w:tc>
          <w:tcPr>
            <w:tcW w:w="1276" w:type="dxa"/>
            <w:shd w:val="clear" w:color="auto" w:fill="EEECE1"/>
          </w:tcPr>
          <w:p w14:paraId="06C9A82C"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0</w:t>
            </w:r>
            <w:r w:rsidRPr="004F5958">
              <w:rPr>
                <w:b/>
                <w:lang w:val="en-GB"/>
              </w:rPr>
              <w:t> </w:t>
            </w:r>
            <w:r w:rsidRPr="004F5958">
              <w:fldChar w:fldCharType="end"/>
            </w:r>
          </w:p>
        </w:tc>
        <w:tc>
          <w:tcPr>
            <w:tcW w:w="2126" w:type="dxa"/>
            <w:shd w:val="clear" w:color="auto" w:fill="EEECE1"/>
          </w:tcPr>
          <w:p w14:paraId="0145430E" w14:textId="77777777" w:rsidR="004416C9" w:rsidRPr="004F5958" w:rsidRDefault="004416C9" w:rsidP="00DD177D">
            <w:pPr>
              <w:pStyle w:val="PrformatHTML"/>
              <w:shd w:val="clear" w:color="auto" w:fill="FFFFFF"/>
              <w:rPr>
                <w:lang w:val="en-GB"/>
              </w:rPr>
            </w:pPr>
            <w:r w:rsidRPr="004F5958">
              <w:rPr>
                <w:lang w:val="en-GB"/>
              </w:rPr>
              <w:t>18</w:t>
            </w:r>
          </w:p>
        </w:tc>
        <w:tc>
          <w:tcPr>
            <w:tcW w:w="1701" w:type="dxa"/>
          </w:tcPr>
          <w:p w14:paraId="592A23DC"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- 2020: 18            - 2021: 18           </w:t>
            </w:r>
            <w:r w:rsidRPr="004F5958">
              <w:rPr>
                <w:b/>
                <w:lang w:val="en-GB"/>
              </w:rPr>
              <w:t> </w:t>
            </w:r>
            <w:r w:rsidRPr="004F5958">
              <w:fldChar w:fldCharType="end"/>
            </w:r>
          </w:p>
        </w:tc>
        <w:tc>
          <w:tcPr>
            <w:tcW w:w="4253" w:type="dxa"/>
          </w:tcPr>
          <w:p w14:paraId="40AE9C78"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8 certificats fonciers ont été signés (chiffre clé:16)</w:t>
            </w:r>
            <w:r w:rsidRPr="004F5958">
              <w:rPr>
                <w:b/>
                <w:lang w:val="en-GB"/>
              </w:rPr>
              <w:t> </w:t>
            </w:r>
            <w:r w:rsidRPr="004F5958">
              <w:fldChar w:fldCharType="end"/>
            </w:r>
          </w:p>
        </w:tc>
        <w:tc>
          <w:tcPr>
            <w:tcW w:w="1406" w:type="dxa"/>
          </w:tcPr>
          <w:p w14:paraId="05B57BF8"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t> </w:t>
            </w:r>
            <w:r w:rsidRPr="004F5958">
              <w:fldChar w:fldCharType="end"/>
            </w:r>
          </w:p>
        </w:tc>
      </w:tr>
      <w:tr w:rsidR="004F5958" w:rsidRPr="004F5958" w14:paraId="033B1CA9" w14:textId="77777777" w:rsidTr="00DD177D">
        <w:trPr>
          <w:trHeight w:val="458"/>
        </w:trPr>
        <w:tc>
          <w:tcPr>
            <w:tcW w:w="1858" w:type="dxa"/>
            <w:vMerge/>
          </w:tcPr>
          <w:p w14:paraId="1CA2EE03"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31919BF8" w14:textId="77777777" w:rsidR="004416C9" w:rsidRPr="004F5958" w:rsidRDefault="004416C9" w:rsidP="00DD177D">
            <w:pPr>
              <w:pStyle w:val="PrformatHTML"/>
              <w:shd w:val="clear" w:color="auto" w:fill="FFFFFF"/>
              <w:rPr>
                <w:lang w:val="en-GB"/>
              </w:rPr>
            </w:pPr>
            <w:proofErr w:type="spellStart"/>
            <w:proofErr w:type="gramStart"/>
            <w:r w:rsidRPr="004F5958">
              <w:rPr>
                <w:lang w:val="en-GB"/>
              </w:rPr>
              <w:t>Indicateur</w:t>
            </w:r>
            <w:proofErr w:type="spellEnd"/>
            <w:r w:rsidRPr="004F5958">
              <w:rPr>
                <w:lang w:val="en-GB"/>
              </w:rPr>
              <w:t xml:space="preserve">  2.1.3</w:t>
            </w:r>
            <w:proofErr w:type="gramEnd"/>
          </w:p>
          <w:p w14:paraId="3A193962"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Réduction des litiges fonciers au niveau village/sous-préfecture  grace aux activités d’activités de rapprochement communautaire </w:t>
            </w:r>
            <w:r w:rsidRPr="004F5958">
              <w:rPr>
                <w:b/>
                <w:lang w:val="en-GB"/>
              </w:rPr>
              <w:t> </w:t>
            </w:r>
            <w:r w:rsidRPr="004F5958">
              <w:fldChar w:fldCharType="end"/>
            </w:r>
          </w:p>
        </w:tc>
        <w:tc>
          <w:tcPr>
            <w:tcW w:w="1276" w:type="dxa"/>
            <w:shd w:val="clear" w:color="auto" w:fill="EEECE1"/>
          </w:tcPr>
          <w:p w14:paraId="74BB3898" w14:textId="15ADA2CE" w:rsidR="004416C9" w:rsidRPr="004F5958" w:rsidRDefault="00E22CAA" w:rsidP="00DD177D">
            <w:pPr>
              <w:pStyle w:val="PrformatHTML"/>
              <w:shd w:val="clear" w:color="auto" w:fill="FFFFFF"/>
              <w:rPr>
                <w:b/>
                <w:lang w:val="en-GB"/>
              </w:rPr>
            </w:pPr>
            <w:proofErr w:type="gramStart"/>
            <w:r w:rsidRPr="004F5958">
              <w:rPr>
                <w:lang w:val="en-GB"/>
              </w:rPr>
              <w:t>286 :</w:t>
            </w:r>
            <w:proofErr w:type="gramEnd"/>
            <w:r w:rsidRPr="004F5958">
              <w:rPr>
                <w:lang w:val="en-GB"/>
              </w:rPr>
              <w:t xml:space="preserve"> 2018</w:t>
            </w:r>
          </w:p>
        </w:tc>
        <w:tc>
          <w:tcPr>
            <w:tcW w:w="2126" w:type="dxa"/>
            <w:shd w:val="clear" w:color="auto" w:fill="EEECE1"/>
          </w:tcPr>
          <w:p w14:paraId="4D7710CF" w14:textId="414B6EB6" w:rsidR="004416C9" w:rsidRPr="004F5958" w:rsidRDefault="004416C9" w:rsidP="00DD177D">
            <w:pPr>
              <w:pStyle w:val="PrformatHTML"/>
              <w:shd w:val="clear" w:color="auto" w:fill="FFFFFF"/>
              <w:rPr>
                <w:b/>
                <w:lang w:val="en-GB"/>
              </w:rPr>
            </w:pPr>
            <w:r w:rsidRPr="004F5958">
              <w:rPr>
                <w:lang w:val="en-GB"/>
              </w:rPr>
              <w:t>20</w:t>
            </w:r>
            <w:r w:rsidR="00E22CAA" w:rsidRPr="004F5958">
              <w:rPr>
                <w:lang w:val="en-GB"/>
              </w:rPr>
              <w:t>%</w:t>
            </w:r>
          </w:p>
        </w:tc>
        <w:tc>
          <w:tcPr>
            <w:tcW w:w="1701" w:type="dxa"/>
          </w:tcPr>
          <w:p w14:paraId="32BA4607" w14:textId="77777777" w:rsidR="00E22CAA" w:rsidRPr="004F5958" w:rsidRDefault="00E22CAA" w:rsidP="00E22CAA">
            <w:pPr>
              <w:pStyle w:val="PrformatHTML"/>
              <w:shd w:val="clear" w:color="auto" w:fill="FFFFFF"/>
              <w:rPr>
                <w:lang w:val="en-GB"/>
              </w:rPr>
            </w:pPr>
            <w:r w:rsidRPr="004F5958">
              <w:rPr>
                <w:lang w:val="en-GB"/>
              </w:rPr>
              <w:t xml:space="preserve">   On </w:t>
            </w:r>
            <w:proofErr w:type="spellStart"/>
            <w:r w:rsidRPr="004F5958">
              <w:rPr>
                <w:lang w:val="en-GB"/>
              </w:rPr>
              <w:t>est</w:t>
            </w:r>
            <w:proofErr w:type="spellEnd"/>
            <w:r w:rsidRPr="004F5958">
              <w:rPr>
                <w:lang w:val="en-GB"/>
              </w:rPr>
              <w:t xml:space="preserve"> passé de 306 </w:t>
            </w:r>
            <w:proofErr w:type="spellStart"/>
            <w:r w:rsidRPr="004F5958">
              <w:rPr>
                <w:lang w:val="en-GB"/>
              </w:rPr>
              <w:t>conflits</w:t>
            </w:r>
            <w:proofErr w:type="spellEnd"/>
            <w:r w:rsidRPr="004F5958">
              <w:rPr>
                <w:lang w:val="en-GB"/>
              </w:rPr>
              <w:t xml:space="preserve"> </w:t>
            </w:r>
            <w:proofErr w:type="spellStart"/>
            <w:r w:rsidRPr="004F5958">
              <w:rPr>
                <w:lang w:val="en-GB"/>
              </w:rPr>
              <w:t>en</w:t>
            </w:r>
            <w:proofErr w:type="spellEnd"/>
            <w:r w:rsidRPr="004F5958">
              <w:rPr>
                <w:lang w:val="en-GB"/>
              </w:rPr>
              <w:t xml:space="preserve"> 2019 à 208 </w:t>
            </w:r>
            <w:proofErr w:type="spellStart"/>
            <w:r w:rsidRPr="004F5958">
              <w:rPr>
                <w:lang w:val="en-GB"/>
              </w:rPr>
              <w:t>conflits</w:t>
            </w:r>
            <w:proofErr w:type="spellEnd"/>
            <w:r w:rsidRPr="004F5958">
              <w:rPr>
                <w:lang w:val="en-GB"/>
              </w:rPr>
              <w:t xml:space="preserve"> </w:t>
            </w:r>
            <w:proofErr w:type="spellStart"/>
            <w:r w:rsidRPr="004F5958">
              <w:rPr>
                <w:lang w:val="en-GB"/>
              </w:rPr>
              <w:t>en</w:t>
            </w:r>
            <w:proofErr w:type="spellEnd"/>
            <w:r w:rsidRPr="004F5958">
              <w:rPr>
                <w:lang w:val="en-GB"/>
              </w:rPr>
              <w:t xml:space="preserve"> </w:t>
            </w:r>
            <w:proofErr w:type="spellStart"/>
            <w:r w:rsidRPr="004F5958">
              <w:rPr>
                <w:lang w:val="en-GB"/>
              </w:rPr>
              <w:t>décembre</w:t>
            </w:r>
            <w:proofErr w:type="spellEnd"/>
            <w:r w:rsidRPr="004F5958">
              <w:rPr>
                <w:lang w:val="en-GB"/>
              </w:rPr>
              <w:t xml:space="preserve"> 2020 </w:t>
            </w:r>
          </w:p>
          <w:p w14:paraId="6BCCBD1F" w14:textId="2F1D3A4F" w:rsidR="004416C9" w:rsidRPr="004F5958" w:rsidRDefault="00E22CAA" w:rsidP="00E22CAA">
            <w:pPr>
              <w:pStyle w:val="PrformatHTML"/>
              <w:shd w:val="clear" w:color="auto" w:fill="FFFFFF"/>
              <w:rPr>
                <w:b/>
                <w:lang w:val="en-GB"/>
              </w:rPr>
            </w:pPr>
            <w:r w:rsidRPr="004F5958">
              <w:rPr>
                <w:lang w:val="en-GB"/>
              </w:rPr>
              <w:t xml:space="preserve"> </w:t>
            </w:r>
            <w:proofErr w:type="spellStart"/>
            <w:r w:rsidRPr="004F5958">
              <w:rPr>
                <w:lang w:val="en-GB"/>
              </w:rPr>
              <w:t>En</w:t>
            </w:r>
            <w:proofErr w:type="spellEnd"/>
            <w:r w:rsidRPr="004F5958">
              <w:rPr>
                <w:lang w:val="en-GB"/>
              </w:rPr>
              <w:t xml:space="preserve"> </w:t>
            </w:r>
            <w:proofErr w:type="spellStart"/>
            <w:r w:rsidRPr="004F5958">
              <w:rPr>
                <w:lang w:val="en-GB"/>
              </w:rPr>
              <w:t>Décembre</w:t>
            </w:r>
            <w:proofErr w:type="spellEnd"/>
            <w:r w:rsidRPr="004F5958">
              <w:rPr>
                <w:lang w:val="en-GB"/>
              </w:rPr>
              <w:t xml:space="preserve"> 2020, le </w:t>
            </w:r>
            <w:proofErr w:type="spellStart"/>
            <w:r w:rsidRPr="004F5958">
              <w:rPr>
                <w:lang w:val="en-GB"/>
              </w:rPr>
              <w:t>taux</w:t>
            </w:r>
            <w:proofErr w:type="spellEnd"/>
            <w:r w:rsidRPr="004F5958">
              <w:rPr>
                <w:lang w:val="en-GB"/>
              </w:rPr>
              <w:t xml:space="preserve"> de </w:t>
            </w:r>
            <w:proofErr w:type="spellStart"/>
            <w:r w:rsidRPr="004F5958">
              <w:rPr>
                <w:lang w:val="en-GB"/>
              </w:rPr>
              <w:t>réduction</w:t>
            </w:r>
            <w:proofErr w:type="spellEnd"/>
            <w:r w:rsidRPr="004F5958">
              <w:rPr>
                <w:lang w:val="en-GB"/>
              </w:rPr>
              <w:t xml:space="preserve"> </w:t>
            </w:r>
            <w:proofErr w:type="spellStart"/>
            <w:r w:rsidRPr="004F5958">
              <w:rPr>
                <w:lang w:val="en-GB"/>
              </w:rPr>
              <w:t>est</w:t>
            </w:r>
            <w:proofErr w:type="spellEnd"/>
            <w:r w:rsidRPr="004F5958">
              <w:rPr>
                <w:lang w:val="en-GB"/>
              </w:rPr>
              <w:t xml:space="preserve"> à 32% </w:t>
            </w:r>
            <w:proofErr w:type="spellStart"/>
            <w:r w:rsidRPr="004F5958">
              <w:rPr>
                <w:lang w:val="en-GB"/>
              </w:rPr>
              <w:t>donc</w:t>
            </w:r>
            <w:proofErr w:type="spellEnd"/>
            <w:r w:rsidRPr="004F5958">
              <w:rPr>
                <w:lang w:val="en-GB"/>
              </w:rPr>
              <w:t xml:space="preserve"> +12% </w:t>
            </w:r>
            <w:proofErr w:type="spellStart"/>
            <w:r w:rsidRPr="004F5958">
              <w:rPr>
                <w:lang w:val="en-GB"/>
              </w:rPr>
              <w:t>comparé</w:t>
            </w:r>
            <w:proofErr w:type="spellEnd"/>
            <w:r w:rsidRPr="004F5958">
              <w:rPr>
                <w:lang w:val="en-GB"/>
              </w:rPr>
              <w:t xml:space="preserve"> à la </w:t>
            </w:r>
            <w:proofErr w:type="spellStart"/>
            <w:r w:rsidRPr="004F5958">
              <w:rPr>
                <w:lang w:val="en-GB"/>
              </w:rPr>
              <w:t>cible</w:t>
            </w:r>
            <w:proofErr w:type="spellEnd"/>
            <w:r w:rsidRPr="004F5958">
              <w:rPr>
                <w:lang w:val="en-GB"/>
              </w:rPr>
              <w:t xml:space="preserve"> de 20%    </w:t>
            </w:r>
          </w:p>
        </w:tc>
        <w:tc>
          <w:tcPr>
            <w:tcW w:w="4253" w:type="dxa"/>
          </w:tcPr>
          <w:p w14:paraId="28804BFE" w14:textId="77777777" w:rsidR="004416C9" w:rsidRPr="004F5958" w:rsidRDefault="004416C9" w:rsidP="00DD177D">
            <w:pPr>
              <w:pStyle w:val="PrformatHTML"/>
              <w:shd w:val="clear" w:color="auto" w:fill="FFFFFF"/>
              <w:rPr>
                <w:b/>
                <w:lang w:val="en-GB"/>
              </w:rPr>
            </w:pPr>
            <w:r w:rsidRPr="004F5958">
              <w:rPr>
                <w:lang w:val="en-GB"/>
              </w:rPr>
              <w:t xml:space="preserve">Le </w:t>
            </w:r>
            <w:proofErr w:type="spellStart"/>
            <w:r w:rsidRPr="004F5958">
              <w:rPr>
                <w:lang w:val="en-GB"/>
              </w:rPr>
              <w:t>taux</w:t>
            </w:r>
            <w:proofErr w:type="spellEnd"/>
            <w:r w:rsidRPr="004F5958">
              <w:rPr>
                <w:lang w:val="en-GB"/>
              </w:rPr>
              <w:t xml:space="preserve"> de </w:t>
            </w:r>
            <w:proofErr w:type="spellStart"/>
            <w:r w:rsidRPr="004F5958">
              <w:rPr>
                <w:lang w:val="en-GB"/>
              </w:rPr>
              <w:t>réduction</w:t>
            </w:r>
            <w:proofErr w:type="spellEnd"/>
            <w:r w:rsidRPr="004F5958">
              <w:rPr>
                <w:lang w:val="en-GB"/>
              </w:rPr>
              <w:t xml:space="preserve"> des </w:t>
            </w:r>
            <w:proofErr w:type="spellStart"/>
            <w:r w:rsidRPr="004F5958">
              <w:rPr>
                <w:lang w:val="en-GB"/>
              </w:rPr>
              <w:t>conflits</w:t>
            </w:r>
            <w:proofErr w:type="spellEnd"/>
            <w:r w:rsidRPr="004F5958">
              <w:rPr>
                <w:lang w:val="en-GB"/>
              </w:rPr>
              <w:t xml:space="preserve"> </w:t>
            </w:r>
            <w:proofErr w:type="spellStart"/>
            <w:r w:rsidRPr="004F5958">
              <w:rPr>
                <w:lang w:val="en-GB"/>
              </w:rPr>
              <w:t>est</w:t>
            </w:r>
            <w:proofErr w:type="spellEnd"/>
            <w:r w:rsidRPr="004F5958">
              <w:rPr>
                <w:lang w:val="en-GB"/>
              </w:rPr>
              <w:t xml:space="preserve"> de 39% </w:t>
            </w:r>
            <w:proofErr w:type="spellStart"/>
            <w:r w:rsidRPr="004F5958">
              <w:rPr>
                <w:lang w:val="en-GB"/>
              </w:rPr>
              <w:t>en</w:t>
            </w:r>
            <w:proofErr w:type="spellEnd"/>
            <w:r w:rsidRPr="004F5958">
              <w:rPr>
                <w:lang w:val="en-GB"/>
              </w:rPr>
              <w:t xml:space="preserve"> 2020. </w:t>
            </w:r>
            <w:proofErr w:type="spellStart"/>
            <w:r w:rsidRPr="004F5958">
              <w:rPr>
                <w:lang w:val="en-GB"/>
              </w:rPr>
              <w:t>Soit</w:t>
            </w:r>
            <w:proofErr w:type="spellEnd"/>
            <w:r w:rsidRPr="004F5958">
              <w:rPr>
                <w:lang w:val="en-GB"/>
              </w:rPr>
              <w:t xml:space="preserve"> un </w:t>
            </w:r>
            <w:proofErr w:type="spellStart"/>
            <w:r w:rsidRPr="004F5958">
              <w:rPr>
                <w:lang w:val="en-GB"/>
              </w:rPr>
              <w:t>dépassement</w:t>
            </w:r>
            <w:proofErr w:type="spellEnd"/>
            <w:r w:rsidRPr="004F5958">
              <w:rPr>
                <w:lang w:val="en-GB"/>
              </w:rPr>
              <w:t xml:space="preserve"> de +19% (chiffre clé:39)</w:t>
            </w:r>
          </w:p>
        </w:tc>
        <w:tc>
          <w:tcPr>
            <w:tcW w:w="1406" w:type="dxa"/>
          </w:tcPr>
          <w:p w14:paraId="5CF02152" w14:textId="4E45253A" w:rsidR="004416C9" w:rsidRPr="004F5958" w:rsidRDefault="00E22CAA" w:rsidP="00DD177D">
            <w:pPr>
              <w:pStyle w:val="PrformatHTML"/>
              <w:shd w:val="clear" w:color="auto" w:fill="FFFFFF"/>
              <w:rPr>
                <w:bCs/>
                <w:lang w:val="en-GB"/>
              </w:rPr>
            </w:pPr>
            <w:r w:rsidRPr="004F5958">
              <w:rPr>
                <w:bCs/>
                <w:lang w:val="fr-FR"/>
              </w:rPr>
              <w:t xml:space="preserve">On a effectivement une tendance à la baisse des conflits par l'effet des sensibilisation et l'occupation des populations notamment les jeunes  </w:t>
            </w:r>
          </w:p>
        </w:tc>
      </w:tr>
      <w:tr w:rsidR="004F5958" w:rsidRPr="004F5958" w14:paraId="7BE2EBBC" w14:textId="77777777" w:rsidTr="00DD177D">
        <w:trPr>
          <w:trHeight w:val="512"/>
        </w:trPr>
        <w:tc>
          <w:tcPr>
            <w:tcW w:w="1858" w:type="dxa"/>
            <w:vMerge w:val="restart"/>
          </w:tcPr>
          <w:p w14:paraId="0DC73905" w14:textId="77777777" w:rsidR="004416C9" w:rsidRPr="004F5958" w:rsidRDefault="004416C9" w:rsidP="00DD177D">
            <w:pPr>
              <w:pStyle w:val="PrformatHTML"/>
              <w:shd w:val="clear" w:color="auto" w:fill="FFFFFF"/>
              <w:rPr>
                <w:b/>
                <w:lang w:val="en-GB"/>
              </w:rPr>
            </w:pPr>
          </w:p>
          <w:p w14:paraId="2EE31C15" w14:textId="77777777" w:rsidR="004416C9" w:rsidRPr="004F5958" w:rsidRDefault="004416C9" w:rsidP="00DD177D">
            <w:pPr>
              <w:pStyle w:val="PrformatHTML"/>
              <w:shd w:val="clear" w:color="auto" w:fill="FFFFFF"/>
              <w:rPr>
                <w:lang w:val="en-GB"/>
              </w:rPr>
            </w:pPr>
            <w:proofErr w:type="spellStart"/>
            <w:r w:rsidRPr="004F5958">
              <w:rPr>
                <w:lang w:val="en-GB"/>
              </w:rPr>
              <w:t>Produit</w:t>
            </w:r>
            <w:proofErr w:type="spellEnd"/>
            <w:r w:rsidRPr="004F5958">
              <w:rPr>
                <w:lang w:val="en-GB"/>
              </w:rPr>
              <w:t xml:space="preserve"> 2.2</w:t>
            </w:r>
          </w:p>
          <w:p w14:paraId="59B92300"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Les services d’aide légale en matière foncière et VBG  sont renforcés au profit des groupes vulnérables,  des femmes et des enfants</w:t>
            </w:r>
            <w:r w:rsidRPr="004F5958">
              <w:rPr>
                <w:b/>
                <w:lang w:val="en-GB"/>
              </w:rPr>
              <w:t> </w:t>
            </w:r>
            <w:r w:rsidRPr="004F5958">
              <w:fldChar w:fldCharType="end"/>
            </w:r>
          </w:p>
        </w:tc>
        <w:tc>
          <w:tcPr>
            <w:tcW w:w="2410" w:type="dxa"/>
            <w:shd w:val="clear" w:color="auto" w:fill="EEECE1"/>
          </w:tcPr>
          <w:p w14:paraId="2E809AE1" w14:textId="77777777" w:rsidR="004416C9" w:rsidRPr="004F5958" w:rsidRDefault="004416C9" w:rsidP="00DD177D">
            <w:pPr>
              <w:pStyle w:val="PrformatHTML"/>
              <w:shd w:val="clear" w:color="auto" w:fill="FFFFFF"/>
              <w:rPr>
                <w:lang w:val="en-GB"/>
              </w:rPr>
            </w:pPr>
            <w:proofErr w:type="spellStart"/>
            <w:proofErr w:type="gramStart"/>
            <w:r w:rsidRPr="004F5958">
              <w:rPr>
                <w:lang w:val="en-GB"/>
              </w:rPr>
              <w:t>Indicateur</w:t>
            </w:r>
            <w:proofErr w:type="spellEnd"/>
            <w:r w:rsidRPr="004F5958">
              <w:rPr>
                <w:lang w:val="en-GB"/>
              </w:rPr>
              <w:t xml:space="preserve">  2.2.1</w:t>
            </w:r>
            <w:proofErr w:type="gramEnd"/>
          </w:p>
          <w:p w14:paraId="16C28873"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Nombre de personnes vulnérables qui bénéficient de l’orientation juridique en matière foncière et VBG (données désagrégées par sexe et par structure d’accueil)</w:t>
            </w:r>
            <w:r w:rsidRPr="004F5958">
              <w:rPr>
                <w:b/>
                <w:lang w:val="en-GB"/>
              </w:rPr>
              <w:t> </w:t>
            </w:r>
            <w:r w:rsidRPr="004F5958">
              <w:fldChar w:fldCharType="end"/>
            </w:r>
          </w:p>
        </w:tc>
        <w:tc>
          <w:tcPr>
            <w:tcW w:w="1276" w:type="dxa"/>
            <w:shd w:val="clear" w:color="auto" w:fill="EEECE1"/>
          </w:tcPr>
          <w:p w14:paraId="3FF96E08"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263 personnes dont 161 femmes  ont  bénéficié  d’une assistance juridique et judiciaire grâce à L’appui à trois cliniques juridiques implantées dans la région de l’Ouest du Pays</w:t>
            </w:r>
            <w:r w:rsidRPr="004F5958">
              <w:rPr>
                <w:b/>
                <w:lang w:val="en-GB"/>
              </w:rPr>
              <w:t> </w:t>
            </w:r>
            <w:r w:rsidRPr="004F5958">
              <w:fldChar w:fldCharType="end"/>
            </w:r>
          </w:p>
        </w:tc>
        <w:tc>
          <w:tcPr>
            <w:tcW w:w="2126" w:type="dxa"/>
            <w:shd w:val="clear" w:color="auto" w:fill="EEECE1"/>
          </w:tcPr>
          <w:p w14:paraId="5EFF02F8"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5000</w:t>
            </w:r>
            <w:r w:rsidRPr="004F5958">
              <w:rPr>
                <w:b/>
                <w:lang w:val="en-GB"/>
              </w:rPr>
              <w:t> </w:t>
            </w:r>
            <w:r w:rsidRPr="004F5958">
              <w:fldChar w:fldCharType="end"/>
            </w:r>
          </w:p>
        </w:tc>
        <w:tc>
          <w:tcPr>
            <w:tcW w:w="1701" w:type="dxa"/>
          </w:tcPr>
          <w:p w14:paraId="7821CAAB"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- 2020: 5000            - 2021: 5000           </w:t>
            </w:r>
            <w:r w:rsidRPr="004F5958">
              <w:rPr>
                <w:b/>
                <w:lang w:val="en-GB"/>
              </w:rPr>
              <w:t> </w:t>
            </w:r>
            <w:r w:rsidRPr="004F5958">
              <w:fldChar w:fldCharType="end"/>
            </w:r>
          </w:p>
        </w:tc>
        <w:tc>
          <w:tcPr>
            <w:tcW w:w="4253" w:type="dxa"/>
          </w:tcPr>
          <w:p w14:paraId="4368F583"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Les activités se rapportant à l'amélioration de l'accès à la justice, à l'information et à l'assistance juridique de proximité, au renforcement des capacités en matière de droits de l'Homme à l'endroit des groupes vulnérables, des femmes et des jeunes ont été réalisées dans les régions de San Pedro, Guiglo et Man. (chiffre clé:75871)</w:t>
            </w:r>
            <w:r w:rsidRPr="004F5958">
              <w:rPr>
                <w:b/>
                <w:lang w:val="en-GB"/>
              </w:rPr>
              <w:t> </w:t>
            </w:r>
            <w:r w:rsidRPr="004F5958">
              <w:fldChar w:fldCharType="end"/>
            </w:r>
          </w:p>
        </w:tc>
        <w:tc>
          <w:tcPr>
            <w:tcW w:w="1406" w:type="dxa"/>
          </w:tcPr>
          <w:p w14:paraId="2C9F71F1"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fldChar w:fldCharType="end"/>
            </w:r>
            <w:r w:rsidRPr="004F5958">
              <w:rPr>
                <w:b/>
                <w:lang w:val="en-GB"/>
              </w:rPr>
              <w:t> </w:t>
            </w:r>
            <w:r w:rsidRPr="004F5958">
              <w:fldChar w:fldCharType="end"/>
            </w:r>
          </w:p>
        </w:tc>
      </w:tr>
      <w:tr w:rsidR="004F5958" w:rsidRPr="004F5958" w14:paraId="6B74BE04" w14:textId="77777777" w:rsidTr="00DD177D">
        <w:trPr>
          <w:trHeight w:val="458"/>
        </w:trPr>
        <w:tc>
          <w:tcPr>
            <w:tcW w:w="1858" w:type="dxa"/>
            <w:vMerge/>
          </w:tcPr>
          <w:p w14:paraId="4B7A8C8C"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376EBD70" w14:textId="77777777" w:rsidR="004416C9" w:rsidRPr="004F5958" w:rsidRDefault="004416C9" w:rsidP="00DD177D">
            <w:pPr>
              <w:pStyle w:val="PrformatHTML"/>
              <w:shd w:val="clear" w:color="auto" w:fill="FFFFFF"/>
              <w:rPr>
                <w:lang w:val="en-GB"/>
              </w:rPr>
            </w:pPr>
            <w:proofErr w:type="spellStart"/>
            <w:proofErr w:type="gramStart"/>
            <w:r w:rsidRPr="004F5958">
              <w:rPr>
                <w:lang w:val="en-GB"/>
              </w:rPr>
              <w:t>Indicateur</w:t>
            </w:r>
            <w:proofErr w:type="spellEnd"/>
            <w:r w:rsidRPr="004F5958">
              <w:rPr>
                <w:lang w:val="en-GB"/>
              </w:rPr>
              <w:t xml:space="preserve">  2.2.2</w:t>
            </w:r>
            <w:proofErr w:type="gramEnd"/>
          </w:p>
          <w:p w14:paraId="2E663EB7"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Nombre de conflits médiés par les structures d’accueil (Cliniques Juridiques, BCG et Bureaux d’Assistance Judiciaire, (désagrégé par sexe</w:t>
            </w:r>
            <w:r w:rsidRPr="004F5958">
              <w:rPr>
                <w:b/>
                <w:lang w:val="en-GB"/>
              </w:rPr>
              <w:t> </w:t>
            </w:r>
            <w:r w:rsidRPr="004F5958">
              <w:fldChar w:fldCharType="end"/>
            </w:r>
          </w:p>
        </w:tc>
        <w:tc>
          <w:tcPr>
            <w:tcW w:w="1276" w:type="dxa"/>
            <w:shd w:val="clear" w:color="auto" w:fill="EEECE1"/>
          </w:tcPr>
          <w:p w14:paraId="2380C1D5"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Des formations et sensibilisations ont été organisées sur le foncier rural entre 2015 et 2015. La clinique juridique de Guiglo par exemple a sensibilisé plus de 2284 personnes sur le foncier rural au cours de cette période (informations d’AFJCI). Cependant, le travail de médiation en vue du règlement de litiges n’a pas été effectué.</w:t>
            </w:r>
            <w:r w:rsidRPr="004F5958">
              <w:rPr>
                <w:b/>
                <w:lang w:val="en-GB"/>
              </w:rPr>
              <w:t> </w:t>
            </w:r>
            <w:r w:rsidRPr="004F5958">
              <w:fldChar w:fldCharType="end"/>
            </w:r>
          </w:p>
        </w:tc>
        <w:tc>
          <w:tcPr>
            <w:tcW w:w="2126" w:type="dxa"/>
            <w:shd w:val="clear" w:color="auto" w:fill="EEECE1"/>
          </w:tcPr>
          <w:p w14:paraId="1D98C992"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500 conflits/litiges</w:t>
            </w:r>
            <w:r w:rsidRPr="004F5958">
              <w:rPr>
                <w:b/>
                <w:lang w:val="en-GB"/>
              </w:rPr>
              <w:t> </w:t>
            </w:r>
            <w:r w:rsidRPr="004F5958">
              <w:fldChar w:fldCharType="end"/>
            </w:r>
          </w:p>
        </w:tc>
        <w:tc>
          <w:tcPr>
            <w:tcW w:w="1701" w:type="dxa"/>
          </w:tcPr>
          <w:p w14:paraId="09799A91"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- 2020: 500            - 2021: 500           </w:t>
            </w:r>
            <w:r w:rsidRPr="004F5958">
              <w:rPr>
                <w:b/>
                <w:lang w:val="en-GB"/>
              </w:rPr>
              <w:t> </w:t>
            </w:r>
            <w:r w:rsidRPr="004F5958">
              <w:fldChar w:fldCharType="end"/>
            </w:r>
          </w:p>
        </w:tc>
        <w:tc>
          <w:tcPr>
            <w:tcW w:w="4253" w:type="dxa"/>
          </w:tcPr>
          <w:p w14:paraId="192B6CD1"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Activité achevée en 2020 (chiffre clé:200)</w:t>
            </w:r>
            <w:r w:rsidRPr="004F5958">
              <w:rPr>
                <w:b/>
                <w:lang w:val="en-GB"/>
              </w:rPr>
              <w:t> </w:t>
            </w:r>
            <w:r w:rsidRPr="004F5958">
              <w:fldChar w:fldCharType="end"/>
            </w:r>
          </w:p>
        </w:tc>
        <w:tc>
          <w:tcPr>
            <w:tcW w:w="1406" w:type="dxa"/>
          </w:tcPr>
          <w:p w14:paraId="31FA53FC"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t> </w:t>
            </w:r>
            <w:r w:rsidRPr="004F5958">
              <w:fldChar w:fldCharType="end"/>
            </w:r>
            <w:r w:rsidRPr="004F5958">
              <w:rPr>
                <w:b/>
                <w:lang w:val="en-GB"/>
              </w:rPr>
              <w:t> </w:t>
            </w:r>
            <w:r w:rsidRPr="004F5958">
              <w:fldChar w:fldCharType="end"/>
            </w:r>
          </w:p>
        </w:tc>
      </w:tr>
      <w:tr w:rsidR="004F5958" w:rsidRPr="004F5958" w14:paraId="1E6789B0" w14:textId="77777777" w:rsidTr="00DD177D">
        <w:trPr>
          <w:trHeight w:val="458"/>
        </w:trPr>
        <w:tc>
          <w:tcPr>
            <w:tcW w:w="1858" w:type="dxa"/>
            <w:vMerge/>
          </w:tcPr>
          <w:p w14:paraId="78AA86A0"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40FBACF9" w14:textId="77777777" w:rsidR="004416C9" w:rsidRPr="004F5958" w:rsidRDefault="004416C9" w:rsidP="00DD177D">
            <w:pPr>
              <w:pStyle w:val="PrformatHTML"/>
              <w:shd w:val="clear" w:color="auto" w:fill="FFFFFF"/>
              <w:rPr>
                <w:lang w:val="en-GB"/>
              </w:rPr>
            </w:pPr>
            <w:proofErr w:type="spellStart"/>
            <w:proofErr w:type="gramStart"/>
            <w:r w:rsidRPr="004F5958">
              <w:rPr>
                <w:lang w:val="en-GB"/>
              </w:rPr>
              <w:t>Indicateur</w:t>
            </w:r>
            <w:proofErr w:type="spellEnd"/>
            <w:r w:rsidRPr="004F5958">
              <w:rPr>
                <w:lang w:val="en-GB"/>
              </w:rPr>
              <w:t xml:space="preserve">  2.2.3</w:t>
            </w:r>
            <w:proofErr w:type="gramEnd"/>
          </w:p>
          <w:p w14:paraId="1227A83F"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1276" w:type="dxa"/>
            <w:shd w:val="clear" w:color="auto" w:fill="EEECE1"/>
          </w:tcPr>
          <w:p w14:paraId="166E3FEC"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2126" w:type="dxa"/>
            <w:shd w:val="clear" w:color="auto" w:fill="EEECE1"/>
          </w:tcPr>
          <w:p w14:paraId="1E96FBB5"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1701" w:type="dxa"/>
          </w:tcPr>
          <w:p w14:paraId="2143005C"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4253" w:type="dxa"/>
          </w:tcPr>
          <w:p w14:paraId="22718657"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1406" w:type="dxa"/>
          </w:tcPr>
          <w:p w14:paraId="783B84EE" w14:textId="77777777" w:rsidR="004416C9" w:rsidRPr="004F5958" w:rsidRDefault="004416C9" w:rsidP="00DD177D">
            <w:pPr>
              <w:pStyle w:val="PrformatHTML"/>
              <w:shd w:val="clear" w:color="auto" w:fill="FFFFFF"/>
              <w:rPr>
                <w:b/>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r>
      <w:tr w:rsidR="004F5958" w:rsidRPr="004F5958" w14:paraId="3B22B6EB" w14:textId="77777777" w:rsidTr="00DD177D">
        <w:trPr>
          <w:trHeight w:val="458"/>
        </w:trPr>
        <w:tc>
          <w:tcPr>
            <w:tcW w:w="1858" w:type="dxa"/>
            <w:vMerge w:val="restart"/>
          </w:tcPr>
          <w:p w14:paraId="0519D5B8" w14:textId="77777777" w:rsidR="004416C9" w:rsidRPr="004F5958" w:rsidRDefault="004416C9" w:rsidP="00DD177D">
            <w:pPr>
              <w:pStyle w:val="PrformatHTML"/>
              <w:shd w:val="clear" w:color="auto" w:fill="FFFFFF"/>
              <w:rPr>
                <w:b/>
                <w:lang w:val="en-GB"/>
              </w:rPr>
            </w:pPr>
          </w:p>
          <w:p w14:paraId="4B28B0D6" w14:textId="77777777" w:rsidR="004416C9" w:rsidRPr="004F5958" w:rsidRDefault="004416C9" w:rsidP="00DD177D">
            <w:pPr>
              <w:pStyle w:val="PrformatHTML"/>
              <w:shd w:val="clear" w:color="auto" w:fill="FFFFFF"/>
              <w:rPr>
                <w:lang w:val="en-GB"/>
              </w:rPr>
            </w:pPr>
            <w:proofErr w:type="spellStart"/>
            <w:r w:rsidRPr="004F5958">
              <w:rPr>
                <w:lang w:val="en-GB"/>
              </w:rPr>
              <w:t>Produit</w:t>
            </w:r>
            <w:proofErr w:type="spellEnd"/>
            <w:r w:rsidRPr="004F5958">
              <w:rPr>
                <w:lang w:val="en-GB"/>
              </w:rPr>
              <w:t xml:space="preserve"> 2.3</w:t>
            </w:r>
          </w:p>
          <w:p w14:paraId="7314D609"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Le monitoring des mécanismes de résolution des conflits foncier et du traitement judiciaire des VBG est assuré et renseigne sur l’amélioration des actions en faveur des groupes vulnérables y compris les femmes et les enfants.</w:t>
            </w:r>
            <w:r w:rsidRPr="004F5958">
              <w:rPr>
                <w:b/>
                <w:lang w:val="en-GB"/>
              </w:rPr>
              <w:t> </w:t>
            </w:r>
            <w:r w:rsidRPr="004F5958">
              <w:fldChar w:fldCharType="end"/>
            </w:r>
          </w:p>
        </w:tc>
        <w:tc>
          <w:tcPr>
            <w:tcW w:w="2410" w:type="dxa"/>
            <w:shd w:val="clear" w:color="auto" w:fill="EEECE1"/>
          </w:tcPr>
          <w:p w14:paraId="0163FE60" w14:textId="77777777" w:rsidR="004416C9" w:rsidRPr="004F5958" w:rsidRDefault="004416C9" w:rsidP="00DD177D">
            <w:pPr>
              <w:pStyle w:val="PrformatHTML"/>
              <w:shd w:val="clear" w:color="auto" w:fill="FFFFFF"/>
              <w:rPr>
                <w:lang w:val="en-GB"/>
              </w:rPr>
            </w:pPr>
            <w:proofErr w:type="spellStart"/>
            <w:proofErr w:type="gramStart"/>
            <w:r w:rsidRPr="004F5958">
              <w:rPr>
                <w:lang w:val="en-GB"/>
              </w:rPr>
              <w:t>Indicateur</w:t>
            </w:r>
            <w:proofErr w:type="spellEnd"/>
            <w:r w:rsidRPr="004F5958">
              <w:rPr>
                <w:lang w:val="en-GB"/>
              </w:rPr>
              <w:t xml:space="preserve">  2.3.1</w:t>
            </w:r>
            <w:proofErr w:type="gramEnd"/>
          </w:p>
          <w:p w14:paraId="742259F3"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Nombre de moniteurs formés</w:t>
            </w:r>
            <w:r w:rsidRPr="004F5958">
              <w:rPr>
                <w:b/>
                <w:lang w:val="en-GB"/>
              </w:rPr>
              <w:t> </w:t>
            </w:r>
            <w:r w:rsidRPr="004F5958">
              <w:fldChar w:fldCharType="end"/>
            </w:r>
          </w:p>
        </w:tc>
        <w:tc>
          <w:tcPr>
            <w:tcW w:w="1276" w:type="dxa"/>
            <w:shd w:val="clear" w:color="auto" w:fill="EEECE1"/>
          </w:tcPr>
          <w:p w14:paraId="64E1BE81"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0</w:t>
            </w:r>
            <w:r w:rsidRPr="004F5958">
              <w:rPr>
                <w:b/>
                <w:lang w:val="en-GB"/>
              </w:rPr>
              <w:t> </w:t>
            </w:r>
            <w:r w:rsidRPr="004F5958">
              <w:fldChar w:fldCharType="end"/>
            </w:r>
          </w:p>
        </w:tc>
        <w:tc>
          <w:tcPr>
            <w:tcW w:w="2126" w:type="dxa"/>
            <w:shd w:val="clear" w:color="auto" w:fill="EEECE1"/>
          </w:tcPr>
          <w:p w14:paraId="43565093"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10</w:t>
            </w:r>
            <w:r w:rsidRPr="004F5958">
              <w:rPr>
                <w:b/>
                <w:lang w:val="en-GB"/>
              </w:rPr>
              <w:t> </w:t>
            </w:r>
            <w:r w:rsidRPr="004F5958">
              <w:fldChar w:fldCharType="end"/>
            </w:r>
          </w:p>
        </w:tc>
        <w:tc>
          <w:tcPr>
            <w:tcW w:w="1701" w:type="dxa"/>
          </w:tcPr>
          <w:p w14:paraId="615DFEF4"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- 2020: 10            - 2021: 10           </w:t>
            </w:r>
            <w:r w:rsidRPr="004F5958">
              <w:rPr>
                <w:b/>
                <w:lang w:val="en-GB"/>
              </w:rPr>
              <w:t> </w:t>
            </w:r>
            <w:r w:rsidRPr="004F5958">
              <w:fldChar w:fldCharType="end"/>
            </w:r>
          </w:p>
        </w:tc>
        <w:tc>
          <w:tcPr>
            <w:tcW w:w="4253" w:type="dxa"/>
          </w:tcPr>
          <w:p w14:paraId="6E0AB187"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Formation des 81 officiers des droits humains sur les violations des droits humains en période électorale.  Au total, 112 présidents et officiers des commissions régionales des droits de l'homme ont bénéficié de 4 formations (chiffre clé:112)</w:t>
            </w:r>
            <w:r w:rsidRPr="004F5958">
              <w:rPr>
                <w:b/>
                <w:lang w:val="en-GB"/>
              </w:rPr>
              <w:t> </w:t>
            </w:r>
            <w:r w:rsidRPr="004F5958">
              <w:fldChar w:fldCharType="end"/>
            </w:r>
          </w:p>
        </w:tc>
        <w:tc>
          <w:tcPr>
            <w:tcW w:w="1406" w:type="dxa"/>
          </w:tcPr>
          <w:p w14:paraId="2B496E8C"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lang w:val="en-GB"/>
              </w:rPr>
              <w:t>RAS</w:t>
            </w:r>
            <w:r w:rsidRPr="004F5958">
              <w:fldChar w:fldCharType="end"/>
            </w:r>
            <w:r w:rsidRPr="004F5958">
              <w:rPr>
                <w:b/>
                <w:lang w:val="en-GB"/>
              </w:rPr>
              <w:t> </w:t>
            </w:r>
            <w:r w:rsidRPr="004F5958">
              <w:fldChar w:fldCharType="end"/>
            </w:r>
          </w:p>
        </w:tc>
      </w:tr>
      <w:tr w:rsidR="004F5958" w:rsidRPr="004F5958" w14:paraId="52BBB892" w14:textId="77777777" w:rsidTr="00DD177D">
        <w:trPr>
          <w:trHeight w:val="458"/>
        </w:trPr>
        <w:tc>
          <w:tcPr>
            <w:tcW w:w="1858" w:type="dxa"/>
            <w:vMerge/>
          </w:tcPr>
          <w:p w14:paraId="3DD028D7"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75BBA747" w14:textId="77777777" w:rsidR="004416C9" w:rsidRPr="004F5958" w:rsidRDefault="004416C9" w:rsidP="00DD177D">
            <w:pPr>
              <w:pStyle w:val="PrformatHTML"/>
              <w:shd w:val="clear" w:color="auto" w:fill="FFFFFF"/>
              <w:rPr>
                <w:lang w:val="en-GB"/>
              </w:rPr>
            </w:pPr>
            <w:proofErr w:type="spellStart"/>
            <w:proofErr w:type="gramStart"/>
            <w:r w:rsidRPr="004F5958">
              <w:rPr>
                <w:lang w:val="en-GB"/>
              </w:rPr>
              <w:t>Indicateur</w:t>
            </w:r>
            <w:proofErr w:type="spellEnd"/>
            <w:r w:rsidRPr="004F5958">
              <w:rPr>
                <w:lang w:val="en-GB"/>
              </w:rPr>
              <w:t xml:space="preserve">  2.3.2</w:t>
            </w:r>
            <w:proofErr w:type="gramEnd"/>
          </w:p>
          <w:p w14:paraId="3B0D5391"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Nombre de rapport de monitoring/suivi produits</w:t>
            </w:r>
            <w:r w:rsidRPr="004F5958">
              <w:rPr>
                <w:b/>
                <w:lang w:val="en-GB"/>
              </w:rPr>
              <w:t> </w:t>
            </w:r>
            <w:r w:rsidRPr="004F5958">
              <w:fldChar w:fldCharType="end"/>
            </w:r>
          </w:p>
        </w:tc>
        <w:tc>
          <w:tcPr>
            <w:tcW w:w="1276" w:type="dxa"/>
            <w:shd w:val="clear" w:color="auto" w:fill="EEECE1"/>
          </w:tcPr>
          <w:p w14:paraId="094BB66C"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0</w:t>
            </w:r>
            <w:r w:rsidRPr="004F5958">
              <w:rPr>
                <w:b/>
                <w:lang w:val="en-GB"/>
              </w:rPr>
              <w:t> </w:t>
            </w:r>
            <w:r w:rsidRPr="004F5958">
              <w:fldChar w:fldCharType="end"/>
            </w:r>
          </w:p>
        </w:tc>
        <w:tc>
          <w:tcPr>
            <w:tcW w:w="2126" w:type="dxa"/>
            <w:shd w:val="clear" w:color="auto" w:fill="EEECE1"/>
          </w:tcPr>
          <w:p w14:paraId="38A2116B"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4</w:t>
            </w:r>
            <w:r w:rsidRPr="004F5958">
              <w:rPr>
                <w:b/>
                <w:lang w:val="en-GB"/>
              </w:rPr>
              <w:t> </w:t>
            </w:r>
            <w:r w:rsidRPr="004F5958">
              <w:fldChar w:fldCharType="end"/>
            </w:r>
          </w:p>
        </w:tc>
        <w:tc>
          <w:tcPr>
            <w:tcW w:w="1701" w:type="dxa"/>
          </w:tcPr>
          <w:p w14:paraId="3C831AF3"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- 2020: 4            - 2021: 4           </w:t>
            </w:r>
            <w:r w:rsidRPr="004F5958">
              <w:rPr>
                <w:b/>
                <w:lang w:val="en-GB"/>
              </w:rPr>
              <w:t> </w:t>
            </w:r>
            <w:r w:rsidRPr="004F5958">
              <w:fldChar w:fldCharType="end"/>
            </w:r>
          </w:p>
        </w:tc>
        <w:tc>
          <w:tcPr>
            <w:tcW w:w="4253" w:type="dxa"/>
          </w:tcPr>
          <w:p w14:paraId="0CADB765"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3  Rapports produits en 2020. Pas encore de rapports produits depuis le début de l'année 2021 (chiffre clé:7)</w:t>
            </w:r>
            <w:r w:rsidRPr="004F5958">
              <w:rPr>
                <w:b/>
                <w:lang w:val="en-GB"/>
              </w:rPr>
              <w:t> </w:t>
            </w:r>
            <w:r w:rsidRPr="004F5958">
              <w:fldChar w:fldCharType="end"/>
            </w:r>
          </w:p>
        </w:tc>
        <w:tc>
          <w:tcPr>
            <w:tcW w:w="1406" w:type="dxa"/>
          </w:tcPr>
          <w:p w14:paraId="7F614C5E"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00A918FD">
              <w:rPr>
                <w:b/>
                <w:lang w:val="en-GB"/>
              </w:rPr>
            </w:r>
            <w:r w:rsidR="00A918FD">
              <w:rPr>
                <w:b/>
                <w:lang w:val="en-GB"/>
              </w:rPr>
              <w:fldChar w:fldCharType="separate"/>
            </w:r>
            <w:r w:rsidRPr="004F5958">
              <w:fldChar w:fldCharType="end"/>
            </w:r>
            <w:r w:rsidRPr="004F5958">
              <w:rPr>
                <w:b/>
                <w:lang w:val="en-GB"/>
              </w:rPr>
              <w:t> </w:t>
            </w:r>
            <w:r w:rsidRPr="004F5958">
              <w:fldChar w:fldCharType="end"/>
            </w:r>
          </w:p>
        </w:tc>
      </w:tr>
      <w:tr w:rsidR="004F5958" w:rsidRPr="004F5958" w14:paraId="166B34A9" w14:textId="77777777" w:rsidTr="00DD177D">
        <w:trPr>
          <w:trHeight w:val="458"/>
        </w:trPr>
        <w:tc>
          <w:tcPr>
            <w:tcW w:w="1858" w:type="dxa"/>
            <w:vMerge/>
          </w:tcPr>
          <w:p w14:paraId="06A48DC9"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71E01C34" w14:textId="77777777" w:rsidR="004416C9" w:rsidRPr="004F5958" w:rsidRDefault="004416C9" w:rsidP="00DD177D">
            <w:pPr>
              <w:pStyle w:val="PrformatHTML"/>
              <w:shd w:val="clear" w:color="auto" w:fill="FFFFFF"/>
              <w:rPr>
                <w:lang w:val="en-GB"/>
              </w:rPr>
            </w:pPr>
            <w:proofErr w:type="spellStart"/>
            <w:proofErr w:type="gramStart"/>
            <w:r w:rsidRPr="004F5958">
              <w:rPr>
                <w:lang w:val="en-GB"/>
              </w:rPr>
              <w:t>Indicateur</w:t>
            </w:r>
            <w:proofErr w:type="spellEnd"/>
            <w:r w:rsidRPr="004F5958">
              <w:rPr>
                <w:lang w:val="en-GB"/>
              </w:rPr>
              <w:t xml:space="preserve">  2.3.3</w:t>
            </w:r>
            <w:proofErr w:type="gramEnd"/>
          </w:p>
          <w:p w14:paraId="3DA6DBF8"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1276" w:type="dxa"/>
            <w:shd w:val="clear" w:color="auto" w:fill="EEECE1"/>
          </w:tcPr>
          <w:p w14:paraId="45519448"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2126" w:type="dxa"/>
            <w:shd w:val="clear" w:color="auto" w:fill="EEECE1"/>
          </w:tcPr>
          <w:p w14:paraId="65B26A2B"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1701" w:type="dxa"/>
          </w:tcPr>
          <w:p w14:paraId="089FCF90"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4253" w:type="dxa"/>
          </w:tcPr>
          <w:p w14:paraId="75EA75EA"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1406" w:type="dxa"/>
          </w:tcPr>
          <w:p w14:paraId="3EBA9176" w14:textId="77777777" w:rsidR="004416C9" w:rsidRPr="004F5958" w:rsidRDefault="004416C9" w:rsidP="00DD177D">
            <w:pPr>
              <w:pStyle w:val="PrformatHTML"/>
              <w:shd w:val="clear" w:color="auto" w:fill="FFFFFF"/>
              <w:rPr>
                <w:b/>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r>
      <w:tr w:rsidR="004F5958" w:rsidRPr="004F5958" w14:paraId="63C93B5D" w14:textId="77777777" w:rsidTr="00DD177D">
        <w:trPr>
          <w:trHeight w:val="458"/>
        </w:trPr>
        <w:tc>
          <w:tcPr>
            <w:tcW w:w="1858" w:type="dxa"/>
            <w:vMerge w:val="restart"/>
          </w:tcPr>
          <w:p w14:paraId="29CFF43D" w14:textId="77777777" w:rsidR="004416C9" w:rsidRPr="004F5958" w:rsidRDefault="004416C9" w:rsidP="00DD177D">
            <w:pPr>
              <w:pStyle w:val="PrformatHTML"/>
              <w:shd w:val="clear" w:color="auto" w:fill="FFFFFF"/>
              <w:rPr>
                <w:b/>
                <w:lang w:val="en-GB"/>
              </w:rPr>
            </w:pPr>
          </w:p>
          <w:p w14:paraId="29D98E85" w14:textId="77777777" w:rsidR="004416C9" w:rsidRPr="004F5958" w:rsidRDefault="004416C9" w:rsidP="00DD177D">
            <w:pPr>
              <w:pStyle w:val="PrformatHTML"/>
              <w:shd w:val="clear" w:color="auto" w:fill="FFFFFF"/>
              <w:rPr>
                <w:lang w:val="en-GB"/>
              </w:rPr>
            </w:pPr>
            <w:proofErr w:type="spellStart"/>
            <w:r w:rsidRPr="004F5958">
              <w:rPr>
                <w:lang w:val="en-GB"/>
              </w:rPr>
              <w:t>Produit</w:t>
            </w:r>
            <w:proofErr w:type="spellEnd"/>
            <w:r w:rsidRPr="004F5958">
              <w:rPr>
                <w:lang w:val="en-GB"/>
              </w:rPr>
              <w:t xml:space="preserve"> 2.4</w:t>
            </w:r>
          </w:p>
          <w:p w14:paraId="1A3D4D4D"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2410" w:type="dxa"/>
            <w:shd w:val="clear" w:color="auto" w:fill="EEECE1"/>
          </w:tcPr>
          <w:p w14:paraId="3CCB334D" w14:textId="77777777" w:rsidR="004416C9" w:rsidRPr="004F5958" w:rsidRDefault="004416C9" w:rsidP="00DD177D">
            <w:pPr>
              <w:pStyle w:val="PrformatHTML"/>
              <w:shd w:val="clear" w:color="auto" w:fill="FFFFFF"/>
              <w:rPr>
                <w:lang w:val="en-GB"/>
              </w:rPr>
            </w:pPr>
            <w:proofErr w:type="spellStart"/>
            <w:proofErr w:type="gramStart"/>
            <w:r w:rsidRPr="004F5958">
              <w:rPr>
                <w:lang w:val="en-GB"/>
              </w:rPr>
              <w:t>Indicateur</w:t>
            </w:r>
            <w:proofErr w:type="spellEnd"/>
            <w:r w:rsidRPr="004F5958">
              <w:rPr>
                <w:lang w:val="en-GB"/>
              </w:rPr>
              <w:t xml:space="preserve">  2.4.1</w:t>
            </w:r>
            <w:proofErr w:type="gramEnd"/>
          </w:p>
          <w:p w14:paraId="5A7BF0E1"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lang w:val="en-GB"/>
              </w:rPr>
              <w:t xml:space="preserve">      </w:t>
            </w:r>
            <w:r w:rsidRPr="004F5958">
              <w:fldChar w:fldCharType="end"/>
            </w:r>
            <w:r w:rsidRPr="004F5958">
              <w:rPr>
                <w:b/>
                <w:lang w:val="en-GB"/>
              </w:rPr>
              <w:t> </w:t>
            </w:r>
            <w:r w:rsidRPr="004F5958">
              <w:fldChar w:fldCharType="end"/>
            </w:r>
          </w:p>
        </w:tc>
        <w:tc>
          <w:tcPr>
            <w:tcW w:w="1276" w:type="dxa"/>
            <w:shd w:val="clear" w:color="auto" w:fill="EEECE1"/>
          </w:tcPr>
          <w:p w14:paraId="5FD4D4C2"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2126" w:type="dxa"/>
            <w:shd w:val="clear" w:color="auto" w:fill="EEECE1"/>
          </w:tcPr>
          <w:p w14:paraId="02F2FB56"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1701" w:type="dxa"/>
          </w:tcPr>
          <w:p w14:paraId="3EA0B216"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4253" w:type="dxa"/>
          </w:tcPr>
          <w:p w14:paraId="35DCD767"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lang w:val="en-GB"/>
              </w:rPr>
              <w:t xml:space="preserve">      </w:t>
            </w:r>
            <w:r w:rsidRPr="004F5958">
              <w:rPr>
                <w:b/>
                <w:lang w:val="en-GB"/>
              </w:rPr>
              <w:t> </w:t>
            </w:r>
            <w:r w:rsidRPr="004F5958">
              <w:fldChar w:fldCharType="end"/>
            </w:r>
          </w:p>
        </w:tc>
        <w:tc>
          <w:tcPr>
            <w:tcW w:w="1406" w:type="dxa"/>
          </w:tcPr>
          <w:p w14:paraId="744059FD"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lang w:val="en-GB"/>
              </w:rPr>
              <w:t xml:space="preserve">      </w:t>
            </w:r>
            <w:r w:rsidRPr="004F5958">
              <w:fldChar w:fldCharType="end"/>
            </w:r>
            <w:r w:rsidRPr="004F5958">
              <w:rPr>
                <w:b/>
                <w:lang w:val="en-GB"/>
              </w:rPr>
              <w:t> </w:t>
            </w:r>
            <w:r w:rsidRPr="004F5958">
              <w:fldChar w:fldCharType="end"/>
            </w:r>
          </w:p>
        </w:tc>
      </w:tr>
      <w:tr w:rsidR="004F5958" w:rsidRPr="004F5958" w14:paraId="0095A412" w14:textId="77777777" w:rsidTr="00DD177D">
        <w:trPr>
          <w:trHeight w:val="458"/>
        </w:trPr>
        <w:tc>
          <w:tcPr>
            <w:tcW w:w="1858" w:type="dxa"/>
            <w:vMerge/>
          </w:tcPr>
          <w:p w14:paraId="39F753C0"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6054B4FB" w14:textId="77777777" w:rsidR="004416C9" w:rsidRPr="004F5958" w:rsidRDefault="004416C9" w:rsidP="00DD177D">
            <w:pPr>
              <w:pStyle w:val="PrformatHTML"/>
              <w:shd w:val="clear" w:color="auto" w:fill="FFFFFF"/>
              <w:rPr>
                <w:lang w:val="en-GB"/>
              </w:rPr>
            </w:pPr>
            <w:proofErr w:type="spellStart"/>
            <w:proofErr w:type="gramStart"/>
            <w:r w:rsidRPr="004F5958">
              <w:rPr>
                <w:lang w:val="en-GB"/>
              </w:rPr>
              <w:t>Indicateur</w:t>
            </w:r>
            <w:proofErr w:type="spellEnd"/>
            <w:r w:rsidRPr="004F5958">
              <w:rPr>
                <w:lang w:val="en-GB"/>
              </w:rPr>
              <w:t xml:space="preserve">  2.4.2</w:t>
            </w:r>
            <w:proofErr w:type="gramEnd"/>
          </w:p>
          <w:p w14:paraId="2CAFDEEC"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fldChar w:fldCharType="end"/>
            </w:r>
            <w:r w:rsidRPr="004F5958">
              <w:rPr>
                <w:b/>
                <w:lang w:val="en-GB"/>
              </w:rPr>
              <w:t> </w:t>
            </w:r>
            <w:r w:rsidRPr="004F5958">
              <w:fldChar w:fldCharType="end"/>
            </w:r>
          </w:p>
        </w:tc>
        <w:tc>
          <w:tcPr>
            <w:tcW w:w="1276" w:type="dxa"/>
            <w:shd w:val="clear" w:color="auto" w:fill="EEECE1"/>
          </w:tcPr>
          <w:p w14:paraId="7207C020" w14:textId="77777777" w:rsidR="004416C9" w:rsidRPr="004F5958" w:rsidRDefault="004416C9" w:rsidP="00DD177D">
            <w:pPr>
              <w:pStyle w:val="PrformatHTML"/>
              <w:shd w:val="clear" w:color="auto" w:fill="FFFFFF"/>
              <w:rPr>
                <w:b/>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2126" w:type="dxa"/>
            <w:shd w:val="clear" w:color="auto" w:fill="EEECE1"/>
          </w:tcPr>
          <w:p w14:paraId="2E6274E7" w14:textId="77777777" w:rsidR="004416C9" w:rsidRPr="004F5958" w:rsidRDefault="004416C9" w:rsidP="00DD177D">
            <w:pPr>
              <w:pStyle w:val="PrformatHTML"/>
              <w:shd w:val="clear" w:color="auto" w:fill="FFFFFF"/>
              <w:rPr>
                <w:b/>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lang w:val="en-GB"/>
              </w:rPr>
              <w:t xml:space="preserve">      </w:t>
            </w:r>
            <w:r w:rsidRPr="004F5958">
              <w:rPr>
                <w:b/>
                <w:lang w:val="en-GB"/>
              </w:rPr>
              <w:t> </w:t>
            </w:r>
            <w:r w:rsidRPr="004F5958">
              <w:fldChar w:fldCharType="end"/>
            </w:r>
          </w:p>
        </w:tc>
        <w:tc>
          <w:tcPr>
            <w:tcW w:w="1701" w:type="dxa"/>
          </w:tcPr>
          <w:p w14:paraId="122B7D57" w14:textId="77777777" w:rsidR="004416C9" w:rsidRPr="004F5958" w:rsidRDefault="004416C9" w:rsidP="00DD177D">
            <w:pPr>
              <w:pStyle w:val="PrformatHTML"/>
              <w:shd w:val="clear" w:color="auto" w:fill="FFFFFF"/>
              <w:rPr>
                <w:b/>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4253" w:type="dxa"/>
          </w:tcPr>
          <w:p w14:paraId="297427A8" w14:textId="77777777" w:rsidR="004416C9" w:rsidRPr="004F5958" w:rsidRDefault="004416C9" w:rsidP="00DD177D">
            <w:pPr>
              <w:pStyle w:val="PrformatHTML"/>
              <w:shd w:val="clear" w:color="auto" w:fill="FFFFFF"/>
              <w:rPr>
                <w:b/>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1406" w:type="dxa"/>
          </w:tcPr>
          <w:p w14:paraId="68222295" w14:textId="77777777" w:rsidR="004416C9" w:rsidRPr="004F5958" w:rsidRDefault="004416C9" w:rsidP="00DD177D">
            <w:pPr>
              <w:pStyle w:val="PrformatHTML"/>
              <w:shd w:val="clear" w:color="auto" w:fill="FFFFFF"/>
              <w:rPr>
                <w:b/>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r w:rsidRPr="004F5958">
              <w:rPr>
                <w:b/>
                <w:lang w:val="en-GB"/>
              </w:rPr>
              <w:t> </w:t>
            </w:r>
            <w:r w:rsidRPr="004F5958">
              <w:fldChar w:fldCharType="end"/>
            </w:r>
          </w:p>
        </w:tc>
      </w:tr>
      <w:tr w:rsidR="004F5958" w:rsidRPr="004F5958" w14:paraId="5F14F5DC" w14:textId="77777777" w:rsidTr="00DD177D">
        <w:trPr>
          <w:trHeight w:val="458"/>
        </w:trPr>
        <w:tc>
          <w:tcPr>
            <w:tcW w:w="1858" w:type="dxa"/>
            <w:vMerge/>
          </w:tcPr>
          <w:p w14:paraId="07C3F646"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03CB8399" w14:textId="77777777" w:rsidR="004416C9" w:rsidRPr="004F5958" w:rsidRDefault="004416C9" w:rsidP="00DD177D">
            <w:pPr>
              <w:pStyle w:val="PrformatHTML"/>
              <w:shd w:val="clear" w:color="auto" w:fill="FFFFFF"/>
              <w:rPr>
                <w:lang w:val="en-GB"/>
              </w:rPr>
            </w:pPr>
            <w:proofErr w:type="spellStart"/>
            <w:proofErr w:type="gramStart"/>
            <w:r w:rsidRPr="004F5958">
              <w:rPr>
                <w:lang w:val="en-GB"/>
              </w:rPr>
              <w:t>Indicateur</w:t>
            </w:r>
            <w:proofErr w:type="spellEnd"/>
            <w:r w:rsidRPr="004F5958">
              <w:rPr>
                <w:lang w:val="en-GB"/>
              </w:rPr>
              <w:t xml:space="preserve">  2.4.3</w:t>
            </w:r>
            <w:proofErr w:type="gramEnd"/>
          </w:p>
          <w:p w14:paraId="31842AFC"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fldChar w:fldCharType="end"/>
            </w:r>
            <w:r w:rsidRPr="004F5958">
              <w:rPr>
                <w:b/>
                <w:lang w:val="en-GB"/>
              </w:rPr>
              <w:t> </w:t>
            </w:r>
            <w:r w:rsidRPr="004F5958">
              <w:fldChar w:fldCharType="end"/>
            </w:r>
          </w:p>
        </w:tc>
        <w:tc>
          <w:tcPr>
            <w:tcW w:w="1276" w:type="dxa"/>
            <w:shd w:val="clear" w:color="auto" w:fill="EEECE1"/>
          </w:tcPr>
          <w:p w14:paraId="3671CFB0"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2126" w:type="dxa"/>
            <w:shd w:val="clear" w:color="auto" w:fill="EEECE1"/>
          </w:tcPr>
          <w:p w14:paraId="473975BB"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1701" w:type="dxa"/>
          </w:tcPr>
          <w:p w14:paraId="0266608D"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4253" w:type="dxa"/>
          </w:tcPr>
          <w:p w14:paraId="2C92BDFE" w14:textId="77777777" w:rsidR="004416C9" w:rsidRPr="004F5958" w:rsidRDefault="004416C9" w:rsidP="00DD177D">
            <w:pPr>
              <w:pStyle w:val="PrformatHTML"/>
              <w:shd w:val="clear" w:color="auto" w:fill="FFFFFF"/>
              <w:rPr>
                <w:lang w:val="en-GB"/>
              </w:rPr>
            </w:pPr>
            <w:r w:rsidRPr="004F5958">
              <w:rPr>
                <w:lang w:val="en-GB"/>
              </w:rPr>
              <w:t xml:space="preserve">      </w:t>
            </w:r>
          </w:p>
        </w:tc>
        <w:tc>
          <w:tcPr>
            <w:tcW w:w="1406" w:type="dxa"/>
          </w:tcPr>
          <w:p w14:paraId="148F78AB" w14:textId="77777777" w:rsidR="004416C9" w:rsidRPr="004F5958" w:rsidRDefault="004416C9" w:rsidP="00DD177D">
            <w:pPr>
              <w:pStyle w:val="PrformatHTML"/>
              <w:shd w:val="clear" w:color="auto" w:fill="FFFFFF"/>
              <w:rPr>
                <w:b/>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r>
      <w:tr w:rsidR="004F5958" w:rsidRPr="004F5958" w14:paraId="7AC569D6" w14:textId="77777777" w:rsidTr="00DD177D">
        <w:trPr>
          <w:trHeight w:val="458"/>
        </w:trPr>
        <w:tc>
          <w:tcPr>
            <w:tcW w:w="1858" w:type="dxa"/>
            <w:vMerge w:val="restart"/>
          </w:tcPr>
          <w:p w14:paraId="4228EC89" w14:textId="77777777" w:rsidR="004416C9" w:rsidRPr="004F5958" w:rsidRDefault="004416C9" w:rsidP="00DD177D">
            <w:pPr>
              <w:pStyle w:val="PrformatHTML"/>
              <w:shd w:val="clear" w:color="auto" w:fill="FFFFFF"/>
              <w:rPr>
                <w:b/>
                <w:lang w:val="en-GB"/>
              </w:rPr>
            </w:pPr>
            <w:proofErr w:type="spellStart"/>
            <w:r w:rsidRPr="004F5958">
              <w:rPr>
                <w:b/>
                <w:lang w:val="en-GB"/>
              </w:rPr>
              <w:t>Résultat</w:t>
            </w:r>
            <w:proofErr w:type="spellEnd"/>
            <w:r w:rsidRPr="004F5958">
              <w:rPr>
                <w:b/>
                <w:lang w:val="en-GB"/>
              </w:rPr>
              <w:t xml:space="preserve"> 3</w:t>
            </w:r>
          </w:p>
          <w:p w14:paraId="37072806" w14:textId="77777777" w:rsidR="004416C9" w:rsidRPr="004F5958" w:rsidRDefault="004416C9" w:rsidP="00DD177D">
            <w:pPr>
              <w:pStyle w:val="PrformatHTML"/>
              <w:shd w:val="clear" w:color="auto" w:fill="FFFFFF"/>
              <w:rPr>
                <w:b/>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La CNDHCI et les OSC remplissent effectivement et efficacement leur rôle de promotion et protection des droits humains et la redevabilité de l’Etat par rapport à ses obligations internationales en matière des droits de l’homme est assurée.</w:t>
            </w:r>
            <w:r w:rsidRPr="004F5958">
              <w:rPr>
                <w:lang w:val="en-GB"/>
              </w:rPr>
              <w:br/>
            </w:r>
            <w:r w:rsidRPr="004F5958">
              <w:rPr>
                <w:lang w:val="en-GB"/>
              </w:rPr>
              <w:br/>
              <w:t xml:space="preserve"> </w:t>
            </w:r>
            <w:r w:rsidRPr="004F5958">
              <w:rPr>
                <w:b/>
                <w:lang w:val="en-GB"/>
              </w:rPr>
              <w:t> </w:t>
            </w:r>
            <w:r w:rsidRPr="004F5958">
              <w:fldChar w:fldCharType="end"/>
            </w:r>
          </w:p>
        </w:tc>
        <w:tc>
          <w:tcPr>
            <w:tcW w:w="2410" w:type="dxa"/>
            <w:shd w:val="clear" w:color="auto" w:fill="EEECE1"/>
          </w:tcPr>
          <w:p w14:paraId="2897495F"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3.1</w:t>
            </w:r>
          </w:p>
          <w:p w14:paraId="4EE67729"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Fréquence des rapports sur la situation des droits de l’homme produits par la CNDHCI</w:t>
            </w:r>
            <w:r w:rsidRPr="004F5958">
              <w:rPr>
                <w:b/>
                <w:lang w:val="en-GB"/>
              </w:rPr>
              <w:t> </w:t>
            </w:r>
            <w:r w:rsidRPr="004F5958">
              <w:fldChar w:fldCharType="end"/>
            </w:r>
          </w:p>
        </w:tc>
        <w:tc>
          <w:tcPr>
            <w:tcW w:w="1276" w:type="dxa"/>
            <w:shd w:val="clear" w:color="auto" w:fill="EEECE1"/>
          </w:tcPr>
          <w:p w14:paraId="7A763BD4"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1 fois par trimestre.</w:t>
            </w:r>
            <w:r w:rsidRPr="004F5958">
              <w:rPr>
                <w:b/>
                <w:lang w:val="en-GB"/>
              </w:rPr>
              <w:t> </w:t>
            </w:r>
            <w:r w:rsidRPr="004F5958">
              <w:fldChar w:fldCharType="end"/>
            </w:r>
          </w:p>
        </w:tc>
        <w:tc>
          <w:tcPr>
            <w:tcW w:w="2126" w:type="dxa"/>
            <w:shd w:val="clear" w:color="auto" w:fill="EEECE1"/>
          </w:tcPr>
          <w:p w14:paraId="24E22F59"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1 fois par mois</w:t>
            </w:r>
            <w:r w:rsidRPr="004F5958">
              <w:rPr>
                <w:b/>
                <w:lang w:val="en-GB"/>
              </w:rPr>
              <w:t> </w:t>
            </w:r>
            <w:r w:rsidRPr="004F5958">
              <w:fldChar w:fldCharType="end"/>
            </w:r>
          </w:p>
        </w:tc>
        <w:tc>
          <w:tcPr>
            <w:tcW w:w="1701" w:type="dxa"/>
          </w:tcPr>
          <w:p w14:paraId="143F4293"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- 2020: 12            - 2021: 12           </w:t>
            </w:r>
            <w:r w:rsidRPr="004F5958">
              <w:rPr>
                <w:b/>
                <w:lang w:val="en-GB"/>
              </w:rPr>
              <w:t> </w:t>
            </w:r>
            <w:r w:rsidRPr="004F5958">
              <w:fldChar w:fldCharType="end"/>
            </w:r>
          </w:p>
        </w:tc>
        <w:tc>
          <w:tcPr>
            <w:tcW w:w="4253" w:type="dxa"/>
          </w:tcPr>
          <w:p w14:paraId="063C1F9B" w14:textId="3739A394" w:rsidR="00C43E93" w:rsidRPr="004F5958" w:rsidRDefault="00C43E93" w:rsidP="00C43E93">
            <w:pPr>
              <w:pStyle w:val="PrformatHTML"/>
              <w:shd w:val="clear" w:color="auto" w:fill="FFFFFF"/>
              <w:rPr>
                <w:lang w:val="en-GB"/>
              </w:rPr>
            </w:pPr>
            <w:r w:rsidRPr="004F5958">
              <w:rPr>
                <w:lang w:val="en-GB"/>
              </w:rPr>
              <w:t xml:space="preserve">-8 rapports </w:t>
            </w:r>
            <w:proofErr w:type="spellStart"/>
            <w:r w:rsidRPr="004F5958">
              <w:rPr>
                <w:lang w:val="en-GB"/>
              </w:rPr>
              <w:t>thématiques</w:t>
            </w:r>
            <w:proofErr w:type="spellEnd"/>
            <w:r w:rsidRPr="004F5958">
              <w:rPr>
                <w:lang w:val="en-GB"/>
              </w:rPr>
              <w:t xml:space="preserve"> </w:t>
            </w:r>
            <w:proofErr w:type="spellStart"/>
            <w:r w:rsidRPr="004F5958">
              <w:rPr>
                <w:lang w:val="en-GB"/>
              </w:rPr>
              <w:t>produits</w:t>
            </w:r>
            <w:proofErr w:type="spellEnd"/>
            <w:r w:rsidRPr="004F5958">
              <w:rPr>
                <w:lang w:val="en-GB"/>
              </w:rPr>
              <w:t xml:space="preserve"> </w:t>
            </w:r>
            <w:proofErr w:type="spellStart"/>
            <w:r w:rsidRPr="004F5958">
              <w:rPr>
                <w:lang w:val="en-GB"/>
              </w:rPr>
              <w:t>en</w:t>
            </w:r>
            <w:proofErr w:type="spellEnd"/>
            <w:r w:rsidRPr="004F5958">
              <w:rPr>
                <w:lang w:val="en-GB"/>
              </w:rPr>
              <w:t xml:space="preserve"> 2019</w:t>
            </w:r>
          </w:p>
          <w:p w14:paraId="1EEAA6A9" w14:textId="394533E4" w:rsidR="00C43E93" w:rsidRPr="004F5958" w:rsidRDefault="00C43E93" w:rsidP="00C43E93">
            <w:pPr>
              <w:pStyle w:val="PrformatHTML"/>
              <w:shd w:val="clear" w:color="auto" w:fill="FFFFFF"/>
              <w:rPr>
                <w:lang w:val="en-GB"/>
              </w:rPr>
            </w:pPr>
            <w:r w:rsidRPr="004F5958">
              <w:rPr>
                <w:lang w:val="en-GB"/>
              </w:rPr>
              <w:t xml:space="preserve">-1 rapport sur la situation des droits de </w:t>
            </w:r>
            <w:proofErr w:type="spellStart"/>
            <w:r w:rsidRPr="004F5958">
              <w:rPr>
                <w:lang w:val="en-GB"/>
              </w:rPr>
              <w:t>l’homme</w:t>
            </w:r>
            <w:proofErr w:type="spellEnd"/>
            <w:r w:rsidRPr="004F5958">
              <w:rPr>
                <w:lang w:val="en-GB"/>
              </w:rPr>
              <w:t xml:space="preserve"> 2019</w:t>
            </w:r>
          </w:p>
          <w:p w14:paraId="37942DCE" w14:textId="2EE4847A" w:rsidR="004416C9" w:rsidRPr="004F5958" w:rsidRDefault="00C43E93" w:rsidP="00C43E93">
            <w:pPr>
              <w:pStyle w:val="PrformatHTML"/>
              <w:shd w:val="clear" w:color="auto" w:fill="FFFFFF"/>
              <w:rPr>
                <w:lang w:val="en-GB"/>
              </w:rPr>
            </w:pPr>
            <w:r w:rsidRPr="004F5958">
              <w:rPr>
                <w:lang w:val="en-GB"/>
              </w:rPr>
              <w:t xml:space="preserve">-7 rapports </w:t>
            </w:r>
            <w:proofErr w:type="spellStart"/>
            <w:r w:rsidRPr="004F5958">
              <w:rPr>
                <w:lang w:val="en-GB"/>
              </w:rPr>
              <w:t>thématiques</w:t>
            </w:r>
            <w:proofErr w:type="spellEnd"/>
            <w:r w:rsidRPr="004F5958">
              <w:rPr>
                <w:lang w:val="en-GB"/>
              </w:rPr>
              <w:t xml:space="preserve"> </w:t>
            </w:r>
            <w:proofErr w:type="spellStart"/>
            <w:r w:rsidRPr="004F5958">
              <w:rPr>
                <w:lang w:val="en-GB"/>
              </w:rPr>
              <w:t>produits</w:t>
            </w:r>
            <w:proofErr w:type="spellEnd"/>
            <w:r w:rsidRPr="004F5958">
              <w:rPr>
                <w:lang w:val="en-GB"/>
              </w:rPr>
              <w:t xml:space="preserve"> </w:t>
            </w:r>
            <w:proofErr w:type="spellStart"/>
            <w:r w:rsidRPr="004F5958">
              <w:rPr>
                <w:lang w:val="en-GB"/>
              </w:rPr>
              <w:t>en</w:t>
            </w:r>
            <w:proofErr w:type="spellEnd"/>
            <w:r w:rsidRPr="004F5958">
              <w:rPr>
                <w:lang w:val="en-GB"/>
              </w:rPr>
              <w:t xml:space="preserve"> 2020</w:t>
            </w:r>
          </w:p>
          <w:p w14:paraId="59E9C1B1" w14:textId="0FBAFD36" w:rsidR="00C43E93" w:rsidRPr="004F5958" w:rsidRDefault="00C43E93" w:rsidP="00C43E93">
            <w:pPr>
              <w:pStyle w:val="PrformatHTML"/>
              <w:shd w:val="clear" w:color="auto" w:fill="FFFFFF"/>
              <w:rPr>
                <w:lang w:val="en-GB"/>
              </w:rPr>
            </w:pPr>
            <w:r w:rsidRPr="004F5958">
              <w:rPr>
                <w:lang w:val="en-GB"/>
              </w:rPr>
              <w:t xml:space="preserve">-1 rapport sur la situation des droits </w:t>
            </w:r>
            <w:proofErr w:type="spellStart"/>
            <w:r w:rsidRPr="004F5958">
              <w:rPr>
                <w:lang w:val="en-GB"/>
              </w:rPr>
              <w:t>humains</w:t>
            </w:r>
            <w:proofErr w:type="spellEnd"/>
            <w:r w:rsidRPr="004F5958">
              <w:rPr>
                <w:lang w:val="en-GB"/>
              </w:rPr>
              <w:t xml:space="preserve"> 2020</w:t>
            </w:r>
          </w:p>
        </w:tc>
        <w:tc>
          <w:tcPr>
            <w:tcW w:w="1406" w:type="dxa"/>
          </w:tcPr>
          <w:p w14:paraId="77B8774B"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t> </w:t>
            </w:r>
            <w:r w:rsidRPr="004F5958">
              <w:fldChar w:fldCharType="end"/>
            </w:r>
            <w:r w:rsidRPr="004F5958">
              <w:rPr>
                <w:b/>
                <w:lang w:val="en-GB"/>
              </w:rPr>
              <w:t> </w:t>
            </w:r>
            <w:r w:rsidRPr="004F5958">
              <w:fldChar w:fldCharType="end"/>
            </w:r>
          </w:p>
        </w:tc>
      </w:tr>
      <w:tr w:rsidR="004F5958" w:rsidRPr="004F5958" w14:paraId="2811691B" w14:textId="77777777" w:rsidTr="00DD177D">
        <w:trPr>
          <w:trHeight w:val="458"/>
        </w:trPr>
        <w:tc>
          <w:tcPr>
            <w:tcW w:w="1858" w:type="dxa"/>
            <w:vMerge/>
          </w:tcPr>
          <w:p w14:paraId="027A1EAC" w14:textId="77777777" w:rsidR="004416C9" w:rsidRPr="004F5958" w:rsidRDefault="004416C9" w:rsidP="00DD177D">
            <w:pPr>
              <w:pStyle w:val="PrformatHTML"/>
              <w:shd w:val="clear" w:color="auto" w:fill="FFFFFF"/>
              <w:rPr>
                <w:lang w:val="en-GB"/>
              </w:rPr>
            </w:pPr>
          </w:p>
        </w:tc>
        <w:tc>
          <w:tcPr>
            <w:tcW w:w="2410" w:type="dxa"/>
            <w:shd w:val="clear" w:color="auto" w:fill="EEECE1"/>
          </w:tcPr>
          <w:p w14:paraId="21F75D91"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3.2</w:t>
            </w:r>
          </w:p>
          <w:p w14:paraId="29CD362E"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Proportion des mesures prises par le pouvoir exécutif par rapports aux recommandations contenues dans les rapports de la CNDHCI</w:t>
            </w:r>
            <w:r w:rsidRPr="004F5958">
              <w:rPr>
                <w:b/>
                <w:lang w:val="en-GB"/>
              </w:rPr>
              <w:t> </w:t>
            </w:r>
            <w:r w:rsidRPr="004F5958">
              <w:fldChar w:fldCharType="end"/>
            </w:r>
          </w:p>
        </w:tc>
        <w:tc>
          <w:tcPr>
            <w:tcW w:w="1276" w:type="dxa"/>
            <w:shd w:val="clear" w:color="auto" w:fill="EEECE1"/>
          </w:tcPr>
          <w:p w14:paraId="40A45D86"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moins de 10%</w:t>
            </w:r>
            <w:r w:rsidRPr="004F5958">
              <w:rPr>
                <w:b/>
                <w:lang w:val="en-GB"/>
              </w:rPr>
              <w:t> </w:t>
            </w:r>
            <w:r w:rsidRPr="004F5958">
              <w:fldChar w:fldCharType="end"/>
            </w:r>
          </w:p>
        </w:tc>
        <w:tc>
          <w:tcPr>
            <w:tcW w:w="2126" w:type="dxa"/>
            <w:shd w:val="clear" w:color="auto" w:fill="EEECE1"/>
          </w:tcPr>
          <w:p w14:paraId="7CA4BD36"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Au moins 30%</w:t>
            </w:r>
            <w:r w:rsidRPr="004F5958">
              <w:rPr>
                <w:b/>
                <w:lang w:val="en-GB"/>
              </w:rPr>
              <w:t> </w:t>
            </w:r>
            <w:r w:rsidRPr="004F5958">
              <w:fldChar w:fldCharType="end"/>
            </w:r>
          </w:p>
        </w:tc>
        <w:tc>
          <w:tcPr>
            <w:tcW w:w="1701" w:type="dxa"/>
          </w:tcPr>
          <w:p w14:paraId="56FBB129"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- 2020: 30            - 2021: 30           </w:t>
            </w:r>
            <w:r w:rsidRPr="004F5958">
              <w:rPr>
                <w:b/>
                <w:lang w:val="en-GB"/>
              </w:rPr>
              <w:t> </w:t>
            </w:r>
            <w:r w:rsidRPr="004F5958">
              <w:fldChar w:fldCharType="end"/>
            </w:r>
          </w:p>
        </w:tc>
        <w:tc>
          <w:tcPr>
            <w:tcW w:w="4253" w:type="dxa"/>
          </w:tcPr>
          <w:p w14:paraId="10C84525" w14:textId="4FF10130" w:rsidR="004416C9" w:rsidRPr="004F5958" w:rsidRDefault="004416C9" w:rsidP="00DD177D">
            <w:pPr>
              <w:pStyle w:val="PrformatHTML"/>
              <w:shd w:val="clear" w:color="auto" w:fill="FFFFFF"/>
              <w:rPr>
                <w:lang w:val="en-GB"/>
              </w:rPr>
            </w:pPr>
          </w:p>
        </w:tc>
        <w:tc>
          <w:tcPr>
            <w:tcW w:w="1406" w:type="dxa"/>
          </w:tcPr>
          <w:p w14:paraId="6E114859" w14:textId="6BC76833"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t> </w:t>
            </w:r>
            <w:r w:rsidRPr="004F5958">
              <w:fldChar w:fldCharType="end"/>
            </w:r>
          </w:p>
        </w:tc>
      </w:tr>
      <w:tr w:rsidR="004F5958" w:rsidRPr="004F5958" w14:paraId="023ECB47" w14:textId="77777777" w:rsidTr="00DD177D">
        <w:trPr>
          <w:trHeight w:val="458"/>
        </w:trPr>
        <w:tc>
          <w:tcPr>
            <w:tcW w:w="1858" w:type="dxa"/>
            <w:vMerge/>
          </w:tcPr>
          <w:p w14:paraId="3EFA0481" w14:textId="77777777" w:rsidR="004416C9" w:rsidRPr="004F5958" w:rsidRDefault="004416C9" w:rsidP="00DD177D">
            <w:pPr>
              <w:pStyle w:val="PrformatHTML"/>
              <w:shd w:val="clear" w:color="auto" w:fill="FFFFFF"/>
              <w:rPr>
                <w:lang w:val="en-GB"/>
              </w:rPr>
            </w:pPr>
          </w:p>
        </w:tc>
        <w:tc>
          <w:tcPr>
            <w:tcW w:w="2410" w:type="dxa"/>
            <w:shd w:val="clear" w:color="auto" w:fill="EEECE1"/>
          </w:tcPr>
          <w:p w14:paraId="188B9E95"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3.3</w:t>
            </w:r>
          </w:p>
          <w:p w14:paraId="3F4F8C2D"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Niveau de conformité de la CNHCI aux principes de Paris relatifs aux Institutions Nationales des droits de l’Homme.</w:t>
            </w:r>
            <w:r w:rsidRPr="004F5958">
              <w:rPr>
                <w:b/>
                <w:lang w:val="en-GB"/>
              </w:rPr>
              <w:t> </w:t>
            </w:r>
            <w:r w:rsidRPr="004F5958">
              <w:fldChar w:fldCharType="end"/>
            </w:r>
          </w:p>
        </w:tc>
        <w:tc>
          <w:tcPr>
            <w:tcW w:w="1276" w:type="dxa"/>
            <w:shd w:val="clear" w:color="auto" w:fill="EEECE1"/>
          </w:tcPr>
          <w:p w14:paraId="69C17037"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niveau/statut  B (la CNDHCI ne se conforme pas entièrement aux Principes de Paris faute d’autonomie administrative et financière)</w:t>
            </w:r>
            <w:r w:rsidRPr="004F5958">
              <w:rPr>
                <w:b/>
                <w:lang w:val="en-GB"/>
              </w:rPr>
              <w:t> </w:t>
            </w:r>
            <w:r w:rsidRPr="004F5958">
              <w:fldChar w:fldCharType="end"/>
            </w:r>
          </w:p>
        </w:tc>
        <w:tc>
          <w:tcPr>
            <w:tcW w:w="2126" w:type="dxa"/>
            <w:shd w:val="clear" w:color="auto" w:fill="EEECE1"/>
          </w:tcPr>
          <w:p w14:paraId="3CFACDF7"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Niveau/Statut A (la CNDHCI) se conforme entièrement aux Principes de Paris</w:t>
            </w:r>
            <w:r w:rsidRPr="004F5958">
              <w:rPr>
                <w:b/>
                <w:lang w:val="en-GB"/>
              </w:rPr>
              <w:t> </w:t>
            </w:r>
            <w:r w:rsidRPr="004F5958">
              <w:fldChar w:fldCharType="end"/>
            </w:r>
          </w:p>
        </w:tc>
        <w:tc>
          <w:tcPr>
            <w:tcW w:w="1701" w:type="dxa"/>
          </w:tcPr>
          <w:p w14:paraId="7CBC4A5A"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- 2020: 1            - 2021: 1           </w:t>
            </w:r>
            <w:r w:rsidRPr="004F5958">
              <w:rPr>
                <w:b/>
                <w:lang w:val="en-GB"/>
              </w:rPr>
              <w:t> </w:t>
            </w:r>
            <w:r w:rsidRPr="004F5958">
              <w:fldChar w:fldCharType="end"/>
            </w:r>
          </w:p>
        </w:tc>
        <w:tc>
          <w:tcPr>
            <w:tcW w:w="4253" w:type="dxa"/>
          </w:tcPr>
          <w:p w14:paraId="22D60CB3" w14:textId="77777777" w:rsidR="00DD177D" w:rsidRPr="004F5958" w:rsidRDefault="00DD177D" w:rsidP="00DD177D">
            <w:pPr>
              <w:pStyle w:val="PrformatHTML"/>
              <w:shd w:val="clear" w:color="auto" w:fill="FFFFFF"/>
              <w:rPr>
                <w:lang w:val="fr-FR"/>
              </w:rPr>
            </w:pPr>
            <w:r w:rsidRPr="004F5958">
              <w:rPr>
                <w:lang w:val="fr-FR"/>
              </w:rPr>
              <w:t>-Le CNDH réformé, conforme aux Principes de Paris, est opérationnel et représenté au niveau national dans 31 régions. -Les membres ont été outillés et formés pour assurer une meilleure prise en charge des victimes de violation des droits humains.</w:t>
            </w:r>
          </w:p>
          <w:p w14:paraId="49354393" w14:textId="590445DC" w:rsidR="00DD177D" w:rsidRPr="004F5958" w:rsidRDefault="00DD177D" w:rsidP="00DD177D">
            <w:pPr>
              <w:pStyle w:val="PrformatHTML"/>
              <w:shd w:val="clear" w:color="auto" w:fill="FFFFFF"/>
              <w:rPr>
                <w:b/>
                <w:bCs/>
                <w:i/>
                <w:iCs/>
                <w:lang w:val="fr-CI"/>
              </w:rPr>
            </w:pPr>
            <w:r w:rsidRPr="004F5958">
              <w:rPr>
                <w:lang w:val="fr-CI"/>
              </w:rPr>
              <w:t>-Le CNDH est accrédité au statut A depuis fin décembre 2020.</w:t>
            </w:r>
          </w:p>
          <w:p w14:paraId="5E7D65CA" w14:textId="538E3E08" w:rsidR="004416C9" w:rsidRPr="004F5958" w:rsidRDefault="004416C9" w:rsidP="00DD177D">
            <w:pPr>
              <w:pStyle w:val="PrformatHTML"/>
              <w:shd w:val="clear" w:color="auto" w:fill="FFFFFF"/>
              <w:rPr>
                <w:lang w:val="en-GB"/>
              </w:rPr>
            </w:pPr>
          </w:p>
        </w:tc>
        <w:tc>
          <w:tcPr>
            <w:tcW w:w="1406" w:type="dxa"/>
          </w:tcPr>
          <w:p w14:paraId="0BB6E368"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00A918FD">
              <w:rPr>
                <w:b/>
                <w:lang w:val="en-GB"/>
              </w:rPr>
            </w:r>
            <w:r w:rsidR="00A918FD">
              <w:rPr>
                <w:b/>
                <w:lang w:val="en-GB"/>
              </w:rPr>
              <w:fldChar w:fldCharType="separate"/>
            </w:r>
            <w:r w:rsidRPr="004F5958">
              <w:fldChar w:fldCharType="end"/>
            </w:r>
            <w:r w:rsidRPr="004F5958">
              <w:rPr>
                <w:b/>
                <w:lang w:val="en-GB"/>
              </w:rPr>
              <w:t> </w:t>
            </w:r>
            <w:r w:rsidRPr="004F5958">
              <w:fldChar w:fldCharType="end"/>
            </w:r>
          </w:p>
        </w:tc>
      </w:tr>
      <w:tr w:rsidR="004F5958" w:rsidRPr="004F5958" w14:paraId="2A80C7AA" w14:textId="77777777" w:rsidTr="00DD177D">
        <w:trPr>
          <w:trHeight w:val="458"/>
        </w:trPr>
        <w:tc>
          <w:tcPr>
            <w:tcW w:w="1858" w:type="dxa"/>
            <w:vMerge w:val="restart"/>
          </w:tcPr>
          <w:p w14:paraId="3E0902A3" w14:textId="77777777" w:rsidR="004416C9" w:rsidRPr="004F5958" w:rsidRDefault="004416C9" w:rsidP="00DD177D">
            <w:pPr>
              <w:pStyle w:val="PrformatHTML"/>
              <w:shd w:val="clear" w:color="auto" w:fill="FFFFFF"/>
              <w:rPr>
                <w:lang w:val="en-GB"/>
              </w:rPr>
            </w:pPr>
            <w:proofErr w:type="spellStart"/>
            <w:r w:rsidRPr="004F5958">
              <w:rPr>
                <w:lang w:val="en-GB"/>
              </w:rPr>
              <w:t>Produit</w:t>
            </w:r>
            <w:proofErr w:type="spellEnd"/>
            <w:r w:rsidRPr="004F5958">
              <w:rPr>
                <w:lang w:val="en-GB"/>
              </w:rPr>
              <w:t xml:space="preserve"> 3.1</w:t>
            </w:r>
          </w:p>
          <w:p w14:paraId="7AB7089F"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La CNDHCI fonctionne conformément aux standards internationaux et ses capacités techniques et opérationnelles sont renforcées</w:t>
            </w:r>
            <w:r w:rsidRPr="004F5958">
              <w:rPr>
                <w:lang w:val="en-GB"/>
              </w:rPr>
              <w:br/>
            </w:r>
            <w:r w:rsidRPr="004F5958">
              <w:rPr>
                <w:lang w:val="en-GB"/>
              </w:rPr>
              <w:br/>
            </w:r>
            <w:r w:rsidRPr="004F5958">
              <w:rPr>
                <w:b/>
                <w:lang w:val="en-GB"/>
              </w:rPr>
              <w:t> </w:t>
            </w:r>
            <w:r w:rsidRPr="004F5958">
              <w:fldChar w:fldCharType="end"/>
            </w:r>
          </w:p>
        </w:tc>
        <w:tc>
          <w:tcPr>
            <w:tcW w:w="2410" w:type="dxa"/>
            <w:shd w:val="clear" w:color="auto" w:fill="EEECE1"/>
          </w:tcPr>
          <w:p w14:paraId="5AD2B1B3"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3.1.1</w:t>
            </w:r>
          </w:p>
          <w:p w14:paraId="5FF7F645"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Nombre de missions d’enquêtes droits de l’homme organisées par la CNIDHCI</w:t>
            </w:r>
            <w:r w:rsidRPr="004F5958">
              <w:rPr>
                <w:b/>
                <w:lang w:val="en-GB"/>
              </w:rPr>
              <w:t> </w:t>
            </w:r>
            <w:r w:rsidRPr="004F5958">
              <w:fldChar w:fldCharType="end"/>
            </w:r>
          </w:p>
        </w:tc>
        <w:tc>
          <w:tcPr>
            <w:tcW w:w="1276" w:type="dxa"/>
            <w:shd w:val="clear" w:color="auto" w:fill="EEECE1"/>
          </w:tcPr>
          <w:p w14:paraId="46AF9187"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0</w:t>
            </w:r>
            <w:r w:rsidRPr="004F5958">
              <w:rPr>
                <w:b/>
                <w:lang w:val="en-GB"/>
              </w:rPr>
              <w:t> </w:t>
            </w:r>
            <w:r w:rsidRPr="004F5958">
              <w:fldChar w:fldCharType="end"/>
            </w:r>
          </w:p>
        </w:tc>
        <w:tc>
          <w:tcPr>
            <w:tcW w:w="2126" w:type="dxa"/>
            <w:shd w:val="clear" w:color="auto" w:fill="EEECE1"/>
          </w:tcPr>
          <w:p w14:paraId="586EC76D"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10</w:t>
            </w:r>
            <w:r w:rsidRPr="004F5958">
              <w:rPr>
                <w:b/>
                <w:lang w:val="en-GB"/>
              </w:rPr>
              <w:t> </w:t>
            </w:r>
            <w:r w:rsidRPr="004F5958">
              <w:fldChar w:fldCharType="end"/>
            </w:r>
          </w:p>
        </w:tc>
        <w:tc>
          <w:tcPr>
            <w:tcW w:w="1701" w:type="dxa"/>
          </w:tcPr>
          <w:p w14:paraId="4612B247" w14:textId="1904C632" w:rsidR="004416C9" w:rsidRPr="004F5958" w:rsidRDefault="00327DD4" w:rsidP="00327DD4">
            <w:pPr>
              <w:pStyle w:val="PrformatHTML"/>
              <w:shd w:val="clear" w:color="auto" w:fill="FFFFFF"/>
              <w:rPr>
                <w:bCs/>
                <w:lang w:val="en-GB"/>
              </w:rPr>
            </w:pPr>
            <w:r w:rsidRPr="004F5958">
              <w:rPr>
                <w:bCs/>
                <w:lang w:val="en-GB"/>
              </w:rPr>
              <w:t xml:space="preserve">-2019: </w:t>
            </w:r>
            <w:r w:rsidR="00317CD4" w:rsidRPr="004F5958">
              <w:rPr>
                <w:bCs/>
                <w:lang w:val="en-GB"/>
              </w:rPr>
              <w:t>2</w:t>
            </w:r>
          </w:p>
          <w:p w14:paraId="416B4A20" w14:textId="77777777" w:rsidR="00327DD4" w:rsidRDefault="00327DD4" w:rsidP="00327DD4">
            <w:pPr>
              <w:pStyle w:val="PrformatHTML"/>
              <w:shd w:val="clear" w:color="auto" w:fill="FFFFFF"/>
              <w:rPr>
                <w:bCs/>
                <w:lang w:val="en-GB"/>
              </w:rPr>
            </w:pPr>
            <w:r w:rsidRPr="004F5958">
              <w:rPr>
                <w:bCs/>
                <w:lang w:val="en-GB"/>
              </w:rPr>
              <w:t>-2020: 7</w:t>
            </w:r>
          </w:p>
          <w:p w14:paraId="2CE58334" w14:textId="68C1F619" w:rsidR="004F5958" w:rsidRPr="004F5958" w:rsidRDefault="004F5958" w:rsidP="00327DD4">
            <w:pPr>
              <w:pStyle w:val="PrformatHTML"/>
              <w:shd w:val="clear" w:color="auto" w:fill="FFFFFF"/>
              <w:rPr>
                <w:lang w:val="en-GB"/>
              </w:rPr>
            </w:pPr>
            <w:r>
              <w:rPr>
                <w:bCs/>
                <w:lang w:val="en-GB"/>
              </w:rPr>
              <w:t>-2021: 4</w:t>
            </w:r>
          </w:p>
        </w:tc>
        <w:tc>
          <w:tcPr>
            <w:tcW w:w="4253" w:type="dxa"/>
          </w:tcPr>
          <w:p w14:paraId="59605DB3" w14:textId="77777777" w:rsidR="00327DD4" w:rsidRPr="004F5958" w:rsidRDefault="00317CD4" w:rsidP="00DD177D">
            <w:pPr>
              <w:pStyle w:val="PrformatHTML"/>
              <w:shd w:val="clear" w:color="auto" w:fill="FFFFFF"/>
              <w:rPr>
                <w:lang w:val="en-GB"/>
              </w:rPr>
            </w:pPr>
            <w:r w:rsidRPr="004F5958">
              <w:rPr>
                <w:lang w:val="en-GB"/>
              </w:rPr>
              <w:t xml:space="preserve">2 </w:t>
            </w:r>
            <w:proofErr w:type="spellStart"/>
            <w:r w:rsidRPr="004F5958">
              <w:rPr>
                <w:lang w:val="en-GB"/>
              </w:rPr>
              <w:t>enquêtes</w:t>
            </w:r>
            <w:proofErr w:type="spellEnd"/>
            <w:r w:rsidRPr="004F5958">
              <w:rPr>
                <w:lang w:val="en-GB"/>
              </w:rPr>
              <w:t xml:space="preserve"> </w:t>
            </w:r>
            <w:proofErr w:type="spellStart"/>
            <w:r w:rsidRPr="004F5958">
              <w:rPr>
                <w:lang w:val="en-GB"/>
              </w:rPr>
              <w:t>en</w:t>
            </w:r>
            <w:proofErr w:type="spellEnd"/>
            <w:r w:rsidRPr="004F5958">
              <w:rPr>
                <w:lang w:val="en-GB"/>
              </w:rPr>
              <w:t xml:space="preserve"> 2019</w:t>
            </w:r>
          </w:p>
          <w:p w14:paraId="7BE73D3A" w14:textId="2F16242E" w:rsidR="00317CD4" w:rsidRPr="004F5958" w:rsidRDefault="00317CD4" w:rsidP="00DD177D">
            <w:pPr>
              <w:pStyle w:val="PrformatHTML"/>
              <w:shd w:val="clear" w:color="auto" w:fill="FFFFFF"/>
              <w:rPr>
                <w:lang w:val="en-GB"/>
              </w:rPr>
            </w:pPr>
            <w:r w:rsidRPr="004F5958">
              <w:rPr>
                <w:lang w:val="en-GB"/>
              </w:rPr>
              <w:t xml:space="preserve">3 </w:t>
            </w:r>
            <w:proofErr w:type="spellStart"/>
            <w:r w:rsidRPr="004F5958">
              <w:rPr>
                <w:lang w:val="en-GB"/>
              </w:rPr>
              <w:t>enquêtes</w:t>
            </w:r>
            <w:proofErr w:type="spellEnd"/>
            <w:r w:rsidRPr="004F5958">
              <w:rPr>
                <w:lang w:val="en-GB"/>
              </w:rPr>
              <w:t xml:space="preserve"> </w:t>
            </w:r>
            <w:proofErr w:type="spellStart"/>
            <w:r w:rsidRPr="004F5958">
              <w:rPr>
                <w:lang w:val="en-GB"/>
              </w:rPr>
              <w:t>en</w:t>
            </w:r>
            <w:proofErr w:type="spellEnd"/>
            <w:r w:rsidRPr="004F5958">
              <w:rPr>
                <w:lang w:val="en-GB"/>
              </w:rPr>
              <w:t xml:space="preserve"> 2020</w:t>
            </w:r>
          </w:p>
        </w:tc>
        <w:tc>
          <w:tcPr>
            <w:tcW w:w="1406" w:type="dxa"/>
          </w:tcPr>
          <w:p w14:paraId="7124C404"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t> </w:t>
            </w:r>
            <w:r w:rsidRPr="004F5958">
              <w:fldChar w:fldCharType="end"/>
            </w:r>
            <w:r w:rsidRPr="004F5958">
              <w:rPr>
                <w:b/>
                <w:lang w:val="en-GB"/>
              </w:rPr>
              <w:t> </w:t>
            </w:r>
            <w:r w:rsidRPr="004F5958">
              <w:fldChar w:fldCharType="end"/>
            </w:r>
          </w:p>
        </w:tc>
      </w:tr>
      <w:tr w:rsidR="004F5958" w:rsidRPr="004F5958" w14:paraId="49037F79" w14:textId="77777777" w:rsidTr="00DD177D">
        <w:trPr>
          <w:trHeight w:val="458"/>
        </w:trPr>
        <w:tc>
          <w:tcPr>
            <w:tcW w:w="1858" w:type="dxa"/>
            <w:vMerge/>
          </w:tcPr>
          <w:p w14:paraId="29788220" w14:textId="77777777" w:rsidR="004416C9" w:rsidRPr="004F5958" w:rsidRDefault="004416C9" w:rsidP="00DD177D">
            <w:pPr>
              <w:pStyle w:val="PrformatHTML"/>
              <w:shd w:val="clear" w:color="auto" w:fill="FFFFFF"/>
              <w:rPr>
                <w:lang w:val="en-GB"/>
              </w:rPr>
            </w:pPr>
          </w:p>
        </w:tc>
        <w:tc>
          <w:tcPr>
            <w:tcW w:w="2410" w:type="dxa"/>
            <w:shd w:val="clear" w:color="auto" w:fill="EEECE1"/>
          </w:tcPr>
          <w:p w14:paraId="0F24D667"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3.1.2</w:t>
            </w:r>
          </w:p>
          <w:p w14:paraId="1341D98E"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Nombre de rapports thématiques ou sur la situation nationale des droits de l’homme élaborés et soumis aux instances nationales compétentes et aux mécanismes des droits de l'homme</w:t>
            </w:r>
            <w:r w:rsidRPr="004F5958">
              <w:rPr>
                <w:b/>
                <w:lang w:val="en-GB"/>
              </w:rPr>
              <w:t> </w:t>
            </w:r>
            <w:r w:rsidRPr="004F5958">
              <w:fldChar w:fldCharType="end"/>
            </w:r>
          </w:p>
        </w:tc>
        <w:tc>
          <w:tcPr>
            <w:tcW w:w="1276" w:type="dxa"/>
            <w:shd w:val="clear" w:color="auto" w:fill="EEECE1"/>
          </w:tcPr>
          <w:p w14:paraId="6043CF89"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Environ 8</w:t>
            </w:r>
            <w:r w:rsidRPr="004F5958">
              <w:rPr>
                <w:b/>
                <w:lang w:val="en-GB"/>
              </w:rPr>
              <w:t> </w:t>
            </w:r>
            <w:r w:rsidRPr="004F5958">
              <w:fldChar w:fldCharType="end"/>
            </w:r>
          </w:p>
        </w:tc>
        <w:tc>
          <w:tcPr>
            <w:tcW w:w="2126" w:type="dxa"/>
            <w:shd w:val="clear" w:color="auto" w:fill="EEECE1"/>
          </w:tcPr>
          <w:p w14:paraId="247DA864"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10</w:t>
            </w:r>
            <w:r w:rsidRPr="004F5958">
              <w:rPr>
                <w:b/>
                <w:lang w:val="en-GB"/>
              </w:rPr>
              <w:t> </w:t>
            </w:r>
            <w:r w:rsidRPr="004F5958">
              <w:fldChar w:fldCharType="end"/>
            </w:r>
          </w:p>
        </w:tc>
        <w:tc>
          <w:tcPr>
            <w:tcW w:w="1701" w:type="dxa"/>
          </w:tcPr>
          <w:p w14:paraId="7FB6A5CA" w14:textId="77777777" w:rsidR="00860BB1" w:rsidRPr="004F5958" w:rsidRDefault="00860BB1" w:rsidP="00860BB1">
            <w:pPr>
              <w:pStyle w:val="PrformatHTML"/>
              <w:rPr>
                <w:bCs/>
                <w:lang w:val="en-GB"/>
              </w:rPr>
            </w:pPr>
            <w:r w:rsidRPr="004F5958">
              <w:rPr>
                <w:bCs/>
                <w:lang w:val="en-GB"/>
              </w:rPr>
              <w:t>-2019: 8</w:t>
            </w:r>
          </w:p>
          <w:p w14:paraId="649B42CD" w14:textId="77777777" w:rsidR="004416C9" w:rsidRDefault="00860BB1" w:rsidP="00860BB1">
            <w:pPr>
              <w:pStyle w:val="PrformatHTML"/>
              <w:shd w:val="clear" w:color="auto" w:fill="FFFFFF"/>
              <w:rPr>
                <w:bCs/>
                <w:lang w:val="en-GB"/>
              </w:rPr>
            </w:pPr>
            <w:r w:rsidRPr="004F5958">
              <w:rPr>
                <w:bCs/>
                <w:lang w:val="en-GB"/>
              </w:rPr>
              <w:t>-2020: 7</w:t>
            </w:r>
          </w:p>
          <w:p w14:paraId="03B1D435" w14:textId="3AF6B895" w:rsidR="004F5958" w:rsidRPr="004F5958" w:rsidRDefault="004F5958" w:rsidP="00860BB1">
            <w:pPr>
              <w:pStyle w:val="PrformatHTML"/>
              <w:shd w:val="clear" w:color="auto" w:fill="FFFFFF"/>
              <w:rPr>
                <w:bCs/>
                <w:lang w:val="en-GB"/>
              </w:rPr>
            </w:pPr>
            <w:r>
              <w:rPr>
                <w:bCs/>
                <w:lang w:val="en-GB"/>
              </w:rPr>
              <w:t>- 202:</w:t>
            </w:r>
            <w:r w:rsidR="00841B8C">
              <w:rPr>
                <w:bCs/>
                <w:lang w:val="en-GB"/>
              </w:rPr>
              <w:t>4</w:t>
            </w:r>
          </w:p>
        </w:tc>
        <w:tc>
          <w:tcPr>
            <w:tcW w:w="4253" w:type="dxa"/>
          </w:tcPr>
          <w:p w14:paraId="012B062B" w14:textId="1DAE8D1F" w:rsidR="00860BB1" w:rsidRPr="004F5958" w:rsidRDefault="00C43E93" w:rsidP="00860BB1">
            <w:pPr>
              <w:pStyle w:val="PrformatHTML"/>
              <w:rPr>
                <w:bCs/>
                <w:lang w:val="en-GB"/>
              </w:rPr>
            </w:pPr>
            <w:r w:rsidRPr="004F5958">
              <w:rPr>
                <w:bCs/>
                <w:lang w:val="en-GB"/>
              </w:rPr>
              <w:t>-</w:t>
            </w:r>
            <w:r w:rsidR="00860BB1" w:rsidRPr="004F5958">
              <w:rPr>
                <w:bCs/>
                <w:lang w:val="en-GB"/>
              </w:rPr>
              <w:t xml:space="preserve">8 rapports </w:t>
            </w:r>
            <w:proofErr w:type="spellStart"/>
            <w:r w:rsidR="00860BB1" w:rsidRPr="004F5958">
              <w:rPr>
                <w:bCs/>
                <w:lang w:val="en-GB"/>
              </w:rPr>
              <w:t>thématiques</w:t>
            </w:r>
            <w:proofErr w:type="spellEnd"/>
            <w:r w:rsidR="00860BB1" w:rsidRPr="004F5958">
              <w:rPr>
                <w:bCs/>
                <w:lang w:val="en-GB"/>
              </w:rPr>
              <w:t xml:space="preserve"> </w:t>
            </w:r>
            <w:proofErr w:type="spellStart"/>
            <w:r w:rsidR="00860BB1" w:rsidRPr="004F5958">
              <w:rPr>
                <w:bCs/>
                <w:lang w:val="en-GB"/>
              </w:rPr>
              <w:t>produits</w:t>
            </w:r>
            <w:proofErr w:type="spellEnd"/>
            <w:r w:rsidR="00860BB1" w:rsidRPr="004F5958">
              <w:rPr>
                <w:bCs/>
                <w:lang w:val="en-GB"/>
              </w:rPr>
              <w:t xml:space="preserve"> </w:t>
            </w:r>
            <w:proofErr w:type="spellStart"/>
            <w:r w:rsidR="00860BB1" w:rsidRPr="004F5958">
              <w:rPr>
                <w:bCs/>
                <w:lang w:val="en-GB"/>
              </w:rPr>
              <w:t>en</w:t>
            </w:r>
            <w:proofErr w:type="spellEnd"/>
            <w:r w:rsidR="00860BB1" w:rsidRPr="004F5958">
              <w:rPr>
                <w:bCs/>
                <w:lang w:val="en-GB"/>
              </w:rPr>
              <w:t xml:space="preserve"> 2019</w:t>
            </w:r>
          </w:p>
          <w:p w14:paraId="1909A882" w14:textId="77777777" w:rsidR="00C43E93" w:rsidRPr="004F5958" w:rsidRDefault="00C43E93" w:rsidP="00860BB1">
            <w:pPr>
              <w:pStyle w:val="PrformatHTML"/>
              <w:shd w:val="clear" w:color="auto" w:fill="FFFFFF"/>
              <w:rPr>
                <w:bCs/>
                <w:lang w:val="en-GB"/>
              </w:rPr>
            </w:pPr>
            <w:r w:rsidRPr="004F5958">
              <w:rPr>
                <w:bCs/>
                <w:lang w:val="en-GB"/>
              </w:rPr>
              <w:t xml:space="preserve">-1 rapport sur la situation des droits </w:t>
            </w:r>
            <w:proofErr w:type="spellStart"/>
            <w:r w:rsidRPr="004F5958">
              <w:rPr>
                <w:bCs/>
                <w:lang w:val="en-GB"/>
              </w:rPr>
              <w:t>humains</w:t>
            </w:r>
            <w:proofErr w:type="spellEnd"/>
            <w:r w:rsidRPr="004F5958">
              <w:rPr>
                <w:bCs/>
                <w:lang w:val="en-GB"/>
              </w:rPr>
              <w:t xml:space="preserve"> 2019</w:t>
            </w:r>
          </w:p>
          <w:p w14:paraId="603B19A6" w14:textId="77777777" w:rsidR="004416C9" w:rsidRPr="004F5958" w:rsidRDefault="00C43E93" w:rsidP="00860BB1">
            <w:pPr>
              <w:pStyle w:val="PrformatHTML"/>
              <w:shd w:val="clear" w:color="auto" w:fill="FFFFFF"/>
              <w:rPr>
                <w:bCs/>
                <w:lang w:val="en-GB"/>
              </w:rPr>
            </w:pPr>
            <w:r w:rsidRPr="004F5958">
              <w:rPr>
                <w:bCs/>
                <w:lang w:val="en-GB"/>
              </w:rPr>
              <w:t>-</w:t>
            </w:r>
            <w:r w:rsidR="00860BB1" w:rsidRPr="004F5958">
              <w:rPr>
                <w:bCs/>
                <w:lang w:val="en-GB"/>
              </w:rPr>
              <w:t xml:space="preserve">7 rapports </w:t>
            </w:r>
            <w:proofErr w:type="spellStart"/>
            <w:r w:rsidR="00860BB1" w:rsidRPr="004F5958">
              <w:rPr>
                <w:bCs/>
                <w:lang w:val="en-GB"/>
              </w:rPr>
              <w:t>thématiques</w:t>
            </w:r>
            <w:proofErr w:type="spellEnd"/>
            <w:r w:rsidR="00860BB1" w:rsidRPr="004F5958">
              <w:rPr>
                <w:bCs/>
                <w:lang w:val="en-GB"/>
              </w:rPr>
              <w:t xml:space="preserve"> </w:t>
            </w:r>
            <w:proofErr w:type="spellStart"/>
            <w:r w:rsidR="00860BB1" w:rsidRPr="004F5958">
              <w:rPr>
                <w:bCs/>
                <w:lang w:val="en-GB"/>
              </w:rPr>
              <w:t>produits</w:t>
            </w:r>
            <w:proofErr w:type="spellEnd"/>
            <w:r w:rsidR="00860BB1" w:rsidRPr="004F5958">
              <w:rPr>
                <w:bCs/>
                <w:lang w:val="en-GB"/>
              </w:rPr>
              <w:t xml:space="preserve"> </w:t>
            </w:r>
            <w:proofErr w:type="spellStart"/>
            <w:r w:rsidR="00860BB1" w:rsidRPr="004F5958">
              <w:rPr>
                <w:bCs/>
                <w:lang w:val="en-GB"/>
              </w:rPr>
              <w:t>en</w:t>
            </w:r>
            <w:proofErr w:type="spellEnd"/>
            <w:r w:rsidR="00860BB1" w:rsidRPr="004F5958">
              <w:rPr>
                <w:bCs/>
                <w:lang w:val="en-GB"/>
              </w:rPr>
              <w:t xml:space="preserve"> 2020</w:t>
            </w:r>
          </w:p>
          <w:p w14:paraId="58269A7E" w14:textId="27DEE32E" w:rsidR="00C43E93" w:rsidRPr="004F5958" w:rsidRDefault="00C43E93" w:rsidP="00860BB1">
            <w:pPr>
              <w:pStyle w:val="PrformatHTML"/>
              <w:shd w:val="clear" w:color="auto" w:fill="FFFFFF"/>
              <w:rPr>
                <w:bCs/>
                <w:lang w:val="en-GB"/>
              </w:rPr>
            </w:pPr>
            <w:r w:rsidRPr="004F5958">
              <w:rPr>
                <w:bCs/>
                <w:lang w:val="en-GB"/>
              </w:rPr>
              <w:t xml:space="preserve">-1 rapport sur la situation des droits </w:t>
            </w:r>
            <w:proofErr w:type="spellStart"/>
            <w:r w:rsidRPr="004F5958">
              <w:rPr>
                <w:bCs/>
                <w:lang w:val="en-GB"/>
              </w:rPr>
              <w:t>humains</w:t>
            </w:r>
            <w:proofErr w:type="spellEnd"/>
            <w:r w:rsidRPr="004F5958">
              <w:rPr>
                <w:bCs/>
                <w:lang w:val="en-GB"/>
              </w:rPr>
              <w:t xml:space="preserve"> 2020</w:t>
            </w:r>
          </w:p>
        </w:tc>
        <w:tc>
          <w:tcPr>
            <w:tcW w:w="1406" w:type="dxa"/>
          </w:tcPr>
          <w:p w14:paraId="5C01B82D" w14:textId="7F76C103" w:rsidR="004416C9" w:rsidRPr="004F5958" w:rsidRDefault="004416C9" w:rsidP="00DD177D">
            <w:pPr>
              <w:pStyle w:val="PrformatHTML"/>
              <w:shd w:val="clear" w:color="auto" w:fill="FFFFFF"/>
              <w:rPr>
                <w:lang w:val="en-GB"/>
              </w:rPr>
            </w:pPr>
          </w:p>
        </w:tc>
      </w:tr>
      <w:tr w:rsidR="004F5958" w:rsidRPr="004F5958" w14:paraId="189F8D2D" w14:textId="77777777" w:rsidTr="00DD177D">
        <w:trPr>
          <w:trHeight w:val="458"/>
        </w:trPr>
        <w:tc>
          <w:tcPr>
            <w:tcW w:w="1858" w:type="dxa"/>
            <w:vMerge/>
          </w:tcPr>
          <w:p w14:paraId="263E18BB" w14:textId="77777777" w:rsidR="004416C9" w:rsidRPr="004F5958" w:rsidRDefault="004416C9" w:rsidP="00DD177D">
            <w:pPr>
              <w:pStyle w:val="PrformatHTML"/>
              <w:shd w:val="clear" w:color="auto" w:fill="FFFFFF"/>
              <w:rPr>
                <w:lang w:val="en-GB"/>
              </w:rPr>
            </w:pPr>
          </w:p>
        </w:tc>
        <w:tc>
          <w:tcPr>
            <w:tcW w:w="2410" w:type="dxa"/>
            <w:shd w:val="clear" w:color="auto" w:fill="EEECE1"/>
          </w:tcPr>
          <w:p w14:paraId="37477442"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3.1.3</w:t>
            </w:r>
          </w:p>
          <w:p w14:paraId="4B43D5E7"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1276" w:type="dxa"/>
            <w:shd w:val="clear" w:color="auto" w:fill="EEECE1"/>
          </w:tcPr>
          <w:p w14:paraId="0471D52A"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2126" w:type="dxa"/>
            <w:shd w:val="clear" w:color="auto" w:fill="EEECE1"/>
          </w:tcPr>
          <w:p w14:paraId="1E0B625C"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1701" w:type="dxa"/>
          </w:tcPr>
          <w:p w14:paraId="35C91C71"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4253" w:type="dxa"/>
          </w:tcPr>
          <w:p w14:paraId="7F54FDA7"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1406" w:type="dxa"/>
          </w:tcPr>
          <w:p w14:paraId="7A93F15E" w14:textId="77777777" w:rsidR="004416C9" w:rsidRPr="004F5958" w:rsidRDefault="004416C9" w:rsidP="00DD177D">
            <w:pPr>
              <w:pStyle w:val="PrformatHTML"/>
              <w:shd w:val="clear" w:color="auto" w:fill="FFFFFF"/>
              <w:rPr>
                <w:b/>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r>
      <w:tr w:rsidR="004F5958" w:rsidRPr="004F5958" w14:paraId="14FDC190" w14:textId="77777777" w:rsidTr="00DD177D">
        <w:trPr>
          <w:trHeight w:val="458"/>
        </w:trPr>
        <w:tc>
          <w:tcPr>
            <w:tcW w:w="1858" w:type="dxa"/>
            <w:vMerge w:val="restart"/>
          </w:tcPr>
          <w:p w14:paraId="3BF7ABB9" w14:textId="77777777" w:rsidR="004416C9" w:rsidRPr="004F5958" w:rsidRDefault="004416C9" w:rsidP="00DD177D">
            <w:pPr>
              <w:pStyle w:val="PrformatHTML"/>
              <w:shd w:val="clear" w:color="auto" w:fill="FFFFFF"/>
              <w:rPr>
                <w:lang w:val="en-GB"/>
              </w:rPr>
            </w:pPr>
            <w:proofErr w:type="spellStart"/>
            <w:r w:rsidRPr="004F5958">
              <w:rPr>
                <w:lang w:val="en-GB"/>
              </w:rPr>
              <w:t>Produit</w:t>
            </w:r>
            <w:proofErr w:type="spellEnd"/>
            <w:r w:rsidRPr="004F5958">
              <w:rPr>
                <w:lang w:val="en-GB"/>
              </w:rPr>
              <w:t xml:space="preserve"> 3.2</w:t>
            </w:r>
          </w:p>
          <w:p w14:paraId="2783B0C6"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Le Comité interministériel de suivi de l’application des instruments juridiques internationaux relatifs aux droits de l’homme est renforcé</w:t>
            </w:r>
            <w:r w:rsidRPr="004F5958">
              <w:rPr>
                <w:b/>
                <w:lang w:val="en-GB"/>
              </w:rPr>
              <w:t> </w:t>
            </w:r>
            <w:r w:rsidRPr="004F5958">
              <w:fldChar w:fldCharType="end"/>
            </w:r>
          </w:p>
        </w:tc>
        <w:tc>
          <w:tcPr>
            <w:tcW w:w="2410" w:type="dxa"/>
            <w:shd w:val="clear" w:color="auto" w:fill="EEECE1"/>
          </w:tcPr>
          <w:p w14:paraId="02216A3C"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3.2.1</w:t>
            </w:r>
          </w:p>
          <w:p w14:paraId="56F52C27"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Nombre de ministères renforcés dans le cadre du comité interministériel.</w:t>
            </w:r>
            <w:r w:rsidRPr="004F5958">
              <w:rPr>
                <w:b/>
                <w:lang w:val="en-GB"/>
              </w:rPr>
              <w:t> </w:t>
            </w:r>
            <w:r w:rsidRPr="004F5958">
              <w:fldChar w:fldCharType="end"/>
            </w:r>
          </w:p>
        </w:tc>
        <w:tc>
          <w:tcPr>
            <w:tcW w:w="1276" w:type="dxa"/>
            <w:shd w:val="clear" w:color="auto" w:fill="EEECE1"/>
          </w:tcPr>
          <w:p w14:paraId="16ABC265"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Au moins 7</w:t>
            </w:r>
            <w:r w:rsidRPr="004F5958">
              <w:rPr>
                <w:b/>
                <w:lang w:val="en-GB"/>
              </w:rPr>
              <w:t> </w:t>
            </w:r>
            <w:r w:rsidRPr="004F5958">
              <w:fldChar w:fldCharType="end"/>
            </w:r>
          </w:p>
        </w:tc>
        <w:tc>
          <w:tcPr>
            <w:tcW w:w="2126" w:type="dxa"/>
            <w:shd w:val="clear" w:color="auto" w:fill="EEECE1"/>
          </w:tcPr>
          <w:p w14:paraId="564D4839"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3</w:t>
            </w:r>
            <w:r w:rsidRPr="004F5958">
              <w:rPr>
                <w:b/>
                <w:lang w:val="en-GB"/>
              </w:rPr>
              <w:t> </w:t>
            </w:r>
            <w:r w:rsidRPr="004F5958">
              <w:fldChar w:fldCharType="end"/>
            </w:r>
          </w:p>
        </w:tc>
        <w:tc>
          <w:tcPr>
            <w:tcW w:w="1701" w:type="dxa"/>
          </w:tcPr>
          <w:p w14:paraId="6DD8A100"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- 2020: 10            - 2021: 10           </w:t>
            </w:r>
            <w:r w:rsidRPr="004F5958">
              <w:rPr>
                <w:b/>
                <w:lang w:val="en-GB"/>
              </w:rPr>
              <w:t> </w:t>
            </w:r>
            <w:r w:rsidRPr="004F5958">
              <w:fldChar w:fldCharType="end"/>
            </w:r>
          </w:p>
        </w:tc>
        <w:tc>
          <w:tcPr>
            <w:tcW w:w="4253" w:type="dxa"/>
          </w:tcPr>
          <w:p w14:paraId="2AA5653A"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22 ministères renforcés en 2020. En début d'année 2021, le Secrétariat d'Etat a été dissout. Les questions de droit de l'homme sont désormais gérées par le ministère de la justice et des droits de l'homme. (chiffre clé:0)</w:t>
            </w:r>
            <w:r w:rsidRPr="004F5958">
              <w:rPr>
                <w:b/>
                <w:lang w:val="en-GB"/>
              </w:rPr>
              <w:t> </w:t>
            </w:r>
            <w:r w:rsidRPr="004F5958">
              <w:fldChar w:fldCharType="end"/>
            </w:r>
          </w:p>
        </w:tc>
        <w:tc>
          <w:tcPr>
            <w:tcW w:w="1406" w:type="dxa"/>
          </w:tcPr>
          <w:p w14:paraId="26292F06"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t> </w:t>
            </w:r>
            <w:r w:rsidRPr="004F5958">
              <w:fldChar w:fldCharType="end"/>
            </w:r>
            <w:r w:rsidRPr="004F5958">
              <w:rPr>
                <w:b/>
                <w:lang w:val="en-GB"/>
              </w:rPr>
              <w:t> </w:t>
            </w:r>
            <w:r w:rsidRPr="004F5958">
              <w:fldChar w:fldCharType="end"/>
            </w:r>
          </w:p>
        </w:tc>
      </w:tr>
      <w:tr w:rsidR="004F5958" w:rsidRPr="004F5958" w14:paraId="73FC7774" w14:textId="77777777" w:rsidTr="00DD177D">
        <w:trPr>
          <w:trHeight w:val="458"/>
        </w:trPr>
        <w:tc>
          <w:tcPr>
            <w:tcW w:w="1858" w:type="dxa"/>
            <w:vMerge/>
          </w:tcPr>
          <w:p w14:paraId="65F7769F"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618E8C46"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3.2.2</w:t>
            </w:r>
          </w:p>
          <w:p w14:paraId="34A84374"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Nombre de rapports dus aux mécanismes des de droits de l’homme de l’ONU élaborés et validés.</w:t>
            </w:r>
            <w:r w:rsidRPr="004F5958">
              <w:rPr>
                <w:b/>
                <w:lang w:val="en-GB"/>
              </w:rPr>
              <w:t> </w:t>
            </w:r>
            <w:r w:rsidRPr="004F5958">
              <w:fldChar w:fldCharType="end"/>
            </w:r>
          </w:p>
        </w:tc>
        <w:tc>
          <w:tcPr>
            <w:tcW w:w="1276" w:type="dxa"/>
            <w:shd w:val="clear" w:color="auto" w:fill="EEECE1"/>
          </w:tcPr>
          <w:p w14:paraId="363093CE"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9</w:t>
            </w:r>
            <w:r w:rsidRPr="004F5958">
              <w:rPr>
                <w:b/>
                <w:lang w:val="en-GB"/>
              </w:rPr>
              <w:t> </w:t>
            </w:r>
            <w:r w:rsidRPr="004F5958">
              <w:fldChar w:fldCharType="end"/>
            </w:r>
          </w:p>
        </w:tc>
        <w:tc>
          <w:tcPr>
            <w:tcW w:w="2126" w:type="dxa"/>
            <w:shd w:val="clear" w:color="auto" w:fill="EEECE1"/>
          </w:tcPr>
          <w:p w14:paraId="00A31770"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3</w:t>
            </w:r>
            <w:r w:rsidRPr="004F5958">
              <w:rPr>
                <w:b/>
                <w:lang w:val="en-GB"/>
              </w:rPr>
              <w:t> </w:t>
            </w:r>
            <w:r w:rsidRPr="004F5958">
              <w:fldChar w:fldCharType="end"/>
            </w:r>
          </w:p>
        </w:tc>
        <w:tc>
          <w:tcPr>
            <w:tcW w:w="1701" w:type="dxa"/>
          </w:tcPr>
          <w:p w14:paraId="7E1ED070" w14:textId="77777777" w:rsidR="004416C9" w:rsidRPr="004F5958" w:rsidRDefault="00317CD4" w:rsidP="00DD177D">
            <w:pPr>
              <w:pStyle w:val="PrformatHTML"/>
              <w:shd w:val="clear" w:color="auto" w:fill="FFFFFF"/>
              <w:rPr>
                <w:bCs/>
                <w:lang w:val="en-GB"/>
              </w:rPr>
            </w:pPr>
            <w:r w:rsidRPr="004F5958">
              <w:rPr>
                <w:bCs/>
                <w:lang w:val="en-GB"/>
              </w:rPr>
              <w:t>-2019: 1</w:t>
            </w:r>
          </w:p>
          <w:p w14:paraId="0BC6CFC0" w14:textId="138E771F" w:rsidR="00317CD4" w:rsidRPr="004F5958" w:rsidRDefault="00317CD4" w:rsidP="00DD177D">
            <w:pPr>
              <w:pStyle w:val="PrformatHTML"/>
              <w:shd w:val="clear" w:color="auto" w:fill="FFFFFF"/>
              <w:rPr>
                <w:lang w:val="en-GB"/>
              </w:rPr>
            </w:pPr>
            <w:r w:rsidRPr="004F5958">
              <w:rPr>
                <w:bCs/>
                <w:lang w:val="en-GB"/>
              </w:rPr>
              <w:t>-2020:2</w:t>
            </w:r>
          </w:p>
        </w:tc>
        <w:tc>
          <w:tcPr>
            <w:tcW w:w="4253" w:type="dxa"/>
          </w:tcPr>
          <w:p w14:paraId="00B5D39E" w14:textId="624B6BC5" w:rsidR="004416C9" w:rsidRPr="004F5958" w:rsidRDefault="00317CD4" w:rsidP="00317CD4">
            <w:pPr>
              <w:pStyle w:val="PrformatHTML"/>
              <w:shd w:val="clear" w:color="auto" w:fill="FFFFFF"/>
              <w:rPr>
                <w:bCs/>
                <w:lang w:val="en-GB"/>
              </w:rPr>
            </w:pPr>
            <w:r w:rsidRPr="004F5958">
              <w:rPr>
                <w:bCs/>
                <w:lang w:val="en-GB"/>
              </w:rPr>
              <w:t xml:space="preserve">-1 rapport sur </w:t>
            </w:r>
            <w:proofErr w:type="spellStart"/>
            <w:r w:rsidRPr="004F5958">
              <w:rPr>
                <w:bCs/>
                <w:lang w:val="en-GB"/>
              </w:rPr>
              <w:t>l’application</w:t>
            </w:r>
            <w:proofErr w:type="spellEnd"/>
            <w:r w:rsidRPr="004F5958">
              <w:rPr>
                <w:bCs/>
                <w:lang w:val="en-GB"/>
              </w:rPr>
              <w:t xml:space="preserve"> de la </w:t>
            </w:r>
            <w:proofErr w:type="spellStart"/>
            <w:r w:rsidRPr="004F5958">
              <w:rPr>
                <w:bCs/>
                <w:lang w:val="en-GB"/>
              </w:rPr>
              <w:t>Charte</w:t>
            </w:r>
            <w:proofErr w:type="spellEnd"/>
            <w:r w:rsidRPr="004F5958">
              <w:rPr>
                <w:bCs/>
                <w:lang w:val="en-GB"/>
              </w:rPr>
              <w:t xml:space="preserve"> </w:t>
            </w:r>
            <w:proofErr w:type="spellStart"/>
            <w:r w:rsidRPr="004F5958">
              <w:rPr>
                <w:bCs/>
                <w:lang w:val="en-GB"/>
              </w:rPr>
              <w:t>africaine</w:t>
            </w:r>
            <w:proofErr w:type="spellEnd"/>
            <w:r w:rsidRPr="004F5958">
              <w:rPr>
                <w:bCs/>
                <w:lang w:val="en-GB"/>
              </w:rPr>
              <w:t xml:space="preserve"> des droits de </w:t>
            </w:r>
            <w:proofErr w:type="spellStart"/>
            <w:r w:rsidRPr="004F5958">
              <w:rPr>
                <w:bCs/>
                <w:lang w:val="en-GB"/>
              </w:rPr>
              <w:t>l’homme</w:t>
            </w:r>
            <w:proofErr w:type="spellEnd"/>
            <w:r w:rsidRPr="004F5958">
              <w:rPr>
                <w:bCs/>
                <w:lang w:val="en-GB"/>
              </w:rPr>
              <w:t xml:space="preserve"> et des peoples </w:t>
            </w:r>
            <w:proofErr w:type="spellStart"/>
            <w:r w:rsidRPr="004F5958">
              <w:rPr>
                <w:bCs/>
                <w:lang w:val="en-GB"/>
              </w:rPr>
              <w:t>produit</w:t>
            </w:r>
            <w:proofErr w:type="spellEnd"/>
          </w:p>
          <w:p w14:paraId="78267B88" w14:textId="77777777" w:rsidR="00317CD4" w:rsidRPr="004F5958" w:rsidRDefault="00317CD4" w:rsidP="00317CD4">
            <w:pPr>
              <w:pStyle w:val="PrformatHTML"/>
              <w:shd w:val="clear" w:color="auto" w:fill="FFFFFF"/>
              <w:rPr>
                <w:bCs/>
                <w:lang w:val="en-GB"/>
              </w:rPr>
            </w:pPr>
            <w:r w:rsidRPr="004F5958">
              <w:rPr>
                <w:bCs/>
                <w:lang w:val="en-GB"/>
              </w:rPr>
              <w:t xml:space="preserve">-1 rapport sur </w:t>
            </w:r>
            <w:proofErr w:type="spellStart"/>
            <w:r w:rsidRPr="004F5958">
              <w:rPr>
                <w:bCs/>
                <w:lang w:val="en-GB"/>
              </w:rPr>
              <w:t>l’application</w:t>
            </w:r>
            <w:proofErr w:type="spellEnd"/>
            <w:r w:rsidRPr="004F5958">
              <w:rPr>
                <w:bCs/>
                <w:lang w:val="en-GB"/>
              </w:rPr>
              <w:t xml:space="preserve"> de la convention </w:t>
            </w:r>
            <w:proofErr w:type="spellStart"/>
            <w:r w:rsidRPr="004F5958">
              <w:rPr>
                <w:bCs/>
                <w:lang w:val="en-GB"/>
              </w:rPr>
              <w:t>internationale</w:t>
            </w:r>
            <w:proofErr w:type="spellEnd"/>
            <w:r w:rsidRPr="004F5958">
              <w:rPr>
                <w:bCs/>
                <w:lang w:val="en-GB"/>
              </w:rPr>
              <w:t xml:space="preserve"> </w:t>
            </w:r>
            <w:proofErr w:type="spellStart"/>
            <w:r w:rsidRPr="004F5958">
              <w:rPr>
                <w:bCs/>
                <w:lang w:val="en-GB"/>
              </w:rPr>
              <w:t>contre</w:t>
            </w:r>
            <w:proofErr w:type="spellEnd"/>
            <w:r w:rsidRPr="004F5958">
              <w:rPr>
                <w:bCs/>
                <w:lang w:val="en-GB"/>
              </w:rPr>
              <w:t xml:space="preserve"> la torture</w:t>
            </w:r>
          </w:p>
          <w:p w14:paraId="651CA4BB" w14:textId="1478D841" w:rsidR="00317CD4" w:rsidRPr="004F5958" w:rsidRDefault="00317CD4" w:rsidP="00317CD4">
            <w:pPr>
              <w:pStyle w:val="PrformatHTML"/>
              <w:shd w:val="clear" w:color="auto" w:fill="FFFFFF"/>
              <w:rPr>
                <w:lang w:val="en-GB"/>
              </w:rPr>
            </w:pPr>
            <w:r w:rsidRPr="004F5958">
              <w:rPr>
                <w:bCs/>
                <w:lang w:val="en-GB"/>
              </w:rPr>
              <w:t xml:space="preserve">-1 rapport dans le cadre de </w:t>
            </w:r>
            <w:proofErr w:type="spellStart"/>
            <w:r w:rsidRPr="004F5958">
              <w:rPr>
                <w:bCs/>
                <w:lang w:val="en-GB"/>
              </w:rPr>
              <w:t>l’Examen</w:t>
            </w:r>
            <w:proofErr w:type="spellEnd"/>
            <w:r w:rsidRPr="004F5958">
              <w:rPr>
                <w:bCs/>
                <w:lang w:val="en-GB"/>
              </w:rPr>
              <w:t xml:space="preserve"> </w:t>
            </w:r>
            <w:proofErr w:type="spellStart"/>
            <w:r w:rsidRPr="004F5958">
              <w:rPr>
                <w:bCs/>
                <w:lang w:val="en-GB"/>
              </w:rPr>
              <w:t>Périodique</w:t>
            </w:r>
            <w:proofErr w:type="spellEnd"/>
            <w:r w:rsidRPr="004F5958">
              <w:rPr>
                <w:bCs/>
                <w:lang w:val="en-GB"/>
              </w:rPr>
              <w:t xml:space="preserve"> </w:t>
            </w:r>
            <w:proofErr w:type="spellStart"/>
            <w:r w:rsidRPr="004F5958">
              <w:rPr>
                <w:bCs/>
                <w:lang w:val="en-GB"/>
              </w:rPr>
              <w:t>Universel</w:t>
            </w:r>
            <w:proofErr w:type="spellEnd"/>
            <w:r w:rsidRPr="004F5958">
              <w:rPr>
                <w:bCs/>
                <w:lang w:val="en-GB"/>
              </w:rPr>
              <w:t xml:space="preserve"> (EPU)</w:t>
            </w:r>
          </w:p>
        </w:tc>
        <w:tc>
          <w:tcPr>
            <w:tcW w:w="1406" w:type="dxa"/>
          </w:tcPr>
          <w:p w14:paraId="16E8972E"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t> </w:t>
            </w:r>
            <w:r w:rsidRPr="004F5958">
              <w:fldChar w:fldCharType="end"/>
            </w:r>
            <w:r w:rsidRPr="004F5958">
              <w:rPr>
                <w:b/>
                <w:lang w:val="en-GB"/>
              </w:rPr>
              <w:t> </w:t>
            </w:r>
            <w:r w:rsidRPr="004F5958">
              <w:fldChar w:fldCharType="end"/>
            </w:r>
          </w:p>
        </w:tc>
      </w:tr>
      <w:tr w:rsidR="004F5958" w:rsidRPr="004F5958" w14:paraId="02D74724" w14:textId="77777777" w:rsidTr="00DD177D">
        <w:trPr>
          <w:trHeight w:val="458"/>
        </w:trPr>
        <w:tc>
          <w:tcPr>
            <w:tcW w:w="1858" w:type="dxa"/>
            <w:vMerge/>
          </w:tcPr>
          <w:p w14:paraId="377FA2BD"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36930168"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3.2.3</w:t>
            </w:r>
          </w:p>
          <w:p w14:paraId="40A9B6F7"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1276" w:type="dxa"/>
            <w:shd w:val="clear" w:color="auto" w:fill="EEECE1"/>
          </w:tcPr>
          <w:p w14:paraId="49DD06CF"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2126" w:type="dxa"/>
            <w:shd w:val="clear" w:color="auto" w:fill="EEECE1"/>
          </w:tcPr>
          <w:p w14:paraId="3F5B0E50"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1701" w:type="dxa"/>
          </w:tcPr>
          <w:p w14:paraId="2340E81C"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4253" w:type="dxa"/>
          </w:tcPr>
          <w:p w14:paraId="0C1533DF"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1406" w:type="dxa"/>
          </w:tcPr>
          <w:p w14:paraId="2473A03F" w14:textId="77777777" w:rsidR="004416C9" w:rsidRPr="004F5958" w:rsidRDefault="004416C9" w:rsidP="00DD177D">
            <w:pPr>
              <w:pStyle w:val="PrformatHTML"/>
              <w:shd w:val="clear" w:color="auto" w:fill="FFFFFF"/>
              <w:rPr>
                <w:b/>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r>
      <w:tr w:rsidR="004F5958" w:rsidRPr="004F5958" w14:paraId="2A848757" w14:textId="77777777" w:rsidTr="00DD177D">
        <w:trPr>
          <w:trHeight w:val="458"/>
        </w:trPr>
        <w:tc>
          <w:tcPr>
            <w:tcW w:w="1858" w:type="dxa"/>
            <w:vMerge w:val="restart"/>
          </w:tcPr>
          <w:p w14:paraId="17D0D0AD" w14:textId="77777777" w:rsidR="004416C9" w:rsidRPr="004F5958" w:rsidRDefault="004416C9" w:rsidP="00DD177D">
            <w:pPr>
              <w:pStyle w:val="PrformatHTML"/>
              <w:shd w:val="clear" w:color="auto" w:fill="FFFFFF"/>
              <w:rPr>
                <w:lang w:val="en-GB"/>
              </w:rPr>
            </w:pPr>
            <w:proofErr w:type="spellStart"/>
            <w:r w:rsidRPr="004F5958">
              <w:rPr>
                <w:lang w:val="en-GB"/>
              </w:rPr>
              <w:t>Produit</w:t>
            </w:r>
            <w:proofErr w:type="spellEnd"/>
            <w:r w:rsidRPr="004F5958">
              <w:rPr>
                <w:lang w:val="en-GB"/>
              </w:rPr>
              <w:t xml:space="preserve"> 3.3</w:t>
            </w:r>
          </w:p>
          <w:p w14:paraId="40E230DA"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Les OSC de défense des droits de l’homme sont renforcées améliorent leur coopération avec les mécanismes des droits de l’homme des Nations unies.</w:t>
            </w:r>
            <w:r w:rsidRPr="004F5958">
              <w:rPr>
                <w:b/>
                <w:lang w:val="en-GB"/>
              </w:rPr>
              <w:t> </w:t>
            </w:r>
            <w:r w:rsidRPr="004F5958">
              <w:fldChar w:fldCharType="end"/>
            </w:r>
          </w:p>
        </w:tc>
        <w:tc>
          <w:tcPr>
            <w:tcW w:w="2410" w:type="dxa"/>
            <w:shd w:val="clear" w:color="auto" w:fill="EEECE1"/>
          </w:tcPr>
          <w:p w14:paraId="4078E7EC"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3.3.1</w:t>
            </w:r>
          </w:p>
          <w:p w14:paraId="79662292"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Nombre de rapports de monitoring des droits de l’Homme produits.</w:t>
            </w:r>
            <w:r w:rsidRPr="004F5958">
              <w:rPr>
                <w:b/>
                <w:lang w:val="en-GB"/>
              </w:rPr>
              <w:t> </w:t>
            </w:r>
            <w:r w:rsidRPr="004F5958">
              <w:fldChar w:fldCharType="end"/>
            </w:r>
          </w:p>
        </w:tc>
        <w:tc>
          <w:tcPr>
            <w:tcW w:w="1276" w:type="dxa"/>
            <w:shd w:val="clear" w:color="auto" w:fill="EEECE1"/>
          </w:tcPr>
          <w:p w14:paraId="5E493313"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0</w:t>
            </w:r>
            <w:r w:rsidRPr="004F5958">
              <w:rPr>
                <w:b/>
                <w:lang w:val="en-GB"/>
              </w:rPr>
              <w:t> </w:t>
            </w:r>
            <w:r w:rsidRPr="004F5958">
              <w:fldChar w:fldCharType="end"/>
            </w:r>
          </w:p>
        </w:tc>
        <w:tc>
          <w:tcPr>
            <w:tcW w:w="2126" w:type="dxa"/>
            <w:shd w:val="clear" w:color="auto" w:fill="EEECE1"/>
          </w:tcPr>
          <w:p w14:paraId="39393971"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4</w:t>
            </w:r>
            <w:r w:rsidRPr="004F5958">
              <w:rPr>
                <w:b/>
                <w:lang w:val="en-GB"/>
              </w:rPr>
              <w:t> </w:t>
            </w:r>
            <w:r w:rsidRPr="004F5958">
              <w:fldChar w:fldCharType="end"/>
            </w:r>
          </w:p>
        </w:tc>
        <w:tc>
          <w:tcPr>
            <w:tcW w:w="1701" w:type="dxa"/>
          </w:tcPr>
          <w:p w14:paraId="635D8036" w14:textId="572AF516" w:rsidR="004416C9" w:rsidRPr="004F5958" w:rsidRDefault="004416C9" w:rsidP="00DD177D">
            <w:pPr>
              <w:pStyle w:val="PrformatHTML"/>
              <w:shd w:val="clear" w:color="auto" w:fill="FFFFFF"/>
              <w:rPr>
                <w:lang w:val="en-GB"/>
              </w:rPr>
            </w:pPr>
          </w:p>
        </w:tc>
        <w:tc>
          <w:tcPr>
            <w:tcW w:w="4253" w:type="dxa"/>
          </w:tcPr>
          <w:p w14:paraId="150C817E" w14:textId="5B7CA0A0" w:rsidR="004416C9" w:rsidRPr="004F5958" w:rsidRDefault="004416C9" w:rsidP="00DD177D">
            <w:pPr>
              <w:pStyle w:val="PrformatHTML"/>
              <w:shd w:val="clear" w:color="auto" w:fill="FFFFFF"/>
              <w:rPr>
                <w:lang w:val="en-GB"/>
              </w:rPr>
            </w:pPr>
          </w:p>
        </w:tc>
        <w:tc>
          <w:tcPr>
            <w:tcW w:w="1406" w:type="dxa"/>
          </w:tcPr>
          <w:p w14:paraId="1BD08B81"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t> </w:t>
            </w:r>
            <w:r w:rsidRPr="004F5958">
              <w:fldChar w:fldCharType="end"/>
            </w:r>
            <w:r w:rsidRPr="004F5958">
              <w:rPr>
                <w:b/>
                <w:lang w:val="en-GB"/>
              </w:rPr>
              <w:t> </w:t>
            </w:r>
            <w:r w:rsidRPr="004F5958">
              <w:fldChar w:fldCharType="end"/>
            </w:r>
          </w:p>
        </w:tc>
      </w:tr>
      <w:tr w:rsidR="004F5958" w:rsidRPr="004F5958" w14:paraId="522D1228" w14:textId="77777777" w:rsidTr="00DD177D">
        <w:trPr>
          <w:trHeight w:val="458"/>
        </w:trPr>
        <w:tc>
          <w:tcPr>
            <w:tcW w:w="1858" w:type="dxa"/>
            <w:vMerge/>
          </w:tcPr>
          <w:p w14:paraId="3948E647"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3CB70B2F"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3.3.2</w:t>
            </w:r>
          </w:p>
          <w:p w14:paraId="5534D84C"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1276" w:type="dxa"/>
            <w:shd w:val="clear" w:color="auto" w:fill="EEECE1"/>
          </w:tcPr>
          <w:p w14:paraId="675ACDB9"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2126" w:type="dxa"/>
            <w:shd w:val="clear" w:color="auto" w:fill="EEECE1"/>
          </w:tcPr>
          <w:p w14:paraId="2193248D"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1701" w:type="dxa"/>
          </w:tcPr>
          <w:p w14:paraId="24EDEFBE"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4253" w:type="dxa"/>
          </w:tcPr>
          <w:p w14:paraId="5713208B"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1406" w:type="dxa"/>
          </w:tcPr>
          <w:p w14:paraId="13D44A24"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r w:rsidRPr="004F5958">
              <w:rPr>
                <w:b/>
                <w:lang w:val="en-GB"/>
              </w:rPr>
              <w:t> </w:t>
            </w:r>
            <w:r w:rsidRPr="004F5958">
              <w:fldChar w:fldCharType="end"/>
            </w:r>
          </w:p>
        </w:tc>
      </w:tr>
      <w:tr w:rsidR="004F5958" w:rsidRPr="004F5958" w14:paraId="374DD8AC" w14:textId="77777777" w:rsidTr="00DD177D">
        <w:trPr>
          <w:trHeight w:val="458"/>
        </w:trPr>
        <w:tc>
          <w:tcPr>
            <w:tcW w:w="1858" w:type="dxa"/>
            <w:vMerge/>
          </w:tcPr>
          <w:p w14:paraId="261E6286" w14:textId="77777777" w:rsidR="004416C9" w:rsidRPr="004F5958" w:rsidRDefault="004416C9" w:rsidP="00DD177D">
            <w:pPr>
              <w:pStyle w:val="PrformatHTML"/>
              <w:shd w:val="clear" w:color="auto" w:fill="FFFFFF"/>
              <w:rPr>
                <w:b/>
                <w:lang w:val="en-GB"/>
              </w:rPr>
            </w:pPr>
          </w:p>
        </w:tc>
        <w:tc>
          <w:tcPr>
            <w:tcW w:w="2410" w:type="dxa"/>
            <w:shd w:val="clear" w:color="auto" w:fill="EEECE1"/>
          </w:tcPr>
          <w:p w14:paraId="76B667EC" w14:textId="77777777" w:rsidR="004416C9" w:rsidRPr="004F5958" w:rsidRDefault="004416C9" w:rsidP="00DD177D">
            <w:pPr>
              <w:pStyle w:val="PrformatHTML"/>
              <w:shd w:val="clear" w:color="auto" w:fill="FFFFFF"/>
              <w:rPr>
                <w:lang w:val="en-GB"/>
              </w:rPr>
            </w:pPr>
            <w:proofErr w:type="spellStart"/>
            <w:r w:rsidRPr="004F5958">
              <w:rPr>
                <w:lang w:val="en-GB"/>
              </w:rPr>
              <w:t>Indicateur</w:t>
            </w:r>
            <w:proofErr w:type="spellEnd"/>
            <w:r w:rsidRPr="004F5958">
              <w:rPr>
                <w:lang w:val="en-GB"/>
              </w:rPr>
              <w:t xml:space="preserve"> 3.3.3</w:t>
            </w:r>
          </w:p>
          <w:p w14:paraId="4EBDC03F" w14:textId="77777777" w:rsidR="004416C9" w:rsidRPr="004F5958" w:rsidRDefault="004416C9" w:rsidP="00DD177D">
            <w:pPr>
              <w:pStyle w:val="PrformatHTML"/>
              <w:shd w:val="clear" w:color="auto" w:fill="FFFFFF"/>
              <w:rPr>
                <w:lang w:val="en-GB"/>
              </w:rPr>
            </w:pPr>
            <w:r w:rsidRPr="004F5958">
              <w:rPr>
                <w:b/>
                <w:lang w:val="en-GB"/>
              </w:rPr>
              <w:fldChar w:fldCharType="begin">
                <w:ffData>
                  <w:name w:val=""/>
                  <w:enabled/>
                  <w:calcOnExit w:val="0"/>
                  <w:textInput>
                    <w:maxLength w:val="25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c>
          <w:tcPr>
            <w:tcW w:w="1276" w:type="dxa"/>
            <w:shd w:val="clear" w:color="auto" w:fill="EEECE1"/>
          </w:tcPr>
          <w:p w14:paraId="6084FFEF"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2126" w:type="dxa"/>
            <w:shd w:val="clear" w:color="auto" w:fill="EEECE1"/>
          </w:tcPr>
          <w:p w14:paraId="695B65DD"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1701" w:type="dxa"/>
          </w:tcPr>
          <w:p w14:paraId="725FBAA8"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4253" w:type="dxa"/>
          </w:tcPr>
          <w:p w14:paraId="5D88A408" w14:textId="77777777" w:rsidR="004416C9" w:rsidRPr="004F5958" w:rsidRDefault="004416C9" w:rsidP="00DD177D">
            <w:pPr>
              <w:pStyle w:val="PrformatHTML"/>
              <w:shd w:val="clear" w:color="auto" w:fill="FFFFFF"/>
              <w:rPr>
                <w:b/>
                <w:lang w:val="en-GB"/>
              </w:rPr>
            </w:pPr>
            <w:r w:rsidRPr="004F5958">
              <w:rPr>
                <w:lang w:val="en-GB"/>
              </w:rPr>
              <w:t xml:space="preserve">      </w:t>
            </w:r>
          </w:p>
        </w:tc>
        <w:tc>
          <w:tcPr>
            <w:tcW w:w="1406" w:type="dxa"/>
          </w:tcPr>
          <w:p w14:paraId="5E09C16A" w14:textId="77777777" w:rsidR="004416C9" w:rsidRPr="004F5958" w:rsidRDefault="004416C9" w:rsidP="00DD177D">
            <w:pPr>
              <w:pStyle w:val="PrformatHTML"/>
              <w:shd w:val="clear" w:color="auto" w:fill="FFFFFF"/>
              <w:rPr>
                <w:b/>
                <w:lang w:val="en-GB"/>
              </w:rPr>
            </w:pPr>
            <w:r w:rsidRPr="004F5958">
              <w:rPr>
                <w:b/>
                <w:lang w:val="en-GB"/>
              </w:rPr>
              <w:fldChar w:fldCharType="begin">
                <w:ffData>
                  <w:name w:val=""/>
                  <w:enabled/>
                  <w:calcOnExit w:val="0"/>
                  <w:textInput>
                    <w:maxLength w:val="300"/>
                  </w:textInput>
                </w:ffData>
              </w:fldChar>
            </w:r>
            <w:r w:rsidRPr="004F5958">
              <w:rPr>
                <w:b/>
                <w:lang w:val="en-GB"/>
              </w:rPr>
              <w:instrText xml:space="preserve"> FORMTEXT </w:instrText>
            </w:r>
            <w:r w:rsidRPr="004F5958">
              <w:rPr>
                <w:b/>
                <w:lang w:val="en-GB"/>
              </w:rPr>
            </w:r>
            <w:r w:rsidRPr="004F5958">
              <w:rPr>
                <w:b/>
                <w:lang w:val="en-GB"/>
              </w:rPr>
              <w:fldChar w:fldCharType="separate"/>
            </w:r>
            <w:r w:rsidRPr="004F5958">
              <w:rPr>
                <w:b/>
                <w:lang w:val="en-GB"/>
              </w:rPr>
              <w:t>  </w:t>
            </w:r>
            <w:r w:rsidRPr="004F5958">
              <w:rPr>
                <w:lang w:val="en-GB"/>
              </w:rPr>
              <w:t xml:space="preserve">      </w:t>
            </w:r>
            <w:r w:rsidRPr="004F5958">
              <w:rPr>
                <w:b/>
                <w:lang w:val="en-GB"/>
              </w:rPr>
              <w:t> </w:t>
            </w:r>
            <w:r w:rsidRPr="004F5958">
              <w:fldChar w:fldCharType="end"/>
            </w:r>
          </w:p>
        </w:tc>
      </w:tr>
    </w:tbl>
    <w:p w14:paraId="42A7E998" w14:textId="13F8EDDA" w:rsidR="004416C9" w:rsidRPr="004F5958" w:rsidRDefault="00DD177D" w:rsidP="00675507">
      <w:pPr>
        <w:pStyle w:val="PrformatHTML"/>
        <w:shd w:val="clear" w:color="auto" w:fill="FFFFFF"/>
        <w:rPr>
          <w:rFonts w:ascii="Times New Roman" w:hAnsi="Times New Roman" w:cs="Times New Roman"/>
          <w:sz w:val="24"/>
          <w:szCs w:val="24"/>
          <w:lang w:val="fr-FR"/>
        </w:rPr>
      </w:pPr>
      <w:r w:rsidRPr="004F5958">
        <w:rPr>
          <w:rFonts w:ascii="Times New Roman" w:hAnsi="Times New Roman" w:cs="Times New Roman"/>
          <w:sz w:val="24"/>
          <w:szCs w:val="24"/>
          <w:lang w:val="fr-FR"/>
        </w:rPr>
        <w:br w:type="textWrapping" w:clear="all"/>
      </w:r>
    </w:p>
    <w:p w14:paraId="64098765" w14:textId="5C9C28A6" w:rsidR="004416C9" w:rsidRPr="004F5958" w:rsidRDefault="004416C9" w:rsidP="00675507">
      <w:pPr>
        <w:pStyle w:val="PrformatHTML"/>
        <w:shd w:val="clear" w:color="auto" w:fill="FFFFFF"/>
        <w:rPr>
          <w:rFonts w:ascii="Times New Roman" w:hAnsi="Times New Roman" w:cs="Times New Roman"/>
          <w:sz w:val="24"/>
          <w:szCs w:val="24"/>
          <w:lang w:val="fr-FR"/>
        </w:rPr>
      </w:pPr>
    </w:p>
    <w:p w14:paraId="6DD044EA" w14:textId="69F0B253" w:rsidR="004416C9" w:rsidRPr="004F5958" w:rsidRDefault="004416C9" w:rsidP="00675507">
      <w:pPr>
        <w:pStyle w:val="PrformatHTML"/>
        <w:shd w:val="clear" w:color="auto" w:fill="FFFFFF"/>
        <w:rPr>
          <w:rFonts w:ascii="Times New Roman" w:hAnsi="Times New Roman" w:cs="Times New Roman"/>
          <w:sz w:val="24"/>
          <w:szCs w:val="24"/>
          <w:lang w:val="fr-FR"/>
        </w:rPr>
      </w:pPr>
    </w:p>
    <w:p w14:paraId="51F61AF4" w14:textId="6974E5B2" w:rsidR="004416C9" w:rsidRPr="004F5958" w:rsidRDefault="004416C9" w:rsidP="00675507">
      <w:pPr>
        <w:pStyle w:val="PrformatHTML"/>
        <w:shd w:val="clear" w:color="auto" w:fill="FFFFFF"/>
        <w:rPr>
          <w:rFonts w:ascii="Times New Roman" w:hAnsi="Times New Roman" w:cs="Times New Roman"/>
          <w:sz w:val="24"/>
          <w:szCs w:val="24"/>
          <w:lang w:val="fr-FR"/>
        </w:rPr>
      </w:pPr>
    </w:p>
    <w:p w14:paraId="449CBC73" w14:textId="4BF65900" w:rsidR="004416C9" w:rsidRPr="004F5958" w:rsidRDefault="004416C9" w:rsidP="00675507">
      <w:pPr>
        <w:pStyle w:val="PrformatHTML"/>
        <w:shd w:val="clear" w:color="auto" w:fill="FFFFFF"/>
        <w:rPr>
          <w:rFonts w:ascii="Times New Roman" w:hAnsi="Times New Roman" w:cs="Times New Roman"/>
          <w:sz w:val="24"/>
          <w:szCs w:val="24"/>
          <w:lang w:val="fr-FR"/>
        </w:rPr>
      </w:pPr>
    </w:p>
    <w:p w14:paraId="44C12AF1" w14:textId="41994681" w:rsidR="004416C9" w:rsidRPr="004F5958" w:rsidRDefault="004416C9" w:rsidP="00675507">
      <w:pPr>
        <w:pStyle w:val="PrformatHTML"/>
        <w:shd w:val="clear" w:color="auto" w:fill="FFFFFF"/>
        <w:rPr>
          <w:rFonts w:ascii="Times New Roman" w:hAnsi="Times New Roman" w:cs="Times New Roman"/>
          <w:sz w:val="24"/>
          <w:szCs w:val="24"/>
          <w:lang w:val="fr-FR"/>
        </w:rPr>
      </w:pPr>
    </w:p>
    <w:sectPr w:rsidR="004416C9" w:rsidRPr="004F5958"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594CE" w14:textId="77777777" w:rsidR="00A918FD" w:rsidRDefault="00A918FD" w:rsidP="00E76CA1">
      <w:r>
        <w:separator/>
      </w:r>
    </w:p>
  </w:endnote>
  <w:endnote w:type="continuationSeparator" w:id="0">
    <w:p w14:paraId="4184789E" w14:textId="77777777" w:rsidR="00A918FD" w:rsidRDefault="00A918FD"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C50541" w:rsidRDefault="00C50541">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C50541" w:rsidRDefault="00C505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47438" w14:textId="77777777" w:rsidR="00A918FD" w:rsidRDefault="00A918FD" w:rsidP="00E76CA1">
      <w:r>
        <w:separator/>
      </w:r>
    </w:p>
  </w:footnote>
  <w:footnote w:type="continuationSeparator" w:id="0">
    <w:p w14:paraId="374B92BD" w14:textId="77777777" w:rsidR="00A918FD" w:rsidRDefault="00A918FD"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C50541" w:rsidRDefault="00C50541">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73A46"/>
    <w:multiLevelType w:val="hybridMultilevel"/>
    <w:tmpl w:val="9516DCC6"/>
    <w:lvl w:ilvl="0" w:tplc="BEBA603A">
      <w:numFmt w:val="bullet"/>
      <w:lvlText w:val="•"/>
      <w:lvlJc w:val="left"/>
      <w:pPr>
        <w:ind w:left="720" w:hanging="360"/>
      </w:pPr>
      <w:rPr>
        <w:rFonts w:ascii="Calibri" w:eastAsia="Calibri" w:hAnsi="Calibri" w:cs="Arial" w:hint="default"/>
        <w:i w:val="0"/>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 w15:restartNumberingAfterBreak="0">
    <w:nsid w:val="107D4099"/>
    <w:multiLevelType w:val="hybridMultilevel"/>
    <w:tmpl w:val="34FE61AA"/>
    <w:lvl w:ilvl="0" w:tplc="7FA0A13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76056"/>
    <w:multiLevelType w:val="hybridMultilevel"/>
    <w:tmpl w:val="1A7669B6"/>
    <w:lvl w:ilvl="0" w:tplc="3CDC4616">
      <w:start w:val="4"/>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75AD3243"/>
    <w:multiLevelType w:val="hybridMultilevel"/>
    <w:tmpl w:val="C81A4960"/>
    <w:lvl w:ilvl="0" w:tplc="A4ACF314">
      <w:start w:val="3"/>
      <w:numFmt w:val="bullet"/>
      <w:lvlText w:val="-"/>
      <w:lvlJc w:val="left"/>
      <w:pPr>
        <w:ind w:left="720" w:hanging="360"/>
      </w:pPr>
      <w:rPr>
        <w:rFonts w:ascii="Arial Narrow" w:eastAsia="Times New Roman" w:hAnsi="Arial Narrow" w:cs="Times New Roman" w:hint="default"/>
        <w:i w:val="0"/>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10EB0"/>
    <w:rsid w:val="0001109A"/>
    <w:rsid w:val="00011FB4"/>
    <w:rsid w:val="00013D36"/>
    <w:rsid w:val="00013D69"/>
    <w:rsid w:val="000141AF"/>
    <w:rsid w:val="00014B13"/>
    <w:rsid w:val="00025EFA"/>
    <w:rsid w:val="00030F9D"/>
    <w:rsid w:val="00031640"/>
    <w:rsid w:val="00045C24"/>
    <w:rsid w:val="000466D0"/>
    <w:rsid w:val="00050759"/>
    <w:rsid w:val="00051F71"/>
    <w:rsid w:val="0005216F"/>
    <w:rsid w:val="00052745"/>
    <w:rsid w:val="00052DE5"/>
    <w:rsid w:val="000554F8"/>
    <w:rsid w:val="00062C2C"/>
    <w:rsid w:val="00063017"/>
    <w:rsid w:val="000731D0"/>
    <w:rsid w:val="00075D98"/>
    <w:rsid w:val="0008134A"/>
    <w:rsid w:val="0008233D"/>
    <w:rsid w:val="00082738"/>
    <w:rsid w:val="00084F64"/>
    <w:rsid w:val="00091CFD"/>
    <w:rsid w:val="00092442"/>
    <w:rsid w:val="0009262F"/>
    <w:rsid w:val="000A45F4"/>
    <w:rsid w:val="000A4660"/>
    <w:rsid w:val="000A4D23"/>
    <w:rsid w:val="000A51DA"/>
    <w:rsid w:val="000A6719"/>
    <w:rsid w:val="000B1B2B"/>
    <w:rsid w:val="000B4E5C"/>
    <w:rsid w:val="000B7954"/>
    <w:rsid w:val="000C484C"/>
    <w:rsid w:val="000C7EA0"/>
    <w:rsid w:val="000D4F4B"/>
    <w:rsid w:val="000D6853"/>
    <w:rsid w:val="000E05AE"/>
    <w:rsid w:val="000E194D"/>
    <w:rsid w:val="000E6A96"/>
    <w:rsid w:val="000F05A2"/>
    <w:rsid w:val="000F13B1"/>
    <w:rsid w:val="000F43A8"/>
    <w:rsid w:val="00102C0E"/>
    <w:rsid w:val="00112741"/>
    <w:rsid w:val="00113D2B"/>
    <w:rsid w:val="00113EC4"/>
    <w:rsid w:val="00116449"/>
    <w:rsid w:val="0011666C"/>
    <w:rsid w:val="001207B8"/>
    <w:rsid w:val="00121B2D"/>
    <w:rsid w:val="001307FA"/>
    <w:rsid w:val="00131824"/>
    <w:rsid w:val="00131E21"/>
    <w:rsid w:val="00136B32"/>
    <w:rsid w:val="001444EE"/>
    <w:rsid w:val="00144CF8"/>
    <w:rsid w:val="00145766"/>
    <w:rsid w:val="001458E9"/>
    <w:rsid w:val="0015163D"/>
    <w:rsid w:val="00153CD9"/>
    <w:rsid w:val="00155DA8"/>
    <w:rsid w:val="00156AFA"/>
    <w:rsid w:val="00156C4C"/>
    <w:rsid w:val="00157BF2"/>
    <w:rsid w:val="001607B2"/>
    <w:rsid w:val="0016088D"/>
    <w:rsid w:val="00161D02"/>
    <w:rsid w:val="00167DB7"/>
    <w:rsid w:val="00171CB4"/>
    <w:rsid w:val="001745E8"/>
    <w:rsid w:val="00175545"/>
    <w:rsid w:val="0018095F"/>
    <w:rsid w:val="0018313E"/>
    <w:rsid w:val="0018446E"/>
    <w:rsid w:val="00185425"/>
    <w:rsid w:val="00185784"/>
    <w:rsid w:val="001857D0"/>
    <w:rsid w:val="00186529"/>
    <w:rsid w:val="00192F1D"/>
    <w:rsid w:val="001948EA"/>
    <w:rsid w:val="00194D4C"/>
    <w:rsid w:val="00196AA8"/>
    <w:rsid w:val="001A1E86"/>
    <w:rsid w:val="001A2639"/>
    <w:rsid w:val="001A3157"/>
    <w:rsid w:val="001A374F"/>
    <w:rsid w:val="001A4786"/>
    <w:rsid w:val="001B1EAF"/>
    <w:rsid w:val="001B458D"/>
    <w:rsid w:val="001B4FC7"/>
    <w:rsid w:val="001B5D16"/>
    <w:rsid w:val="001B6DFD"/>
    <w:rsid w:val="001C352F"/>
    <w:rsid w:val="001C4484"/>
    <w:rsid w:val="001C46E9"/>
    <w:rsid w:val="001C5691"/>
    <w:rsid w:val="001C56B8"/>
    <w:rsid w:val="001C5B82"/>
    <w:rsid w:val="001D1C14"/>
    <w:rsid w:val="001D575F"/>
    <w:rsid w:val="001D6683"/>
    <w:rsid w:val="001D67F9"/>
    <w:rsid w:val="001E6481"/>
    <w:rsid w:val="001E660A"/>
    <w:rsid w:val="001F308A"/>
    <w:rsid w:val="0020130A"/>
    <w:rsid w:val="0020391D"/>
    <w:rsid w:val="00205D3B"/>
    <w:rsid w:val="00205EB7"/>
    <w:rsid w:val="0020791D"/>
    <w:rsid w:val="002129DA"/>
    <w:rsid w:val="0021550A"/>
    <w:rsid w:val="00215F41"/>
    <w:rsid w:val="00217A2E"/>
    <w:rsid w:val="00217EB6"/>
    <w:rsid w:val="002247C2"/>
    <w:rsid w:val="002322E6"/>
    <w:rsid w:val="00233827"/>
    <w:rsid w:val="00233BAA"/>
    <w:rsid w:val="00234A5E"/>
    <w:rsid w:val="00236072"/>
    <w:rsid w:val="0023672E"/>
    <w:rsid w:val="00236AB3"/>
    <w:rsid w:val="0024264B"/>
    <w:rsid w:val="002436F0"/>
    <w:rsid w:val="00245363"/>
    <w:rsid w:val="00245E73"/>
    <w:rsid w:val="00246135"/>
    <w:rsid w:val="00247F4E"/>
    <w:rsid w:val="00251E92"/>
    <w:rsid w:val="0025220B"/>
    <w:rsid w:val="00252B39"/>
    <w:rsid w:val="00254AC2"/>
    <w:rsid w:val="0025525B"/>
    <w:rsid w:val="0027242A"/>
    <w:rsid w:val="00272A58"/>
    <w:rsid w:val="00273AD0"/>
    <w:rsid w:val="00274F6F"/>
    <w:rsid w:val="00280FEA"/>
    <w:rsid w:val="002822AF"/>
    <w:rsid w:val="00282BD9"/>
    <w:rsid w:val="002865EB"/>
    <w:rsid w:val="00286F66"/>
    <w:rsid w:val="00287878"/>
    <w:rsid w:val="002940E8"/>
    <w:rsid w:val="00296C15"/>
    <w:rsid w:val="002A1877"/>
    <w:rsid w:val="002B0F98"/>
    <w:rsid w:val="002B3207"/>
    <w:rsid w:val="002B346A"/>
    <w:rsid w:val="002B351E"/>
    <w:rsid w:val="002B4426"/>
    <w:rsid w:val="002B5F4F"/>
    <w:rsid w:val="002B740B"/>
    <w:rsid w:val="002C187A"/>
    <w:rsid w:val="002C20A8"/>
    <w:rsid w:val="002C5DD0"/>
    <w:rsid w:val="002C7051"/>
    <w:rsid w:val="002D24CD"/>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10672"/>
    <w:rsid w:val="003107C9"/>
    <w:rsid w:val="00316D58"/>
    <w:rsid w:val="0031779B"/>
    <w:rsid w:val="00317CD4"/>
    <w:rsid w:val="003212BB"/>
    <w:rsid w:val="00321C92"/>
    <w:rsid w:val="003235DF"/>
    <w:rsid w:val="00323ABC"/>
    <w:rsid w:val="00323D08"/>
    <w:rsid w:val="00324A7C"/>
    <w:rsid w:val="00324FE5"/>
    <w:rsid w:val="00327DD4"/>
    <w:rsid w:val="00333EC9"/>
    <w:rsid w:val="0033515C"/>
    <w:rsid w:val="00336BF8"/>
    <w:rsid w:val="00342356"/>
    <w:rsid w:val="00343425"/>
    <w:rsid w:val="0034386B"/>
    <w:rsid w:val="00346D73"/>
    <w:rsid w:val="00346E6A"/>
    <w:rsid w:val="003473C6"/>
    <w:rsid w:val="00355C69"/>
    <w:rsid w:val="0035676B"/>
    <w:rsid w:val="0036386A"/>
    <w:rsid w:val="00366549"/>
    <w:rsid w:val="00372156"/>
    <w:rsid w:val="003722AE"/>
    <w:rsid w:val="0037561F"/>
    <w:rsid w:val="0037563A"/>
    <w:rsid w:val="00380849"/>
    <w:rsid w:val="003818DB"/>
    <w:rsid w:val="003834CD"/>
    <w:rsid w:val="00383908"/>
    <w:rsid w:val="00383A91"/>
    <w:rsid w:val="00391614"/>
    <w:rsid w:val="00396000"/>
    <w:rsid w:val="003966E6"/>
    <w:rsid w:val="003968D7"/>
    <w:rsid w:val="003A613D"/>
    <w:rsid w:val="003A6341"/>
    <w:rsid w:val="003B0C31"/>
    <w:rsid w:val="003B3A5F"/>
    <w:rsid w:val="003B4F6E"/>
    <w:rsid w:val="003B5338"/>
    <w:rsid w:val="003C5283"/>
    <w:rsid w:val="003C5CC6"/>
    <w:rsid w:val="003D12C7"/>
    <w:rsid w:val="003D228B"/>
    <w:rsid w:val="003D4CD7"/>
    <w:rsid w:val="003D4D7C"/>
    <w:rsid w:val="003F08B1"/>
    <w:rsid w:val="003F21BE"/>
    <w:rsid w:val="003F36FB"/>
    <w:rsid w:val="003F43BE"/>
    <w:rsid w:val="003F660A"/>
    <w:rsid w:val="004017BD"/>
    <w:rsid w:val="00402083"/>
    <w:rsid w:val="004023AC"/>
    <w:rsid w:val="00402514"/>
    <w:rsid w:val="0040513F"/>
    <w:rsid w:val="00405DE7"/>
    <w:rsid w:val="00406AAD"/>
    <w:rsid w:val="00411A5F"/>
    <w:rsid w:val="00413EAF"/>
    <w:rsid w:val="00414097"/>
    <w:rsid w:val="004213AF"/>
    <w:rsid w:val="00421AAE"/>
    <w:rsid w:val="00422256"/>
    <w:rsid w:val="00425AF8"/>
    <w:rsid w:val="00437FF5"/>
    <w:rsid w:val="004416C9"/>
    <w:rsid w:val="004535A5"/>
    <w:rsid w:val="0046101E"/>
    <w:rsid w:val="00461944"/>
    <w:rsid w:val="00464188"/>
    <w:rsid w:val="00470EC3"/>
    <w:rsid w:val="00474ED3"/>
    <w:rsid w:val="00476758"/>
    <w:rsid w:val="00477CF8"/>
    <w:rsid w:val="00480A02"/>
    <w:rsid w:val="0048168F"/>
    <w:rsid w:val="00484092"/>
    <w:rsid w:val="00484169"/>
    <w:rsid w:val="004878E3"/>
    <w:rsid w:val="00491086"/>
    <w:rsid w:val="004954D3"/>
    <w:rsid w:val="00495AC5"/>
    <w:rsid w:val="004965A3"/>
    <w:rsid w:val="004A210E"/>
    <w:rsid w:val="004A49E6"/>
    <w:rsid w:val="004B1E1E"/>
    <w:rsid w:val="004B5601"/>
    <w:rsid w:val="004B5B20"/>
    <w:rsid w:val="004C3DC3"/>
    <w:rsid w:val="004C4272"/>
    <w:rsid w:val="004C4F3B"/>
    <w:rsid w:val="004D141E"/>
    <w:rsid w:val="004D3EF0"/>
    <w:rsid w:val="004E33A8"/>
    <w:rsid w:val="004E3B3E"/>
    <w:rsid w:val="004E3BD7"/>
    <w:rsid w:val="004E6614"/>
    <w:rsid w:val="004F016F"/>
    <w:rsid w:val="004F571B"/>
    <w:rsid w:val="004F5958"/>
    <w:rsid w:val="004F7D22"/>
    <w:rsid w:val="00500587"/>
    <w:rsid w:val="00505758"/>
    <w:rsid w:val="005129DA"/>
    <w:rsid w:val="00513612"/>
    <w:rsid w:val="00513D8E"/>
    <w:rsid w:val="00515EEF"/>
    <w:rsid w:val="00516244"/>
    <w:rsid w:val="005174D6"/>
    <w:rsid w:val="0051786C"/>
    <w:rsid w:val="005208FF"/>
    <w:rsid w:val="00521468"/>
    <w:rsid w:val="005216B2"/>
    <w:rsid w:val="00523081"/>
    <w:rsid w:val="00526655"/>
    <w:rsid w:val="00526735"/>
    <w:rsid w:val="00526B32"/>
    <w:rsid w:val="00530E6C"/>
    <w:rsid w:val="0053126F"/>
    <w:rsid w:val="00535054"/>
    <w:rsid w:val="005357D9"/>
    <w:rsid w:val="00536175"/>
    <w:rsid w:val="00541F2E"/>
    <w:rsid w:val="0054416C"/>
    <w:rsid w:val="00544390"/>
    <w:rsid w:val="00544781"/>
    <w:rsid w:val="005460E0"/>
    <w:rsid w:val="005470AF"/>
    <w:rsid w:val="00547F47"/>
    <w:rsid w:val="00550982"/>
    <w:rsid w:val="0055185F"/>
    <w:rsid w:val="0055382B"/>
    <w:rsid w:val="00553A7C"/>
    <w:rsid w:val="00553D53"/>
    <w:rsid w:val="0056086D"/>
    <w:rsid w:val="00561C6B"/>
    <w:rsid w:val="005625E4"/>
    <w:rsid w:val="00564187"/>
    <w:rsid w:val="0057086A"/>
    <w:rsid w:val="005718ED"/>
    <w:rsid w:val="00571B5E"/>
    <w:rsid w:val="00573298"/>
    <w:rsid w:val="0058153F"/>
    <w:rsid w:val="0058301B"/>
    <w:rsid w:val="00590937"/>
    <w:rsid w:val="0059166A"/>
    <w:rsid w:val="00592733"/>
    <w:rsid w:val="00593B59"/>
    <w:rsid w:val="00595DBA"/>
    <w:rsid w:val="00596238"/>
    <w:rsid w:val="00596E0B"/>
    <w:rsid w:val="005A2661"/>
    <w:rsid w:val="005A26F8"/>
    <w:rsid w:val="005A56E0"/>
    <w:rsid w:val="005B1C81"/>
    <w:rsid w:val="005B1C95"/>
    <w:rsid w:val="005C187A"/>
    <w:rsid w:val="005C1FC7"/>
    <w:rsid w:val="005C4963"/>
    <w:rsid w:val="005C4BBA"/>
    <w:rsid w:val="005C68B4"/>
    <w:rsid w:val="005D15A3"/>
    <w:rsid w:val="005D2343"/>
    <w:rsid w:val="005D545C"/>
    <w:rsid w:val="005D5A4A"/>
    <w:rsid w:val="005D653E"/>
    <w:rsid w:val="005E0390"/>
    <w:rsid w:val="005E3B28"/>
    <w:rsid w:val="005E3E6F"/>
    <w:rsid w:val="005F0CC2"/>
    <w:rsid w:val="005F439F"/>
    <w:rsid w:val="005F77DA"/>
    <w:rsid w:val="00600B5F"/>
    <w:rsid w:val="006017A2"/>
    <w:rsid w:val="00605275"/>
    <w:rsid w:val="006073A2"/>
    <w:rsid w:val="006073AB"/>
    <w:rsid w:val="0060796B"/>
    <w:rsid w:val="006100F5"/>
    <w:rsid w:val="0061467E"/>
    <w:rsid w:val="00615C30"/>
    <w:rsid w:val="00624881"/>
    <w:rsid w:val="00624B2F"/>
    <w:rsid w:val="00624F31"/>
    <w:rsid w:val="00626B3F"/>
    <w:rsid w:val="00627A1C"/>
    <w:rsid w:val="00632971"/>
    <w:rsid w:val="00632FDA"/>
    <w:rsid w:val="00635112"/>
    <w:rsid w:val="00643A9E"/>
    <w:rsid w:val="00646FF7"/>
    <w:rsid w:val="006500AC"/>
    <w:rsid w:val="00651323"/>
    <w:rsid w:val="00656A65"/>
    <w:rsid w:val="006578BB"/>
    <w:rsid w:val="00657A0F"/>
    <w:rsid w:val="006622CF"/>
    <w:rsid w:val="00663B8C"/>
    <w:rsid w:val="006645BE"/>
    <w:rsid w:val="006648F5"/>
    <w:rsid w:val="00664EA0"/>
    <w:rsid w:val="00666362"/>
    <w:rsid w:val="0067044E"/>
    <w:rsid w:val="00670D17"/>
    <w:rsid w:val="00671040"/>
    <w:rsid w:val="006716AA"/>
    <w:rsid w:val="0067321D"/>
    <w:rsid w:val="006734B3"/>
    <w:rsid w:val="0067356E"/>
    <w:rsid w:val="00673D6E"/>
    <w:rsid w:val="00675507"/>
    <w:rsid w:val="006766BB"/>
    <w:rsid w:val="006811AD"/>
    <w:rsid w:val="00685BF8"/>
    <w:rsid w:val="00690052"/>
    <w:rsid w:val="006907EE"/>
    <w:rsid w:val="00691C2F"/>
    <w:rsid w:val="006947B7"/>
    <w:rsid w:val="006969E7"/>
    <w:rsid w:val="006A07CA"/>
    <w:rsid w:val="006A0BFE"/>
    <w:rsid w:val="006A207B"/>
    <w:rsid w:val="006A2E42"/>
    <w:rsid w:val="006A5032"/>
    <w:rsid w:val="006A5B0E"/>
    <w:rsid w:val="006B0CB6"/>
    <w:rsid w:val="006B4DED"/>
    <w:rsid w:val="006C12D3"/>
    <w:rsid w:val="006C1819"/>
    <w:rsid w:val="006C29FB"/>
    <w:rsid w:val="006C76C0"/>
    <w:rsid w:val="006D0366"/>
    <w:rsid w:val="006D3593"/>
    <w:rsid w:val="006D3F0B"/>
    <w:rsid w:val="006D5799"/>
    <w:rsid w:val="006D60AB"/>
    <w:rsid w:val="006D6B92"/>
    <w:rsid w:val="006D6C1D"/>
    <w:rsid w:val="006E10BF"/>
    <w:rsid w:val="006E2489"/>
    <w:rsid w:val="006E4DA8"/>
    <w:rsid w:val="006E5B7A"/>
    <w:rsid w:val="006E7CF8"/>
    <w:rsid w:val="006F0257"/>
    <w:rsid w:val="006F0654"/>
    <w:rsid w:val="006F0B62"/>
    <w:rsid w:val="006F0F2D"/>
    <w:rsid w:val="006F1516"/>
    <w:rsid w:val="006F4A07"/>
    <w:rsid w:val="006F690E"/>
    <w:rsid w:val="006F74C9"/>
    <w:rsid w:val="007065B1"/>
    <w:rsid w:val="007073F6"/>
    <w:rsid w:val="0071123A"/>
    <w:rsid w:val="007118F5"/>
    <w:rsid w:val="0071286E"/>
    <w:rsid w:val="007133CF"/>
    <w:rsid w:val="0071506D"/>
    <w:rsid w:val="00715BC3"/>
    <w:rsid w:val="00715EC6"/>
    <w:rsid w:val="00720431"/>
    <w:rsid w:val="00727D47"/>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4B41"/>
    <w:rsid w:val="007569BB"/>
    <w:rsid w:val="00760644"/>
    <w:rsid w:val="00761508"/>
    <w:rsid w:val="007626C9"/>
    <w:rsid w:val="00764773"/>
    <w:rsid w:val="00764B9C"/>
    <w:rsid w:val="00765815"/>
    <w:rsid w:val="0076624E"/>
    <w:rsid w:val="007712FB"/>
    <w:rsid w:val="007717E2"/>
    <w:rsid w:val="007740D4"/>
    <w:rsid w:val="007756B0"/>
    <w:rsid w:val="00782959"/>
    <w:rsid w:val="00782E30"/>
    <w:rsid w:val="00785E5E"/>
    <w:rsid w:val="0078600B"/>
    <w:rsid w:val="00790676"/>
    <w:rsid w:val="00791410"/>
    <w:rsid w:val="00791CA4"/>
    <w:rsid w:val="0079291F"/>
    <w:rsid w:val="007937AE"/>
    <w:rsid w:val="00793DE6"/>
    <w:rsid w:val="00793E8B"/>
    <w:rsid w:val="007958F2"/>
    <w:rsid w:val="007A1B5F"/>
    <w:rsid w:val="007A4593"/>
    <w:rsid w:val="007A4F3E"/>
    <w:rsid w:val="007A5985"/>
    <w:rsid w:val="007A777F"/>
    <w:rsid w:val="007B10F6"/>
    <w:rsid w:val="007B1BE5"/>
    <w:rsid w:val="007B368E"/>
    <w:rsid w:val="007B5AA2"/>
    <w:rsid w:val="007B5B14"/>
    <w:rsid w:val="007B5D05"/>
    <w:rsid w:val="007B7006"/>
    <w:rsid w:val="007C304F"/>
    <w:rsid w:val="007C78D3"/>
    <w:rsid w:val="007C7B57"/>
    <w:rsid w:val="007D0CB7"/>
    <w:rsid w:val="007D127B"/>
    <w:rsid w:val="007D2DD6"/>
    <w:rsid w:val="007D3ED9"/>
    <w:rsid w:val="007D4565"/>
    <w:rsid w:val="007D5138"/>
    <w:rsid w:val="007D6A05"/>
    <w:rsid w:val="007D6E52"/>
    <w:rsid w:val="007E1330"/>
    <w:rsid w:val="007E3EB8"/>
    <w:rsid w:val="007E4FA1"/>
    <w:rsid w:val="007E7BE8"/>
    <w:rsid w:val="007F4C86"/>
    <w:rsid w:val="007F6F6D"/>
    <w:rsid w:val="007F7257"/>
    <w:rsid w:val="007F7F19"/>
    <w:rsid w:val="00805ADB"/>
    <w:rsid w:val="00812452"/>
    <w:rsid w:val="00812A9C"/>
    <w:rsid w:val="008153A4"/>
    <w:rsid w:val="00826923"/>
    <w:rsid w:val="00827234"/>
    <w:rsid w:val="0083461E"/>
    <w:rsid w:val="00834A9F"/>
    <w:rsid w:val="008364E5"/>
    <w:rsid w:val="00837B04"/>
    <w:rsid w:val="00837CEC"/>
    <w:rsid w:val="00841B8C"/>
    <w:rsid w:val="0084221C"/>
    <w:rsid w:val="0084393C"/>
    <w:rsid w:val="00847A89"/>
    <w:rsid w:val="00850069"/>
    <w:rsid w:val="00853068"/>
    <w:rsid w:val="00856A2E"/>
    <w:rsid w:val="00860BB1"/>
    <w:rsid w:val="00861669"/>
    <w:rsid w:val="00861F2E"/>
    <w:rsid w:val="008632DB"/>
    <w:rsid w:val="00863A79"/>
    <w:rsid w:val="008640A5"/>
    <w:rsid w:val="00865821"/>
    <w:rsid w:val="00865AFA"/>
    <w:rsid w:val="00865FA0"/>
    <w:rsid w:val="008664A8"/>
    <w:rsid w:val="00866E96"/>
    <w:rsid w:val="00874634"/>
    <w:rsid w:val="00875EA5"/>
    <w:rsid w:val="00881D4B"/>
    <w:rsid w:val="00883625"/>
    <w:rsid w:val="008839B7"/>
    <w:rsid w:val="00891AE7"/>
    <w:rsid w:val="008A1155"/>
    <w:rsid w:val="008A3181"/>
    <w:rsid w:val="008A54FA"/>
    <w:rsid w:val="008B1B75"/>
    <w:rsid w:val="008B3518"/>
    <w:rsid w:val="008B532A"/>
    <w:rsid w:val="008B5A12"/>
    <w:rsid w:val="008B7E23"/>
    <w:rsid w:val="008C0203"/>
    <w:rsid w:val="008C23EF"/>
    <w:rsid w:val="008C782A"/>
    <w:rsid w:val="008D59F1"/>
    <w:rsid w:val="008E1083"/>
    <w:rsid w:val="008E3872"/>
    <w:rsid w:val="008E729D"/>
    <w:rsid w:val="008F5112"/>
    <w:rsid w:val="008F658C"/>
    <w:rsid w:val="008F6703"/>
    <w:rsid w:val="008F7424"/>
    <w:rsid w:val="00900D78"/>
    <w:rsid w:val="00901C1E"/>
    <w:rsid w:val="00910FE1"/>
    <w:rsid w:val="0091229B"/>
    <w:rsid w:val="0091236E"/>
    <w:rsid w:val="00912D25"/>
    <w:rsid w:val="00915B7F"/>
    <w:rsid w:val="00915C96"/>
    <w:rsid w:val="00915D77"/>
    <w:rsid w:val="00916DF8"/>
    <w:rsid w:val="0091758E"/>
    <w:rsid w:val="009216A8"/>
    <w:rsid w:val="00921C68"/>
    <w:rsid w:val="00923985"/>
    <w:rsid w:val="0092673B"/>
    <w:rsid w:val="0093134E"/>
    <w:rsid w:val="00931786"/>
    <w:rsid w:val="00937ABE"/>
    <w:rsid w:val="00940D5C"/>
    <w:rsid w:val="009432CA"/>
    <w:rsid w:val="00945925"/>
    <w:rsid w:val="00952DE4"/>
    <w:rsid w:val="0095316E"/>
    <w:rsid w:val="00953C30"/>
    <w:rsid w:val="009549B6"/>
    <w:rsid w:val="00955713"/>
    <w:rsid w:val="009568EF"/>
    <w:rsid w:val="00956B79"/>
    <w:rsid w:val="00965AA7"/>
    <w:rsid w:val="00965CDA"/>
    <w:rsid w:val="00965F6B"/>
    <w:rsid w:val="00970D92"/>
    <w:rsid w:val="00970F4C"/>
    <w:rsid w:val="0097130A"/>
    <w:rsid w:val="00974D94"/>
    <w:rsid w:val="009774FE"/>
    <w:rsid w:val="009801A8"/>
    <w:rsid w:val="009832F8"/>
    <w:rsid w:val="009839DA"/>
    <w:rsid w:val="00985E49"/>
    <w:rsid w:val="00991418"/>
    <w:rsid w:val="00994476"/>
    <w:rsid w:val="00994B0E"/>
    <w:rsid w:val="0099700D"/>
    <w:rsid w:val="00997347"/>
    <w:rsid w:val="009A012A"/>
    <w:rsid w:val="009A1CD3"/>
    <w:rsid w:val="009A1DF2"/>
    <w:rsid w:val="009A44A4"/>
    <w:rsid w:val="009A4A5D"/>
    <w:rsid w:val="009A5EEF"/>
    <w:rsid w:val="009B18EB"/>
    <w:rsid w:val="009B5D1A"/>
    <w:rsid w:val="009C153E"/>
    <w:rsid w:val="009C28DE"/>
    <w:rsid w:val="009C2C5E"/>
    <w:rsid w:val="009C5335"/>
    <w:rsid w:val="009D0838"/>
    <w:rsid w:val="009D0C9F"/>
    <w:rsid w:val="009D10B2"/>
    <w:rsid w:val="009D2543"/>
    <w:rsid w:val="009D64E4"/>
    <w:rsid w:val="009E20F1"/>
    <w:rsid w:val="009E329B"/>
    <w:rsid w:val="009E38EA"/>
    <w:rsid w:val="009E5019"/>
    <w:rsid w:val="009E5594"/>
    <w:rsid w:val="009F517D"/>
    <w:rsid w:val="009F6554"/>
    <w:rsid w:val="009F7F98"/>
    <w:rsid w:val="00A02F58"/>
    <w:rsid w:val="00A032AE"/>
    <w:rsid w:val="00A048D2"/>
    <w:rsid w:val="00A05190"/>
    <w:rsid w:val="00A06BAB"/>
    <w:rsid w:val="00A10DAC"/>
    <w:rsid w:val="00A116AF"/>
    <w:rsid w:val="00A13FE9"/>
    <w:rsid w:val="00A21762"/>
    <w:rsid w:val="00A21796"/>
    <w:rsid w:val="00A3182F"/>
    <w:rsid w:val="00A31988"/>
    <w:rsid w:val="00A34FE2"/>
    <w:rsid w:val="00A35FDA"/>
    <w:rsid w:val="00A360E8"/>
    <w:rsid w:val="00A41736"/>
    <w:rsid w:val="00A4293F"/>
    <w:rsid w:val="00A4395F"/>
    <w:rsid w:val="00A43B3C"/>
    <w:rsid w:val="00A43B9C"/>
    <w:rsid w:val="00A4581B"/>
    <w:rsid w:val="00A45BD4"/>
    <w:rsid w:val="00A46B06"/>
    <w:rsid w:val="00A471E3"/>
    <w:rsid w:val="00A47DDA"/>
    <w:rsid w:val="00A50106"/>
    <w:rsid w:val="00A509C6"/>
    <w:rsid w:val="00A52A49"/>
    <w:rsid w:val="00A53C94"/>
    <w:rsid w:val="00A53DBD"/>
    <w:rsid w:val="00A54EC4"/>
    <w:rsid w:val="00A55C52"/>
    <w:rsid w:val="00A56DD8"/>
    <w:rsid w:val="00A6017D"/>
    <w:rsid w:val="00A6196F"/>
    <w:rsid w:val="00A62729"/>
    <w:rsid w:val="00A64309"/>
    <w:rsid w:val="00A6484C"/>
    <w:rsid w:val="00A64A02"/>
    <w:rsid w:val="00A656C0"/>
    <w:rsid w:val="00A66688"/>
    <w:rsid w:val="00A77540"/>
    <w:rsid w:val="00A81DF0"/>
    <w:rsid w:val="00A8266F"/>
    <w:rsid w:val="00A843B5"/>
    <w:rsid w:val="00A855EA"/>
    <w:rsid w:val="00A86B3F"/>
    <w:rsid w:val="00A86F4D"/>
    <w:rsid w:val="00A9067B"/>
    <w:rsid w:val="00A90E80"/>
    <w:rsid w:val="00A918FD"/>
    <w:rsid w:val="00A91FCD"/>
    <w:rsid w:val="00A96579"/>
    <w:rsid w:val="00A9791E"/>
    <w:rsid w:val="00AA1DFA"/>
    <w:rsid w:val="00AA2EF1"/>
    <w:rsid w:val="00AA363D"/>
    <w:rsid w:val="00AA7C77"/>
    <w:rsid w:val="00AB1368"/>
    <w:rsid w:val="00AB2FDE"/>
    <w:rsid w:val="00AB37F4"/>
    <w:rsid w:val="00AB6561"/>
    <w:rsid w:val="00AB6BAD"/>
    <w:rsid w:val="00AC433F"/>
    <w:rsid w:val="00AC4B04"/>
    <w:rsid w:val="00AC5D55"/>
    <w:rsid w:val="00AC7088"/>
    <w:rsid w:val="00AD0A31"/>
    <w:rsid w:val="00AD1B06"/>
    <w:rsid w:val="00AD4B96"/>
    <w:rsid w:val="00AD6104"/>
    <w:rsid w:val="00AD6C55"/>
    <w:rsid w:val="00AD73D3"/>
    <w:rsid w:val="00AD7B31"/>
    <w:rsid w:val="00AE0625"/>
    <w:rsid w:val="00AE0D84"/>
    <w:rsid w:val="00AF2D89"/>
    <w:rsid w:val="00AF7DA4"/>
    <w:rsid w:val="00B00048"/>
    <w:rsid w:val="00B00EBD"/>
    <w:rsid w:val="00B0370E"/>
    <w:rsid w:val="00B03E68"/>
    <w:rsid w:val="00B05E35"/>
    <w:rsid w:val="00B124BD"/>
    <w:rsid w:val="00B12FB8"/>
    <w:rsid w:val="00B17A44"/>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5C00"/>
    <w:rsid w:val="00B46712"/>
    <w:rsid w:val="00B46CD1"/>
    <w:rsid w:val="00B47CFB"/>
    <w:rsid w:val="00B507F5"/>
    <w:rsid w:val="00B6401E"/>
    <w:rsid w:val="00B652A1"/>
    <w:rsid w:val="00B702C0"/>
    <w:rsid w:val="00B735DD"/>
    <w:rsid w:val="00B737D1"/>
    <w:rsid w:val="00B7459B"/>
    <w:rsid w:val="00B749E2"/>
    <w:rsid w:val="00B74CE9"/>
    <w:rsid w:val="00B7553C"/>
    <w:rsid w:val="00B75C20"/>
    <w:rsid w:val="00B76A47"/>
    <w:rsid w:val="00B82635"/>
    <w:rsid w:val="00B82C51"/>
    <w:rsid w:val="00B82E71"/>
    <w:rsid w:val="00B9151F"/>
    <w:rsid w:val="00B91F39"/>
    <w:rsid w:val="00BA4F96"/>
    <w:rsid w:val="00BA5D85"/>
    <w:rsid w:val="00BA6688"/>
    <w:rsid w:val="00BA6F4B"/>
    <w:rsid w:val="00BC1A5D"/>
    <w:rsid w:val="00BC34D3"/>
    <w:rsid w:val="00BC6808"/>
    <w:rsid w:val="00BC71E1"/>
    <w:rsid w:val="00BD2962"/>
    <w:rsid w:val="00BD5D49"/>
    <w:rsid w:val="00BD643D"/>
    <w:rsid w:val="00BE28AA"/>
    <w:rsid w:val="00BE41D3"/>
    <w:rsid w:val="00BE720A"/>
    <w:rsid w:val="00BE7698"/>
    <w:rsid w:val="00BF1BFB"/>
    <w:rsid w:val="00BF41E2"/>
    <w:rsid w:val="00BF43F8"/>
    <w:rsid w:val="00BF4E1E"/>
    <w:rsid w:val="00BF65C9"/>
    <w:rsid w:val="00C0670D"/>
    <w:rsid w:val="00C07A0C"/>
    <w:rsid w:val="00C107F6"/>
    <w:rsid w:val="00C118A0"/>
    <w:rsid w:val="00C12D6A"/>
    <w:rsid w:val="00C13590"/>
    <w:rsid w:val="00C145CF"/>
    <w:rsid w:val="00C221D7"/>
    <w:rsid w:val="00C2331C"/>
    <w:rsid w:val="00C23B63"/>
    <w:rsid w:val="00C27302"/>
    <w:rsid w:val="00C30188"/>
    <w:rsid w:val="00C30F72"/>
    <w:rsid w:val="00C312C0"/>
    <w:rsid w:val="00C41926"/>
    <w:rsid w:val="00C42C1D"/>
    <w:rsid w:val="00C42FB9"/>
    <w:rsid w:val="00C43E93"/>
    <w:rsid w:val="00C452E0"/>
    <w:rsid w:val="00C45CAF"/>
    <w:rsid w:val="00C46A22"/>
    <w:rsid w:val="00C50541"/>
    <w:rsid w:val="00C52BDA"/>
    <w:rsid w:val="00C578BE"/>
    <w:rsid w:val="00C57913"/>
    <w:rsid w:val="00C61129"/>
    <w:rsid w:val="00C640B2"/>
    <w:rsid w:val="00C72CF8"/>
    <w:rsid w:val="00C74E37"/>
    <w:rsid w:val="00C83B56"/>
    <w:rsid w:val="00C846A4"/>
    <w:rsid w:val="00C847EE"/>
    <w:rsid w:val="00C853D5"/>
    <w:rsid w:val="00C955F4"/>
    <w:rsid w:val="00C96336"/>
    <w:rsid w:val="00CA1B43"/>
    <w:rsid w:val="00CA6C99"/>
    <w:rsid w:val="00CB02F7"/>
    <w:rsid w:val="00CB1514"/>
    <w:rsid w:val="00CB25A2"/>
    <w:rsid w:val="00CB4B5C"/>
    <w:rsid w:val="00CB5499"/>
    <w:rsid w:val="00CB79BA"/>
    <w:rsid w:val="00CC0183"/>
    <w:rsid w:val="00CC2015"/>
    <w:rsid w:val="00CC26EB"/>
    <w:rsid w:val="00CC59E5"/>
    <w:rsid w:val="00CD04BF"/>
    <w:rsid w:val="00CD086A"/>
    <w:rsid w:val="00CD2F67"/>
    <w:rsid w:val="00CD3754"/>
    <w:rsid w:val="00CD5E04"/>
    <w:rsid w:val="00CD5E74"/>
    <w:rsid w:val="00CD6849"/>
    <w:rsid w:val="00CE0239"/>
    <w:rsid w:val="00CE132D"/>
    <w:rsid w:val="00CE3BEA"/>
    <w:rsid w:val="00CE499C"/>
    <w:rsid w:val="00CE7C3A"/>
    <w:rsid w:val="00CF04AE"/>
    <w:rsid w:val="00D00DBE"/>
    <w:rsid w:val="00D03D06"/>
    <w:rsid w:val="00D06A43"/>
    <w:rsid w:val="00D079BC"/>
    <w:rsid w:val="00D12CC9"/>
    <w:rsid w:val="00D13792"/>
    <w:rsid w:val="00D147C9"/>
    <w:rsid w:val="00D20DBC"/>
    <w:rsid w:val="00D21E2D"/>
    <w:rsid w:val="00D22B42"/>
    <w:rsid w:val="00D26972"/>
    <w:rsid w:val="00D270A1"/>
    <w:rsid w:val="00D30647"/>
    <w:rsid w:val="00D3351A"/>
    <w:rsid w:val="00D34147"/>
    <w:rsid w:val="00D36AF6"/>
    <w:rsid w:val="00D36E09"/>
    <w:rsid w:val="00D41969"/>
    <w:rsid w:val="00D44632"/>
    <w:rsid w:val="00D450BB"/>
    <w:rsid w:val="00D46252"/>
    <w:rsid w:val="00D5552B"/>
    <w:rsid w:val="00D557FD"/>
    <w:rsid w:val="00D569A1"/>
    <w:rsid w:val="00D61557"/>
    <w:rsid w:val="00D632A3"/>
    <w:rsid w:val="00D65589"/>
    <w:rsid w:val="00D65BB5"/>
    <w:rsid w:val="00D6788F"/>
    <w:rsid w:val="00D70EC5"/>
    <w:rsid w:val="00D755D9"/>
    <w:rsid w:val="00D76947"/>
    <w:rsid w:val="00D82C29"/>
    <w:rsid w:val="00D843D1"/>
    <w:rsid w:val="00D84A39"/>
    <w:rsid w:val="00D85131"/>
    <w:rsid w:val="00D8543B"/>
    <w:rsid w:val="00DA064C"/>
    <w:rsid w:val="00DA2795"/>
    <w:rsid w:val="00DA2CD8"/>
    <w:rsid w:val="00DA7B93"/>
    <w:rsid w:val="00DB248D"/>
    <w:rsid w:val="00DB4317"/>
    <w:rsid w:val="00DC1151"/>
    <w:rsid w:val="00DC3579"/>
    <w:rsid w:val="00DC3612"/>
    <w:rsid w:val="00DC4D0A"/>
    <w:rsid w:val="00DC5066"/>
    <w:rsid w:val="00DD177D"/>
    <w:rsid w:val="00DE2383"/>
    <w:rsid w:val="00DF24B9"/>
    <w:rsid w:val="00DF3624"/>
    <w:rsid w:val="00DF5EB7"/>
    <w:rsid w:val="00DF5FD1"/>
    <w:rsid w:val="00DF6162"/>
    <w:rsid w:val="00DF6A23"/>
    <w:rsid w:val="00E021C1"/>
    <w:rsid w:val="00E04A24"/>
    <w:rsid w:val="00E0564D"/>
    <w:rsid w:val="00E07987"/>
    <w:rsid w:val="00E10926"/>
    <w:rsid w:val="00E13590"/>
    <w:rsid w:val="00E17465"/>
    <w:rsid w:val="00E22AF7"/>
    <w:rsid w:val="00E22CAA"/>
    <w:rsid w:val="00E271E4"/>
    <w:rsid w:val="00E273A4"/>
    <w:rsid w:val="00E31B37"/>
    <w:rsid w:val="00E33CB7"/>
    <w:rsid w:val="00E34912"/>
    <w:rsid w:val="00E3564C"/>
    <w:rsid w:val="00E35E72"/>
    <w:rsid w:val="00E41079"/>
    <w:rsid w:val="00E41ED9"/>
    <w:rsid w:val="00E42721"/>
    <w:rsid w:val="00E43490"/>
    <w:rsid w:val="00E44AF0"/>
    <w:rsid w:val="00E5082E"/>
    <w:rsid w:val="00E513CC"/>
    <w:rsid w:val="00E51A66"/>
    <w:rsid w:val="00E5415A"/>
    <w:rsid w:val="00E5487E"/>
    <w:rsid w:val="00E54C30"/>
    <w:rsid w:val="00E55349"/>
    <w:rsid w:val="00E55557"/>
    <w:rsid w:val="00E56B9B"/>
    <w:rsid w:val="00E57907"/>
    <w:rsid w:val="00E62ED2"/>
    <w:rsid w:val="00E658A1"/>
    <w:rsid w:val="00E671FC"/>
    <w:rsid w:val="00E73144"/>
    <w:rsid w:val="00E75D3B"/>
    <w:rsid w:val="00E76BB5"/>
    <w:rsid w:val="00E76CA1"/>
    <w:rsid w:val="00E76F75"/>
    <w:rsid w:val="00E825A8"/>
    <w:rsid w:val="00E84BB9"/>
    <w:rsid w:val="00E84FA2"/>
    <w:rsid w:val="00E876A0"/>
    <w:rsid w:val="00E928D7"/>
    <w:rsid w:val="00E97C4A"/>
    <w:rsid w:val="00EA002E"/>
    <w:rsid w:val="00EA0448"/>
    <w:rsid w:val="00EA4B10"/>
    <w:rsid w:val="00EB1536"/>
    <w:rsid w:val="00EB1C20"/>
    <w:rsid w:val="00EB2B6A"/>
    <w:rsid w:val="00EB4C46"/>
    <w:rsid w:val="00EC18C3"/>
    <w:rsid w:val="00EC19E1"/>
    <w:rsid w:val="00EC3396"/>
    <w:rsid w:val="00EC5F32"/>
    <w:rsid w:val="00EC5F36"/>
    <w:rsid w:val="00EC60F0"/>
    <w:rsid w:val="00EC6E52"/>
    <w:rsid w:val="00ED1554"/>
    <w:rsid w:val="00ED1687"/>
    <w:rsid w:val="00ED6399"/>
    <w:rsid w:val="00ED7365"/>
    <w:rsid w:val="00ED7971"/>
    <w:rsid w:val="00ED7FBD"/>
    <w:rsid w:val="00EE0A91"/>
    <w:rsid w:val="00EE28CD"/>
    <w:rsid w:val="00EE45FD"/>
    <w:rsid w:val="00EE5DF0"/>
    <w:rsid w:val="00EE6B58"/>
    <w:rsid w:val="00EF10E8"/>
    <w:rsid w:val="00EF34F7"/>
    <w:rsid w:val="00EF3746"/>
    <w:rsid w:val="00F05682"/>
    <w:rsid w:val="00F125B4"/>
    <w:rsid w:val="00F17161"/>
    <w:rsid w:val="00F177AC"/>
    <w:rsid w:val="00F20F55"/>
    <w:rsid w:val="00F2227D"/>
    <w:rsid w:val="00F2233A"/>
    <w:rsid w:val="00F2256B"/>
    <w:rsid w:val="00F23B07"/>
    <w:rsid w:val="00F23D0F"/>
    <w:rsid w:val="00F25457"/>
    <w:rsid w:val="00F2629E"/>
    <w:rsid w:val="00F32725"/>
    <w:rsid w:val="00F34857"/>
    <w:rsid w:val="00F364EB"/>
    <w:rsid w:val="00F3653F"/>
    <w:rsid w:val="00F36B57"/>
    <w:rsid w:val="00F434C7"/>
    <w:rsid w:val="00F448B4"/>
    <w:rsid w:val="00F47260"/>
    <w:rsid w:val="00F51A99"/>
    <w:rsid w:val="00F5504F"/>
    <w:rsid w:val="00F5578A"/>
    <w:rsid w:val="00F63B1C"/>
    <w:rsid w:val="00F63FBE"/>
    <w:rsid w:val="00F71684"/>
    <w:rsid w:val="00F7400D"/>
    <w:rsid w:val="00F75EBF"/>
    <w:rsid w:val="00F76292"/>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5759"/>
    <w:rsid w:val="00FA703B"/>
    <w:rsid w:val="00FB0B83"/>
    <w:rsid w:val="00FB1CB1"/>
    <w:rsid w:val="00FB27F5"/>
    <w:rsid w:val="00FB5C17"/>
    <w:rsid w:val="00FC14D4"/>
    <w:rsid w:val="00FC1C72"/>
    <w:rsid w:val="00FC5060"/>
    <w:rsid w:val="00FC7475"/>
    <w:rsid w:val="00FD00AA"/>
    <w:rsid w:val="00FD0105"/>
    <w:rsid w:val="00FD0B1C"/>
    <w:rsid w:val="00FD2745"/>
    <w:rsid w:val="00FD7A4A"/>
    <w:rsid w:val="00FE2242"/>
    <w:rsid w:val="00FE2B78"/>
    <w:rsid w:val="00FE41B0"/>
    <w:rsid w:val="00FE63C1"/>
    <w:rsid w:val="00FF1678"/>
    <w:rsid w:val="00FF25A5"/>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fr-FR"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rsid w:val="00A56DD8"/>
    <w:rPr>
      <w:rFonts w:ascii="Times New Roman" w:eastAsia="Times New Roman" w:hAnsi="Times New Roman" w:cs="Times New Roman"/>
      <w:sz w:val="24"/>
      <w:szCs w:val="24"/>
      <w:lang w:val="en-GB" w:eastAsia="en-GB"/>
    </w:rPr>
  </w:style>
  <w:style w:type="paragraph" w:styleId="Paragraphedeliste">
    <w:name w:val="List Paragraph"/>
    <w:aliases w:val="Bullets,References,RM1,lp1,Liste de points,List Paragraph (numbered (a)),Table/Figure Heading,List Bullet Mary,Numbered Paragraph,Main numbered paragraph,Numbered List Paragraph,123 List Paragraph,List Paragraph nowy,Liste 1,Dot pt"/>
    <w:basedOn w:val="Normal"/>
    <w:link w:val="ParagraphedelisteCar"/>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link w:val="ObjetducommentaireCar"/>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numbering" w:customStyle="1" w:styleId="Aucuneliste1">
    <w:name w:val="Aucune liste1"/>
    <w:next w:val="Aucuneliste"/>
    <w:uiPriority w:val="99"/>
    <w:semiHidden/>
    <w:unhideWhenUsed/>
    <w:rsid w:val="00EC60F0"/>
  </w:style>
  <w:style w:type="table" w:customStyle="1" w:styleId="Grilledutableau1">
    <w:name w:val="Grille du tableau1"/>
    <w:basedOn w:val="TableauNormal"/>
    <w:next w:val="Grilledutableau"/>
    <w:rsid w:val="00EC6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ucuneliste"/>
    <w:semiHidden/>
    <w:rsid w:val="00EC60F0"/>
  </w:style>
  <w:style w:type="table" w:customStyle="1" w:styleId="TableGrid11">
    <w:name w:val="Table Grid11"/>
    <w:basedOn w:val="TableauNormal"/>
    <w:next w:val="Grilledutableau"/>
    <w:rsid w:val="00EC60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Bullets Car,References Car,RM1 Car,lp1 Car,Liste de points Car,List Paragraph (numbered (a)) Car,Table/Figure Heading Car,List Bullet Mary Car,Numbered Paragraph Car,Main numbered paragraph Car,Numbered List Paragraph Car"/>
    <w:link w:val="Paragraphedeliste"/>
    <w:uiPriority w:val="34"/>
    <w:locked/>
    <w:rsid w:val="0009262F"/>
    <w:rPr>
      <w:rFonts w:ascii="Times New Roman" w:eastAsia="Times New Roman" w:hAnsi="Times New Roman"/>
      <w:sz w:val="24"/>
      <w:szCs w:val="24"/>
      <w:lang w:val="fr-FR" w:eastAsia="en-GB"/>
    </w:rPr>
  </w:style>
  <w:style w:type="character" w:customStyle="1" w:styleId="CommentaireCar">
    <w:name w:val="Commentaire Car"/>
    <w:basedOn w:val="Policepardfaut"/>
    <w:link w:val="Commentaire"/>
    <w:semiHidden/>
    <w:rsid w:val="004416C9"/>
    <w:rPr>
      <w:rFonts w:ascii="Times New Roman" w:eastAsia="Times New Roman" w:hAnsi="Times New Roman"/>
      <w:lang w:val="fr-FR" w:eastAsia="en-GB"/>
    </w:rPr>
  </w:style>
  <w:style w:type="character" w:customStyle="1" w:styleId="ObjetducommentaireCar">
    <w:name w:val="Objet du commentaire Car"/>
    <w:basedOn w:val="CommentaireCar"/>
    <w:link w:val="Objetducommentaire"/>
    <w:semiHidden/>
    <w:rsid w:val="004416C9"/>
    <w:rPr>
      <w:rFonts w:ascii="Times New Roman" w:eastAsia="Times New Roman" w:hAnsi="Times New Roman"/>
      <w:b/>
      <w:bCs/>
      <w:lang w:val="fr-FR" w:eastAsia="en-GB"/>
    </w:rPr>
  </w:style>
  <w:style w:type="character" w:customStyle="1" w:styleId="CorpsdetexteCar">
    <w:name w:val="Corps de texte Car"/>
    <w:basedOn w:val="Policepardfaut"/>
    <w:link w:val="Corpsdetexte"/>
    <w:rsid w:val="004416C9"/>
    <w:rPr>
      <w:rFonts w:ascii="Arial" w:eastAsia="Times New Roman" w:hAnsi="Arial" w:cs="Arial"/>
      <w:lang w:eastAsia="en-US"/>
    </w:rPr>
  </w:style>
  <w:style w:type="paragraph" w:styleId="NormalWeb">
    <w:name w:val="Normal (Web)"/>
    <w:basedOn w:val="Normal"/>
    <w:uiPriority w:val="99"/>
    <w:semiHidden/>
    <w:unhideWhenUsed/>
    <w:rsid w:val="00F7400D"/>
  </w:style>
  <w:style w:type="character" w:styleId="Mentionnonrsolue">
    <w:name w:val="Unresolved Mention"/>
    <w:basedOn w:val="Policepardfaut"/>
    <w:uiPriority w:val="99"/>
    <w:semiHidden/>
    <w:unhideWhenUsed/>
    <w:rsid w:val="00A43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618">
      <w:bodyDiv w:val="1"/>
      <w:marLeft w:val="0"/>
      <w:marRight w:val="0"/>
      <w:marTop w:val="0"/>
      <w:marBottom w:val="0"/>
      <w:divBdr>
        <w:top w:val="none" w:sz="0" w:space="0" w:color="auto"/>
        <w:left w:val="none" w:sz="0" w:space="0" w:color="auto"/>
        <w:bottom w:val="none" w:sz="0" w:space="0" w:color="auto"/>
        <w:right w:val="none" w:sz="0" w:space="0" w:color="auto"/>
      </w:divBdr>
    </w:div>
    <w:div w:id="146628076">
      <w:bodyDiv w:val="1"/>
      <w:marLeft w:val="0"/>
      <w:marRight w:val="0"/>
      <w:marTop w:val="0"/>
      <w:marBottom w:val="0"/>
      <w:divBdr>
        <w:top w:val="none" w:sz="0" w:space="0" w:color="auto"/>
        <w:left w:val="none" w:sz="0" w:space="0" w:color="auto"/>
        <w:bottom w:val="none" w:sz="0" w:space="0" w:color="auto"/>
        <w:right w:val="none" w:sz="0" w:space="0" w:color="auto"/>
      </w:divBdr>
    </w:div>
    <w:div w:id="286594587">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589121934">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787774211">
      <w:bodyDiv w:val="1"/>
      <w:marLeft w:val="0"/>
      <w:marRight w:val="0"/>
      <w:marTop w:val="0"/>
      <w:marBottom w:val="0"/>
      <w:divBdr>
        <w:top w:val="none" w:sz="0" w:space="0" w:color="auto"/>
        <w:left w:val="none" w:sz="0" w:space="0" w:color="auto"/>
        <w:bottom w:val="none" w:sz="0" w:space="0" w:color="auto"/>
        <w:right w:val="none" w:sz="0" w:space="0" w:color="auto"/>
      </w:divBdr>
    </w:div>
    <w:div w:id="824860343">
      <w:bodyDiv w:val="1"/>
      <w:marLeft w:val="0"/>
      <w:marRight w:val="0"/>
      <w:marTop w:val="0"/>
      <w:marBottom w:val="0"/>
      <w:divBdr>
        <w:top w:val="none" w:sz="0" w:space="0" w:color="auto"/>
        <w:left w:val="none" w:sz="0" w:space="0" w:color="auto"/>
        <w:bottom w:val="none" w:sz="0" w:space="0" w:color="auto"/>
        <w:right w:val="none" w:sz="0" w:space="0" w:color="auto"/>
      </w:divBdr>
    </w:div>
    <w:div w:id="854074221">
      <w:bodyDiv w:val="1"/>
      <w:marLeft w:val="0"/>
      <w:marRight w:val="0"/>
      <w:marTop w:val="0"/>
      <w:marBottom w:val="0"/>
      <w:divBdr>
        <w:top w:val="none" w:sz="0" w:space="0" w:color="auto"/>
        <w:left w:val="none" w:sz="0" w:space="0" w:color="auto"/>
        <w:bottom w:val="none" w:sz="0" w:space="0" w:color="auto"/>
        <w:right w:val="none" w:sz="0" w:space="0" w:color="auto"/>
      </w:divBdr>
    </w:div>
    <w:div w:id="1102217004">
      <w:bodyDiv w:val="1"/>
      <w:marLeft w:val="0"/>
      <w:marRight w:val="0"/>
      <w:marTop w:val="0"/>
      <w:marBottom w:val="0"/>
      <w:divBdr>
        <w:top w:val="none" w:sz="0" w:space="0" w:color="auto"/>
        <w:left w:val="none" w:sz="0" w:space="0" w:color="auto"/>
        <w:bottom w:val="none" w:sz="0" w:space="0" w:color="auto"/>
        <w:right w:val="none" w:sz="0" w:space="0" w:color="auto"/>
      </w:divBdr>
    </w:div>
    <w:div w:id="1437677436">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763451849">
      <w:bodyDiv w:val="1"/>
      <w:marLeft w:val="0"/>
      <w:marRight w:val="0"/>
      <w:marTop w:val="0"/>
      <w:marBottom w:val="0"/>
      <w:divBdr>
        <w:top w:val="none" w:sz="0" w:space="0" w:color="auto"/>
        <w:left w:val="none" w:sz="0" w:space="0" w:color="auto"/>
        <w:bottom w:val="none" w:sz="0" w:space="0" w:color="auto"/>
        <w:right w:val="none" w:sz="0" w:space="0" w:color="auto"/>
      </w:divBdr>
    </w:div>
    <w:div w:id="1852642740">
      <w:bodyDiv w:val="1"/>
      <w:marLeft w:val="0"/>
      <w:marRight w:val="0"/>
      <w:marTop w:val="0"/>
      <w:marBottom w:val="0"/>
      <w:divBdr>
        <w:top w:val="none" w:sz="0" w:space="0" w:color="auto"/>
        <w:left w:val="none" w:sz="0" w:space="0" w:color="auto"/>
        <w:bottom w:val="none" w:sz="0" w:space="0" w:color="auto"/>
        <w:right w:val="none" w:sz="0" w:space="0" w:color="auto"/>
      </w:divBdr>
    </w:div>
    <w:div w:id="208321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03.safelinks.protection.outlook.com/?url=https%3A%2F%2Fwetransfer.com%2Fdownloads%2F327060ea91a31e738cd6d2bc76fb8ed520211025100318%2F661819841134d8ad9bdc2c1e0d7d568820211025100353%2Fd8f4d7&amp;data=04%7C01%7Cfanja.rajoelison%40undp.org%7C760acb2724f943e4d8c608d997a0b231%7Cb3e5db5e2944483799f57488ace54319%7C0%7C0%7C637707540083521593%7CUnknown%7CTWFpbGZsb3d8eyJWIjoiMC4wLjAwMDAiLCJQIjoiV2luMzIiLCJBTiI6Ik1haWwiLCJXVCI6Mn0%3D%7C2000&amp;sdata=tgwWpwUKOHWJ2X8PtuUmKOr9Myx3%2Fr6opGGvhogtO3k%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904B93-7232-46C3-9288-24788F11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8688</TotalTime>
  <Pages>1</Pages>
  <Words>8093</Words>
  <Characters>44514</Characters>
  <Application>Microsoft Office Word</Application>
  <DocSecurity>0</DocSecurity>
  <Lines>370</Lines>
  <Paragraphs>105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52502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Fanja Rajoelison</cp:lastModifiedBy>
  <cp:revision>7</cp:revision>
  <cp:lastPrinted>2014-02-10T17:12:00Z</cp:lastPrinted>
  <dcterms:created xsi:type="dcterms:W3CDTF">2021-10-25T11:17:00Z</dcterms:created>
  <dcterms:modified xsi:type="dcterms:W3CDTF">2021-11-16T08:24:00Z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