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276331"/>
        <w:docPartObj>
          <w:docPartGallery w:val="Cover Pages"/>
          <w:docPartUnique/>
        </w:docPartObj>
      </w:sdtPr>
      <w:sdtEndPr>
        <w:rPr>
          <w:lang w:val="fr-FR"/>
        </w:rPr>
      </w:sdtEndPr>
      <w:sdtContent>
        <w:p w14:paraId="4E8673DF" w14:textId="7CC1FD4C" w:rsidR="00D50822" w:rsidRPr="00D90C08" w:rsidRDefault="00D50822" w:rsidP="005A0343">
          <w:r>
            <w:rPr>
              <w:noProof/>
              <w:lang w:eastAsia="zh-CN"/>
            </w:rPr>
            <mc:AlternateContent>
              <mc:Choice Requires="wps">
                <w:drawing>
                  <wp:anchor distT="0" distB="0" distL="114300" distR="114300" simplePos="0" relativeHeight="251700224" behindDoc="0" locked="0" layoutInCell="1" allowOverlap="1" wp14:anchorId="6D5A2E3B" wp14:editId="7E90D36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635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8F9D0A" w14:textId="7FAF9D36" w:rsidR="00D50822" w:rsidRDefault="00C91C04" w:rsidP="00D50822">
                                <w:pPr>
                                  <w:pStyle w:val="NoSpacing"/>
                                  <w:jc w:val="center"/>
                                  <w:rPr>
                                    <w:color w:val="FFFFFF" w:themeColor="background1"/>
                                    <w:sz w:val="24"/>
                                    <w:szCs w:val="24"/>
                                  </w:rPr>
                                </w:pPr>
                                <w:sdt>
                                  <w:sdtPr>
                                    <w:rPr>
                                      <w:color w:val="FFFFFF" w:themeColor="background1"/>
                                      <w:sz w:val="24"/>
                                      <w:szCs w:val="24"/>
                                    </w:rPr>
                                    <w:alias w:val="Year"/>
                                    <w:tag w:val=""/>
                                    <w:id w:val="-785116381"/>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D50822">
                                      <w:rPr>
                                        <w:color w:val="FFFFFF" w:themeColor="background1"/>
                                        <w:sz w:val="24"/>
                                        <w:szCs w:val="24"/>
                                      </w:rPr>
                                      <w:t xml:space="preserve">     </w:t>
                                    </w:r>
                                  </w:sdtContent>
                                </w:sdt>
                                <w:r w:rsidR="00D50822">
                                  <w:rPr>
                                    <w:color w:val="FFFFFF" w:themeColor="background1"/>
                                    <w:sz w:val="24"/>
                                    <w:szCs w:val="24"/>
                                  </w:rPr>
                                  <w:t>2021</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D5A2E3B" id="Rectangle 132" o:spid="_x0000_s1026" style="position:absolute;margin-left:-4.4pt;margin-top:0;width:46.8pt;height:77.75pt;z-index:25170022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" fillcolor="#4472c4 [3204]" stroked="f" strokeweight="1pt">
                    <o:lock v:ext="edit" aspectratio="t"/>
                    <v:textbox inset="3.6pt,,3.6pt">
                      <w:txbxContent>
                        <w:p w14:paraId="778F9D0A" w14:textId="7FAF9D36" w:rsidR="00D50822" w:rsidRDefault="00287B2B" w:rsidP="00D50822">
                          <w:pPr>
                            <w:pStyle w:val="NoSpacing"/>
                            <w:jc w:val="center"/>
                            <w:rPr>
                              <w:color w:val="FFFFFF" w:themeColor="background1"/>
                              <w:sz w:val="24"/>
                              <w:szCs w:val="24"/>
                            </w:rPr>
                          </w:pPr>
                          <w:sdt>
                            <w:sdtPr>
                              <w:rPr>
                                <w:color w:val="FFFFFF" w:themeColor="background1"/>
                                <w:sz w:val="24"/>
                                <w:szCs w:val="24"/>
                              </w:rPr>
                              <w:alias w:val="Year"/>
                              <w:tag w:val=""/>
                              <w:id w:val="-785116381"/>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D50822">
                                <w:rPr>
                                  <w:color w:val="FFFFFF" w:themeColor="background1"/>
                                  <w:sz w:val="24"/>
                                  <w:szCs w:val="24"/>
                                </w:rPr>
                                <w:t xml:space="preserve">     </w:t>
                              </w:r>
                            </w:sdtContent>
                          </w:sdt>
                          <w:r w:rsidR="00D50822">
                            <w:rPr>
                              <w:color w:val="FFFFFF" w:themeColor="background1"/>
                              <w:sz w:val="24"/>
                              <w:szCs w:val="24"/>
                            </w:rPr>
                            <w:t>2021</w:t>
                          </w:r>
                        </w:p>
                      </w:txbxContent>
                    </v:textbox>
                    <w10:wrap anchorx="margin" anchory="page"/>
                  </v:rect>
                </w:pict>
              </mc:Fallback>
            </mc:AlternateContent>
          </w:r>
        </w:p>
      </w:sdtContent>
    </w:sdt>
    <w:p w14:paraId="60D9B448" w14:textId="0EB1F92B" w:rsidR="00FF6B60" w:rsidRPr="00073606" w:rsidRDefault="004D51E1" w:rsidP="00FF6B60">
      <w:pPr>
        <w:rPr>
          <w:lang w:val="fr-FR"/>
        </w:rPr>
      </w:pPr>
      <w:r>
        <w:rPr>
          <w:noProof/>
          <w:lang w:eastAsia="zh-CN"/>
        </w:rPr>
        <mc:AlternateContent>
          <mc:Choice Requires="wps">
            <w:drawing>
              <wp:anchor distT="0" distB="0" distL="182880" distR="182880" simplePos="0" relativeHeight="251701248" behindDoc="0" locked="0" layoutInCell="1" allowOverlap="1" wp14:anchorId="057AF990" wp14:editId="6F90ED62">
                <wp:simplePos x="0" y="0"/>
                <wp:positionH relativeFrom="margin">
                  <wp:posOffset>152058</wp:posOffset>
                </wp:positionH>
                <wp:positionV relativeFrom="page">
                  <wp:posOffset>5035745</wp:posOffset>
                </wp:positionV>
                <wp:extent cx="5852160" cy="3108960"/>
                <wp:effectExtent l="0" t="0" r="254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5852160" cy="310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E8E60" w14:textId="20CF9080" w:rsidR="00D50822" w:rsidRPr="00C72BBD" w:rsidRDefault="00C91C04" w:rsidP="00073606">
                            <w:pPr>
                              <w:pStyle w:val="NoSpacing"/>
                              <w:spacing w:before="40" w:after="560" w:line="216" w:lineRule="auto"/>
                              <w:jc w:val="center"/>
                              <w:rPr>
                                <w:color w:val="4472C4" w:themeColor="accent1"/>
                                <w:sz w:val="72"/>
                                <w:szCs w:val="72"/>
                                <w:lang w:val="fr-FR"/>
                              </w:rPr>
                            </w:pPr>
                            <w:sdt>
                              <w:sdtPr>
                                <w:rPr>
                                  <w:color w:val="000000" w:themeColor="text1"/>
                                  <w:sz w:val="72"/>
                                  <w:szCs w:val="72"/>
                                  <w:lang w:val="fr-FR"/>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678AC" w:rsidRPr="004D51E1">
                                  <w:rPr>
                                    <w:color w:val="000000" w:themeColor="text1"/>
                                    <w:sz w:val="72"/>
                                    <w:szCs w:val="72"/>
                                    <w:lang w:val="fr-FR"/>
                                  </w:rPr>
                                  <w:t>R</w:t>
                                </w:r>
                                <w:r w:rsidR="00D50822" w:rsidRPr="004D51E1">
                                  <w:rPr>
                                    <w:color w:val="000000" w:themeColor="text1"/>
                                    <w:sz w:val="72"/>
                                    <w:szCs w:val="72"/>
                                    <w:lang w:val="fr-FR"/>
                                  </w:rPr>
                                  <w:t>apport</w:t>
                                </w:r>
                                <w:r w:rsidR="00073606">
                                  <w:rPr>
                                    <w:color w:val="000000" w:themeColor="text1"/>
                                    <w:sz w:val="72"/>
                                    <w:szCs w:val="72"/>
                                    <w:lang w:val="fr-FR"/>
                                  </w:rPr>
                                  <w:t xml:space="preserve"> Synthétique</w:t>
                                </w:r>
                                <w:r w:rsidR="00D50822" w:rsidRPr="004D51E1">
                                  <w:rPr>
                                    <w:color w:val="000000" w:themeColor="text1"/>
                                    <w:sz w:val="72"/>
                                    <w:szCs w:val="72"/>
                                    <w:lang w:val="fr-FR"/>
                                  </w:rPr>
                                  <w:t xml:space="preserve"> </w:t>
                                </w:r>
                                <w:r w:rsidR="00073606">
                                  <w:rPr>
                                    <w:color w:val="000000" w:themeColor="text1"/>
                                    <w:sz w:val="72"/>
                                    <w:szCs w:val="72"/>
                                    <w:lang w:val="fr-FR"/>
                                  </w:rPr>
                                  <w:t>E</w:t>
                                </w:r>
                                <w:r w:rsidR="005678AC" w:rsidRPr="004D51E1">
                                  <w:rPr>
                                    <w:color w:val="000000" w:themeColor="text1"/>
                                    <w:sz w:val="72"/>
                                    <w:szCs w:val="72"/>
                                    <w:lang w:val="fr-FR"/>
                                  </w:rPr>
                                  <w:t xml:space="preserve">valuation du </w:t>
                                </w:r>
                                <w:r w:rsidR="00E957E8" w:rsidRPr="004D51E1">
                                  <w:rPr>
                                    <w:color w:val="000000" w:themeColor="text1"/>
                                    <w:sz w:val="72"/>
                                    <w:szCs w:val="72"/>
                                    <w:lang w:val="fr-FR"/>
                                  </w:rPr>
                                  <w:t>PARAT</w:t>
                                </w:r>
                                <w:r w:rsidR="005678AC" w:rsidRPr="004D51E1">
                                  <w:rPr>
                                    <w:color w:val="000000" w:themeColor="text1"/>
                                    <w:sz w:val="72"/>
                                    <w:szCs w:val="72"/>
                                    <w:lang w:val="fr-FR"/>
                                  </w:rPr>
                                  <w:t xml:space="preserve"> </w:t>
                                </w:r>
                                <w:r w:rsidR="00716911">
                                  <w:rPr>
                                    <w:color w:val="000000" w:themeColor="text1"/>
                                    <w:sz w:val="72"/>
                                    <w:szCs w:val="72"/>
                                    <w:lang w:val="fr-FR"/>
                                  </w:rPr>
                                  <w:t xml:space="preserve">- </w:t>
                                </w:r>
                                <w:r w:rsidR="005678AC" w:rsidRPr="004D51E1">
                                  <w:rPr>
                                    <w:color w:val="000000" w:themeColor="text1"/>
                                    <w:sz w:val="72"/>
                                    <w:szCs w:val="72"/>
                                    <w:lang w:val="fr-FR"/>
                                  </w:rPr>
                                  <w:t>vu s</w:t>
                                </w:r>
                                <w:r w:rsidR="00A45712" w:rsidRPr="004D51E1">
                                  <w:rPr>
                                    <w:color w:val="000000" w:themeColor="text1"/>
                                    <w:sz w:val="72"/>
                                    <w:szCs w:val="72"/>
                                    <w:lang w:val="fr-FR"/>
                                  </w:rPr>
                                  <w:t>ous l’angle de la gestion du changement</w:t>
                                </w:r>
                              </w:sdtContent>
                            </w:sdt>
                          </w:p>
                          <w:sdt>
                            <w:sdtPr>
                              <w:rPr>
                                <w:i/>
                                <w:iCs/>
                                <w:caps/>
                                <w:color w:val="000000" w:themeColor="text1"/>
                                <w:sz w:val="24"/>
                                <w:szCs w:val="24"/>
                                <w:lang w:val="fr-FR"/>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6A68D46F" w14:textId="593F8E1F" w:rsidR="00D50822" w:rsidRPr="007E3778" w:rsidRDefault="00E70EBA">
                                <w:pPr>
                                  <w:pStyle w:val="NoSpacing"/>
                                  <w:spacing w:before="40" w:after="40"/>
                                  <w:rPr>
                                    <w:i/>
                                    <w:iCs/>
                                    <w:caps/>
                                    <w:color w:val="1F4E79" w:themeColor="accent5" w:themeShade="80"/>
                                    <w:sz w:val="24"/>
                                    <w:szCs w:val="24"/>
                                    <w:lang w:val="fr-FR"/>
                                  </w:rPr>
                                </w:pPr>
                                <w:r>
                                  <w:rPr>
                                    <w:i/>
                                    <w:iCs/>
                                    <w:caps/>
                                    <w:color w:val="000000" w:themeColor="text1"/>
                                    <w:sz w:val="24"/>
                                    <w:szCs w:val="24"/>
                                    <w:lang w:val="fr-FR"/>
                                  </w:rPr>
                                  <w:t xml:space="preserve">     </w:t>
                                </w:r>
                              </w:p>
                            </w:sdtContent>
                          </w:sdt>
                          <w:sdt>
                            <w:sdtPr>
                              <w:rPr>
                                <w:i/>
                                <w:iCs/>
                                <w:caps/>
                                <w:color w:val="5B9BD5" w:themeColor="accent5"/>
                                <w:sz w:val="24"/>
                                <w:szCs w:val="24"/>
                                <w:lang w:val="fr-FR"/>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2AAA52D" w14:textId="59AE7B48" w:rsidR="00D50822" w:rsidRPr="00C72BBD" w:rsidRDefault="00D50822">
                                <w:pPr>
                                  <w:pStyle w:val="NoSpacing"/>
                                  <w:spacing w:before="80" w:after="40"/>
                                  <w:rPr>
                                    <w:caps/>
                                    <w:color w:val="5B9BD5" w:themeColor="accent5"/>
                                    <w:sz w:val="24"/>
                                    <w:szCs w:val="24"/>
                                    <w:lang w:val="fr-FR"/>
                                  </w:rPr>
                                </w:pPr>
                                <w:r w:rsidRPr="00DA6BC0">
                                  <w:rPr>
                                    <w:i/>
                                    <w:iCs/>
                                    <w:caps/>
                                    <w:color w:val="5B9BD5" w:themeColor="accent5"/>
                                    <w:sz w:val="24"/>
                                    <w:szCs w:val="24"/>
                                    <w:lang w:val="fr-FR"/>
                                  </w:rPr>
                                  <w:t>Valentina Bianchini</w:t>
                                </w:r>
                                <w:r w:rsidR="00DA6BC0" w:rsidRPr="00DA6BC0">
                                  <w:rPr>
                                    <w:i/>
                                    <w:iCs/>
                                    <w:caps/>
                                    <w:color w:val="5B9BD5" w:themeColor="accent5"/>
                                    <w:sz w:val="24"/>
                                    <w:szCs w:val="24"/>
                                    <w:lang w:val="fr-FR"/>
                                  </w:rPr>
                                  <w:t>, Consultant expert en gestion du changement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7AF990" id="_x0000_t202" coordsize="21600,21600" o:spt="202" path="m,l,21600r21600,l21600,xe">
                <v:stroke joinstyle="miter"/>
                <v:path gradientshapeok="t" o:connecttype="rect"/>
              </v:shapetype>
              <v:shape id="Text Box 131" o:spid="_x0000_s1027" type="#_x0000_t202" style="position:absolute;margin-left:11.95pt;margin-top:396.5pt;width:460.8pt;height:244.8pt;z-index:25170124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" filled="f" stroked="f" strokeweight=".5pt">
                <v:textbox inset="0,0,0,0">
                  <w:txbxContent>
                    <w:p w14:paraId="35BE8E60" w14:textId="20CF9080" w:rsidR="00D50822" w:rsidRPr="00C72BBD" w:rsidRDefault="00C91C04" w:rsidP="00073606">
                      <w:pPr>
                        <w:pStyle w:val="NoSpacing"/>
                        <w:spacing w:before="40" w:after="560" w:line="216" w:lineRule="auto"/>
                        <w:jc w:val="center"/>
                        <w:rPr>
                          <w:color w:val="4472C4" w:themeColor="accent1"/>
                          <w:sz w:val="72"/>
                          <w:szCs w:val="72"/>
                          <w:lang w:val="fr-FR"/>
                        </w:rPr>
                      </w:pPr>
                      <w:sdt>
                        <w:sdtPr>
                          <w:rPr>
                            <w:color w:val="000000" w:themeColor="text1"/>
                            <w:sz w:val="72"/>
                            <w:szCs w:val="72"/>
                            <w:lang w:val="fr-FR"/>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678AC" w:rsidRPr="004D51E1">
                            <w:rPr>
                              <w:color w:val="000000" w:themeColor="text1"/>
                              <w:sz w:val="72"/>
                              <w:szCs w:val="72"/>
                              <w:lang w:val="fr-FR"/>
                            </w:rPr>
                            <w:t>R</w:t>
                          </w:r>
                          <w:r w:rsidR="00D50822" w:rsidRPr="004D51E1">
                            <w:rPr>
                              <w:color w:val="000000" w:themeColor="text1"/>
                              <w:sz w:val="72"/>
                              <w:szCs w:val="72"/>
                              <w:lang w:val="fr-FR"/>
                            </w:rPr>
                            <w:t>apport</w:t>
                          </w:r>
                          <w:r w:rsidR="00073606">
                            <w:rPr>
                              <w:color w:val="000000" w:themeColor="text1"/>
                              <w:sz w:val="72"/>
                              <w:szCs w:val="72"/>
                              <w:lang w:val="fr-FR"/>
                            </w:rPr>
                            <w:t xml:space="preserve"> Synthétique</w:t>
                          </w:r>
                          <w:r w:rsidR="00D50822" w:rsidRPr="004D51E1">
                            <w:rPr>
                              <w:color w:val="000000" w:themeColor="text1"/>
                              <w:sz w:val="72"/>
                              <w:szCs w:val="72"/>
                              <w:lang w:val="fr-FR"/>
                            </w:rPr>
                            <w:t xml:space="preserve"> </w:t>
                          </w:r>
                          <w:r w:rsidR="00073606">
                            <w:rPr>
                              <w:color w:val="000000" w:themeColor="text1"/>
                              <w:sz w:val="72"/>
                              <w:szCs w:val="72"/>
                              <w:lang w:val="fr-FR"/>
                            </w:rPr>
                            <w:t>E</w:t>
                          </w:r>
                          <w:r w:rsidR="005678AC" w:rsidRPr="004D51E1">
                            <w:rPr>
                              <w:color w:val="000000" w:themeColor="text1"/>
                              <w:sz w:val="72"/>
                              <w:szCs w:val="72"/>
                              <w:lang w:val="fr-FR"/>
                            </w:rPr>
                            <w:t xml:space="preserve">valuation du </w:t>
                          </w:r>
                          <w:r w:rsidR="00E957E8" w:rsidRPr="004D51E1">
                            <w:rPr>
                              <w:color w:val="000000" w:themeColor="text1"/>
                              <w:sz w:val="72"/>
                              <w:szCs w:val="72"/>
                              <w:lang w:val="fr-FR"/>
                            </w:rPr>
                            <w:t>PARAT</w:t>
                          </w:r>
                          <w:r w:rsidR="005678AC" w:rsidRPr="004D51E1">
                            <w:rPr>
                              <w:color w:val="000000" w:themeColor="text1"/>
                              <w:sz w:val="72"/>
                              <w:szCs w:val="72"/>
                              <w:lang w:val="fr-FR"/>
                            </w:rPr>
                            <w:t xml:space="preserve"> </w:t>
                          </w:r>
                          <w:r w:rsidR="00716911">
                            <w:rPr>
                              <w:color w:val="000000" w:themeColor="text1"/>
                              <w:sz w:val="72"/>
                              <w:szCs w:val="72"/>
                              <w:lang w:val="fr-FR"/>
                            </w:rPr>
                            <w:t xml:space="preserve">- </w:t>
                          </w:r>
                          <w:r w:rsidR="005678AC" w:rsidRPr="004D51E1">
                            <w:rPr>
                              <w:color w:val="000000" w:themeColor="text1"/>
                              <w:sz w:val="72"/>
                              <w:szCs w:val="72"/>
                              <w:lang w:val="fr-FR"/>
                            </w:rPr>
                            <w:t>vu s</w:t>
                          </w:r>
                          <w:r w:rsidR="00A45712" w:rsidRPr="004D51E1">
                            <w:rPr>
                              <w:color w:val="000000" w:themeColor="text1"/>
                              <w:sz w:val="72"/>
                              <w:szCs w:val="72"/>
                              <w:lang w:val="fr-FR"/>
                            </w:rPr>
                            <w:t>ous l’angle de la gestion du changement</w:t>
                          </w:r>
                        </w:sdtContent>
                      </w:sdt>
                    </w:p>
                    <w:sdt>
                      <w:sdtPr>
                        <w:rPr>
                          <w:i/>
                          <w:iCs/>
                          <w:caps/>
                          <w:color w:val="000000" w:themeColor="text1"/>
                          <w:sz w:val="24"/>
                          <w:szCs w:val="24"/>
                          <w:lang w:val="fr-FR"/>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6A68D46F" w14:textId="593F8E1F" w:rsidR="00D50822" w:rsidRPr="007E3778" w:rsidRDefault="00E70EBA">
                          <w:pPr>
                            <w:pStyle w:val="NoSpacing"/>
                            <w:spacing w:before="40" w:after="40"/>
                            <w:rPr>
                              <w:i/>
                              <w:iCs/>
                              <w:caps/>
                              <w:color w:val="1F4E79" w:themeColor="accent5" w:themeShade="80"/>
                              <w:sz w:val="24"/>
                              <w:szCs w:val="24"/>
                              <w:lang w:val="fr-FR"/>
                            </w:rPr>
                          </w:pPr>
                          <w:r>
                            <w:rPr>
                              <w:i/>
                              <w:iCs/>
                              <w:caps/>
                              <w:color w:val="000000" w:themeColor="text1"/>
                              <w:sz w:val="24"/>
                              <w:szCs w:val="24"/>
                              <w:lang w:val="fr-FR"/>
                            </w:rPr>
                            <w:t xml:space="preserve">     </w:t>
                          </w:r>
                        </w:p>
                      </w:sdtContent>
                    </w:sdt>
                    <w:sdt>
                      <w:sdtPr>
                        <w:rPr>
                          <w:i/>
                          <w:iCs/>
                          <w:caps/>
                          <w:color w:val="5B9BD5" w:themeColor="accent5"/>
                          <w:sz w:val="24"/>
                          <w:szCs w:val="24"/>
                          <w:lang w:val="fr-FR"/>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2AAA52D" w14:textId="59AE7B48" w:rsidR="00D50822" w:rsidRPr="00C72BBD" w:rsidRDefault="00D50822">
                          <w:pPr>
                            <w:pStyle w:val="NoSpacing"/>
                            <w:spacing w:before="80" w:after="40"/>
                            <w:rPr>
                              <w:caps/>
                              <w:color w:val="5B9BD5" w:themeColor="accent5"/>
                              <w:sz w:val="24"/>
                              <w:szCs w:val="24"/>
                              <w:lang w:val="fr-FR"/>
                            </w:rPr>
                          </w:pPr>
                          <w:r w:rsidRPr="00DA6BC0">
                            <w:rPr>
                              <w:i/>
                              <w:iCs/>
                              <w:caps/>
                              <w:color w:val="5B9BD5" w:themeColor="accent5"/>
                              <w:sz w:val="24"/>
                              <w:szCs w:val="24"/>
                              <w:lang w:val="fr-FR"/>
                            </w:rPr>
                            <w:t>Valentina Bianchini</w:t>
                          </w:r>
                          <w:r w:rsidR="00DA6BC0" w:rsidRPr="00DA6BC0">
                            <w:rPr>
                              <w:i/>
                              <w:iCs/>
                              <w:caps/>
                              <w:color w:val="5B9BD5" w:themeColor="accent5"/>
                              <w:sz w:val="24"/>
                              <w:szCs w:val="24"/>
                              <w:lang w:val="fr-FR"/>
                            </w:rPr>
                            <w:t>, Consultant expert en gestion du changement</w:t>
                          </w:r>
                        </w:p>
                      </w:sdtContent>
                    </w:sdt>
                  </w:txbxContent>
                </v:textbox>
                <w10:wrap type="square" anchorx="margin" anchory="page"/>
              </v:shape>
            </w:pict>
          </mc:Fallback>
        </mc:AlternateContent>
      </w:r>
      <w:r w:rsidR="008F5700">
        <w:rPr>
          <w:noProof/>
          <w:lang w:val="fr-FR"/>
        </w:rPr>
        <w:drawing>
          <wp:anchor distT="0" distB="0" distL="114300" distR="114300" simplePos="0" relativeHeight="251702272" behindDoc="1" locked="0" layoutInCell="1" allowOverlap="1" wp14:anchorId="241BD22D" wp14:editId="0C143FB2">
            <wp:simplePos x="0" y="0"/>
            <wp:positionH relativeFrom="column">
              <wp:posOffset>787791</wp:posOffset>
            </wp:positionH>
            <wp:positionV relativeFrom="paragraph">
              <wp:posOffset>615169</wp:posOffset>
            </wp:positionV>
            <wp:extent cx="4084503" cy="2699779"/>
            <wp:effectExtent l="0" t="0" r="5080" b="5715"/>
            <wp:wrapNone/>
            <wp:docPr id="29" name="Picture 29" descr="A picture containing text, wat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water, pers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84503" cy="2699779"/>
                    </a:xfrm>
                    <a:prstGeom prst="rect">
                      <a:avLst/>
                    </a:prstGeom>
                  </pic:spPr>
                </pic:pic>
              </a:graphicData>
            </a:graphic>
            <wp14:sizeRelH relativeFrom="page">
              <wp14:pctWidth>0</wp14:pctWidth>
            </wp14:sizeRelH>
            <wp14:sizeRelV relativeFrom="page">
              <wp14:pctHeight>0</wp14:pctHeight>
            </wp14:sizeRelV>
          </wp:anchor>
        </w:drawing>
      </w:r>
      <w:r w:rsidR="00112B98">
        <w:rPr>
          <w:lang w:val="fr-FR"/>
        </w:rPr>
        <w:br w:type="page"/>
      </w:r>
    </w:p>
    <w:p w14:paraId="6E4961A4" w14:textId="0BE810D0" w:rsidR="009F283E" w:rsidRPr="00DC6EFD" w:rsidRDefault="009C0764" w:rsidP="00FF6B60">
      <w:pPr>
        <w:jc w:val="center"/>
        <w:rPr>
          <w:rFonts w:asciiTheme="majorHAnsi" w:hAnsiTheme="majorHAnsi" w:cstheme="minorHAnsi"/>
          <w:b/>
          <w:bCs/>
          <w:sz w:val="28"/>
          <w:szCs w:val="28"/>
          <w:lang w:val="fr-FR"/>
        </w:rPr>
      </w:pPr>
      <w:r>
        <w:rPr>
          <w:rFonts w:asciiTheme="majorHAnsi" w:hAnsiTheme="majorHAnsi" w:cstheme="minorHAnsi"/>
          <w:b/>
          <w:bCs/>
          <w:sz w:val="28"/>
          <w:szCs w:val="28"/>
          <w:lang w:val="fr-FR"/>
        </w:rPr>
        <w:lastRenderedPageBreak/>
        <w:t>Profil du Programme</w:t>
      </w:r>
    </w:p>
    <w:tbl>
      <w:tblPr>
        <w:tblStyle w:val="TableGrid"/>
        <w:tblW w:w="944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3258"/>
        <w:gridCol w:w="2562"/>
        <w:gridCol w:w="3627"/>
      </w:tblGrid>
      <w:tr w:rsidR="009F283E" w:rsidRPr="00400A5A" w14:paraId="08732293" w14:textId="77777777" w:rsidTr="00B75D93">
        <w:tc>
          <w:tcPr>
            <w:tcW w:w="9447" w:type="dxa"/>
            <w:gridSpan w:val="3"/>
            <w:tcBorders>
              <w:bottom w:val="single" w:sz="6" w:space="0" w:color="auto"/>
            </w:tcBorders>
            <w:shd w:val="clear" w:color="auto" w:fill="4472C4" w:themeFill="accent1"/>
          </w:tcPr>
          <w:p w14:paraId="5A0B8ED3" w14:textId="2D5AD894" w:rsidR="009F283E" w:rsidRPr="005F3E07" w:rsidRDefault="009F283E" w:rsidP="003E3799">
            <w:pPr>
              <w:spacing w:before="120" w:after="120"/>
              <w:jc w:val="center"/>
              <w:rPr>
                <w:rFonts w:cstheme="minorHAnsi"/>
                <w:b/>
                <w:bCs/>
                <w:color w:val="000000" w:themeColor="text1"/>
                <w:lang w:val="fr-FR"/>
              </w:rPr>
            </w:pPr>
            <w:r w:rsidRPr="00B75D93">
              <w:rPr>
                <w:rFonts w:cstheme="minorHAnsi"/>
                <w:b/>
                <w:iCs/>
                <w:color w:val="FFFFFF" w:themeColor="background1"/>
                <w:lang w:val="fr-FR"/>
              </w:rPr>
              <w:t>Identif</w:t>
            </w:r>
            <w:r w:rsidR="00D1754A" w:rsidRPr="00B75D93">
              <w:rPr>
                <w:rFonts w:cstheme="minorHAnsi"/>
                <w:b/>
                <w:iCs/>
                <w:color w:val="FFFFFF" w:themeColor="background1"/>
                <w:lang w:val="fr-FR"/>
              </w:rPr>
              <w:t>ication</w:t>
            </w:r>
            <w:r w:rsidRPr="00B75D93">
              <w:rPr>
                <w:rFonts w:cstheme="minorHAnsi"/>
                <w:b/>
                <w:iCs/>
                <w:color w:val="FFFFFF" w:themeColor="background1"/>
                <w:lang w:val="fr-FR"/>
              </w:rPr>
              <w:t xml:space="preserve"> du programme</w:t>
            </w:r>
          </w:p>
        </w:tc>
      </w:tr>
      <w:tr w:rsidR="009F283E" w:rsidRPr="00400A5A" w14:paraId="317CEA67" w14:textId="77777777" w:rsidTr="00035CD5">
        <w:trPr>
          <w:trHeight w:val="507"/>
        </w:trPr>
        <w:tc>
          <w:tcPr>
            <w:tcW w:w="3258" w:type="dxa"/>
            <w:tcBorders>
              <w:top w:val="single" w:sz="6" w:space="0" w:color="auto"/>
              <w:left w:val="single" w:sz="6" w:space="0" w:color="auto"/>
              <w:bottom w:val="single" w:sz="6" w:space="0" w:color="auto"/>
            </w:tcBorders>
          </w:tcPr>
          <w:p w14:paraId="440226C9" w14:textId="77777777" w:rsidR="009F283E" w:rsidRPr="005F3E07" w:rsidRDefault="009F283E" w:rsidP="003E3799">
            <w:pPr>
              <w:spacing w:before="40" w:after="40"/>
              <w:rPr>
                <w:rFonts w:cstheme="minorHAnsi"/>
                <w:b/>
                <w:bCs/>
                <w:iCs/>
                <w:color w:val="000000" w:themeColor="text1"/>
                <w:lang w:val="fr-FR"/>
              </w:rPr>
            </w:pPr>
            <w:r w:rsidRPr="005F3E07">
              <w:rPr>
                <w:rFonts w:cstheme="minorHAnsi"/>
                <w:b/>
                <w:bCs/>
                <w:iCs/>
                <w:color w:val="000000" w:themeColor="text1"/>
                <w:lang w:val="fr-FR"/>
              </w:rPr>
              <w:t xml:space="preserve">Titre : </w:t>
            </w:r>
          </w:p>
        </w:tc>
        <w:tc>
          <w:tcPr>
            <w:tcW w:w="6189" w:type="dxa"/>
            <w:gridSpan w:val="2"/>
            <w:tcBorders>
              <w:top w:val="single" w:sz="6" w:space="0" w:color="auto"/>
              <w:bottom w:val="single" w:sz="6" w:space="0" w:color="auto"/>
            </w:tcBorders>
          </w:tcPr>
          <w:p w14:paraId="2196CE81" w14:textId="3255DF48" w:rsidR="009F283E" w:rsidRPr="005F3E07" w:rsidRDefault="009F283E" w:rsidP="003E3799">
            <w:pPr>
              <w:spacing w:before="40" w:after="40"/>
              <w:rPr>
                <w:rFonts w:cstheme="minorHAnsi"/>
                <w:b/>
                <w:bCs/>
                <w:iCs/>
                <w:color w:val="000000" w:themeColor="text1"/>
                <w:lang w:val="fr-FR"/>
              </w:rPr>
            </w:pPr>
            <w:r w:rsidRPr="005F3E07">
              <w:rPr>
                <w:rFonts w:cstheme="minorHAnsi"/>
                <w:b/>
                <w:bCs/>
                <w:iCs/>
                <w:color w:val="000000" w:themeColor="text1"/>
                <w:lang w:val="fr-FR"/>
              </w:rPr>
              <w:t>Programme d’Appui à la Réforme de l’Aménagement d</w:t>
            </w:r>
            <w:r w:rsidR="00412A93" w:rsidRPr="005F3E07">
              <w:rPr>
                <w:rFonts w:cstheme="minorHAnsi"/>
                <w:b/>
                <w:bCs/>
                <w:iCs/>
                <w:color w:val="000000" w:themeColor="text1"/>
                <w:lang w:val="fr-FR"/>
              </w:rPr>
              <w:t>es</w:t>
            </w:r>
            <w:r w:rsidRPr="005F3E07">
              <w:rPr>
                <w:rFonts w:cstheme="minorHAnsi"/>
                <w:b/>
                <w:bCs/>
                <w:iCs/>
                <w:color w:val="000000" w:themeColor="text1"/>
                <w:lang w:val="fr-FR"/>
              </w:rPr>
              <w:t xml:space="preserve"> Territoire</w:t>
            </w:r>
            <w:r w:rsidR="00412A93" w:rsidRPr="005F3E07">
              <w:rPr>
                <w:rFonts w:cstheme="minorHAnsi"/>
                <w:b/>
                <w:bCs/>
                <w:iCs/>
                <w:color w:val="000000" w:themeColor="text1"/>
                <w:lang w:val="fr-FR"/>
              </w:rPr>
              <w:t>s</w:t>
            </w:r>
            <w:r w:rsidRPr="005F3E07">
              <w:rPr>
                <w:rFonts w:cstheme="minorHAnsi"/>
                <w:b/>
                <w:bCs/>
                <w:iCs/>
                <w:color w:val="000000" w:themeColor="text1"/>
                <w:lang w:val="fr-FR"/>
              </w:rPr>
              <w:t xml:space="preserve"> - PARAT</w:t>
            </w:r>
          </w:p>
        </w:tc>
      </w:tr>
      <w:tr w:rsidR="009F283E" w:rsidRPr="00400A5A" w14:paraId="4404FBF2" w14:textId="77777777" w:rsidTr="00035CD5">
        <w:tc>
          <w:tcPr>
            <w:tcW w:w="3258" w:type="dxa"/>
            <w:tcBorders>
              <w:top w:val="single" w:sz="6" w:space="0" w:color="auto"/>
            </w:tcBorders>
          </w:tcPr>
          <w:p w14:paraId="20394C75" w14:textId="1FB6B194" w:rsidR="009F283E" w:rsidRPr="005F3E07" w:rsidRDefault="009F283E" w:rsidP="003E3799">
            <w:pPr>
              <w:spacing w:before="40" w:after="40"/>
              <w:rPr>
                <w:rFonts w:cstheme="minorHAnsi"/>
                <w:b/>
                <w:bCs/>
                <w:iCs/>
                <w:color w:val="000000" w:themeColor="text1"/>
                <w:lang w:val="fr-FR"/>
              </w:rPr>
            </w:pPr>
            <w:r w:rsidRPr="005F3E07">
              <w:rPr>
                <w:rFonts w:cstheme="minorHAnsi"/>
                <w:b/>
                <w:bCs/>
                <w:iCs/>
                <w:color w:val="000000" w:themeColor="text1"/>
                <w:lang w:val="fr-FR"/>
              </w:rPr>
              <w:t xml:space="preserve">Numéro de </w:t>
            </w:r>
            <w:r w:rsidRPr="005F3E07">
              <w:rPr>
                <w:rFonts w:cstheme="minorHAnsi"/>
                <w:b/>
                <w:bCs/>
                <w:iCs/>
                <w:color w:val="000000" w:themeColor="text1"/>
                <w:lang w:val="fr-FR"/>
              </w:rPr>
              <w:pgNum/>
            </w:r>
            <w:r w:rsidRPr="005F3E07">
              <w:rPr>
                <w:rFonts w:cstheme="minorHAnsi"/>
                <w:b/>
                <w:bCs/>
                <w:iCs/>
                <w:color w:val="000000" w:themeColor="text1"/>
                <w:lang w:val="fr-FR"/>
              </w:rPr>
              <w:t>référence du Programme/MPTF</w:t>
            </w:r>
            <w:r w:rsidR="00EC2514" w:rsidRPr="005F3E07">
              <w:rPr>
                <w:rFonts w:cstheme="minorHAnsi"/>
                <w:bCs/>
                <w:color w:val="000000" w:themeColor="text1"/>
                <w:lang w:val="fr-FR"/>
              </w:rPr>
              <w:t> </w:t>
            </w:r>
            <w:r w:rsidR="00EC2514" w:rsidRPr="005F3E07">
              <w:rPr>
                <w:rFonts w:cstheme="minorHAnsi"/>
                <w:b/>
                <w:color w:val="000000" w:themeColor="text1"/>
                <w:lang w:val="fr-FR"/>
              </w:rPr>
              <w:t>:</w:t>
            </w:r>
          </w:p>
        </w:tc>
        <w:tc>
          <w:tcPr>
            <w:tcW w:w="6189" w:type="dxa"/>
            <w:gridSpan w:val="2"/>
            <w:tcBorders>
              <w:top w:val="single" w:sz="6" w:space="0" w:color="auto"/>
            </w:tcBorders>
          </w:tcPr>
          <w:p w14:paraId="5136F294" w14:textId="77777777" w:rsidR="009F283E" w:rsidRPr="005F3E07" w:rsidRDefault="009F283E" w:rsidP="003E3799">
            <w:pPr>
              <w:spacing w:before="40" w:after="40"/>
              <w:rPr>
                <w:rFonts w:cstheme="minorHAnsi"/>
                <w:iCs/>
                <w:color w:val="000000" w:themeColor="text1"/>
                <w:lang w:val="fr-FR"/>
              </w:rPr>
            </w:pPr>
            <w:r w:rsidRPr="005F3E07">
              <w:rPr>
                <w:rFonts w:cstheme="minorHAnsi"/>
                <w:iCs/>
                <w:color w:val="000000" w:themeColor="text1"/>
                <w:lang w:val="fr-FR"/>
              </w:rPr>
              <w:t>00105282</w:t>
            </w:r>
          </w:p>
        </w:tc>
      </w:tr>
      <w:tr w:rsidR="009F283E" w:rsidRPr="00400A5A" w14:paraId="34EB479C" w14:textId="77777777" w:rsidTr="00035CD5">
        <w:tc>
          <w:tcPr>
            <w:tcW w:w="3258" w:type="dxa"/>
            <w:vMerge w:val="restart"/>
          </w:tcPr>
          <w:p w14:paraId="0E424723" w14:textId="77777777" w:rsidR="009F283E" w:rsidRPr="005F3E07" w:rsidRDefault="009F283E" w:rsidP="003E3799">
            <w:pPr>
              <w:spacing w:before="40" w:after="40"/>
              <w:rPr>
                <w:rFonts w:cstheme="minorHAnsi"/>
                <w:b/>
                <w:iCs/>
                <w:color w:val="000000" w:themeColor="text1"/>
                <w:lang w:val="fr-FR"/>
              </w:rPr>
            </w:pPr>
            <w:r w:rsidRPr="005F3E07">
              <w:rPr>
                <w:rFonts w:cstheme="minorHAnsi"/>
                <w:b/>
                <w:iCs/>
                <w:color w:val="000000" w:themeColor="text1"/>
                <w:lang w:val="fr-FR"/>
              </w:rPr>
              <w:t>Volets :</w:t>
            </w:r>
          </w:p>
        </w:tc>
        <w:tc>
          <w:tcPr>
            <w:tcW w:w="6189" w:type="dxa"/>
            <w:gridSpan w:val="2"/>
          </w:tcPr>
          <w:p w14:paraId="1FAFC37D" w14:textId="77777777" w:rsidR="009F283E" w:rsidRPr="005F3E07" w:rsidRDefault="009F283E" w:rsidP="003E3799">
            <w:pPr>
              <w:spacing w:before="40" w:after="40"/>
              <w:rPr>
                <w:rFonts w:cstheme="minorHAnsi"/>
                <w:iCs/>
                <w:color w:val="000000" w:themeColor="text1"/>
                <w:lang w:val="fr-FR"/>
              </w:rPr>
            </w:pPr>
            <w:r w:rsidRPr="005F3E07">
              <w:rPr>
                <w:rFonts w:cstheme="minorHAnsi"/>
                <w:iCs/>
                <w:color w:val="000000" w:themeColor="text1"/>
                <w:lang w:val="fr-FR"/>
              </w:rPr>
              <w:t>1- Juridique et réglementaire</w:t>
            </w:r>
          </w:p>
        </w:tc>
      </w:tr>
      <w:tr w:rsidR="009F283E" w:rsidRPr="00400A5A" w14:paraId="375325B3" w14:textId="77777777" w:rsidTr="00035CD5">
        <w:tc>
          <w:tcPr>
            <w:tcW w:w="3258" w:type="dxa"/>
            <w:vMerge/>
          </w:tcPr>
          <w:p w14:paraId="4127042A" w14:textId="77777777" w:rsidR="009F283E" w:rsidRPr="005F3E07" w:rsidRDefault="009F283E" w:rsidP="003E3799">
            <w:pPr>
              <w:spacing w:before="40" w:after="40"/>
              <w:rPr>
                <w:rFonts w:cstheme="minorHAnsi"/>
                <w:bCs/>
                <w:iCs/>
                <w:color w:val="000000" w:themeColor="text1"/>
                <w:lang w:val="fr-FR"/>
              </w:rPr>
            </w:pPr>
          </w:p>
        </w:tc>
        <w:tc>
          <w:tcPr>
            <w:tcW w:w="6189" w:type="dxa"/>
            <w:gridSpan w:val="2"/>
          </w:tcPr>
          <w:p w14:paraId="10D78698" w14:textId="77777777" w:rsidR="009F283E" w:rsidRPr="00783BBC" w:rsidRDefault="009F283E" w:rsidP="003E3799">
            <w:pPr>
              <w:spacing w:before="40" w:after="40"/>
              <w:rPr>
                <w:rFonts w:cstheme="minorHAnsi"/>
                <w:iCs/>
                <w:color w:val="000000" w:themeColor="text1"/>
                <w:lang w:val="fr-FR"/>
              </w:rPr>
            </w:pPr>
            <w:r w:rsidRPr="00783BBC">
              <w:rPr>
                <w:rFonts w:cstheme="minorHAnsi"/>
                <w:iCs/>
                <w:color w:val="000000" w:themeColor="text1"/>
                <w:lang w:val="fr-FR"/>
              </w:rPr>
              <w:t>2- Organisationnel et institutionnel</w:t>
            </w:r>
          </w:p>
        </w:tc>
      </w:tr>
      <w:tr w:rsidR="009F283E" w:rsidRPr="00400A5A" w14:paraId="41618EF7" w14:textId="77777777" w:rsidTr="00035CD5">
        <w:tc>
          <w:tcPr>
            <w:tcW w:w="3258" w:type="dxa"/>
            <w:vMerge/>
          </w:tcPr>
          <w:p w14:paraId="0BDA0B83" w14:textId="77777777" w:rsidR="009F283E" w:rsidRPr="005F3E07" w:rsidRDefault="009F283E" w:rsidP="003E3799">
            <w:pPr>
              <w:spacing w:before="40" w:after="40"/>
              <w:rPr>
                <w:rFonts w:cstheme="minorHAnsi"/>
                <w:bCs/>
                <w:iCs/>
                <w:color w:val="000000" w:themeColor="text1"/>
                <w:lang w:val="fr-FR"/>
              </w:rPr>
            </w:pPr>
          </w:p>
        </w:tc>
        <w:tc>
          <w:tcPr>
            <w:tcW w:w="6189" w:type="dxa"/>
            <w:gridSpan w:val="2"/>
          </w:tcPr>
          <w:p w14:paraId="46F85F01" w14:textId="77777777" w:rsidR="009F283E" w:rsidRPr="005F3E07" w:rsidRDefault="009F283E" w:rsidP="003E3799">
            <w:pPr>
              <w:spacing w:before="40" w:after="40"/>
              <w:rPr>
                <w:rFonts w:cstheme="minorHAnsi"/>
                <w:iCs/>
                <w:color w:val="000000" w:themeColor="text1"/>
                <w:lang w:val="fr-FR"/>
              </w:rPr>
            </w:pPr>
            <w:r w:rsidRPr="005F3E07">
              <w:rPr>
                <w:rFonts w:cstheme="minorHAnsi"/>
                <w:iCs/>
                <w:color w:val="000000" w:themeColor="text1"/>
                <w:lang w:val="fr-FR"/>
              </w:rPr>
              <w:t>3- Technique</w:t>
            </w:r>
          </w:p>
        </w:tc>
      </w:tr>
      <w:tr w:rsidR="009F283E" w:rsidRPr="00E70EBA" w14:paraId="323CE58A" w14:textId="77777777" w:rsidTr="00B75D93">
        <w:tc>
          <w:tcPr>
            <w:tcW w:w="9447" w:type="dxa"/>
            <w:gridSpan w:val="3"/>
            <w:shd w:val="clear" w:color="auto" w:fill="4472C4" w:themeFill="accent1"/>
          </w:tcPr>
          <w:p w14:paraId="56B67F42" w14:textId="2850A72B" w:rsidR="009F283E" w:rsidRPr="005F3E07" w:rsidRDefault="009F283E" w:rsidP="003E3799">
            <w:pPr>
              <w:spacing w:before="120" w:after="120"/>
              <w:jc w:val="center"/>
              <w:rPr>
                <w:rFonts w:cstheme="minorHAnsi"/>
                <w:b/>
                <w:bCs/>
                <w:color w:val="000000" w:themeColor="text1"/>
                <w:lang w:val="fr-FR"/>
              </w:rPr>
            </w:pPr>
            <w:r w:rsidRPr="00B75D93">
              <w:rPr>
                <w:rFonts w:cstheme="minorHAnsi"/>
                <w:b/>
                <w:iCs/>
                <w:color w:val="FFFFFF" w:themeColor="background1"/>
                <w:lang w:val="fr-FR"/>
              </w:rPr>
              <w:t xml:space="preserve">Liens avec </w:t>
            </w:r>
            <w:r w:rsidR="00B51C04" w:rsidRPr="00B75D93">
              <w:rPr>
                <w:rFonts w:cstheme="minorHAnsi"/>
                <w:b/>
                <w:iCs/>
                <w:color w:val="FFFFFF" w:themeColor="background1"/>
                <w:lang w:val="fr-FR"/>
              </w:rPr>
              <w:t xml:space="preserve">le </w:t>
            </w:r>
            <w:r w:rsidR="005F0A8F" w:rsidRPr="00B75D93">
              <w:rPr>
                <w:rFonts w:cstheme="minorHAnsi"/>
                <w:b/>
                <w:iCs/>
                <w:color w:val="FFFFFF" w:themeColor="background1"/>
                <w:lang w:val="fr-FR"/>
              </w:rPr>
              <w:t xml:space="preserve">PNSD 2019-2023, </w:t>
            </w:r>
            <w:r w:rsidR="007B7389" w:rsidRPr="00B75D93">
              <w:rPr>
                <w:rFonts w:cstheme="minorHAnsi"/>
                <w:b/>
                <w:iCs/>
                <w:color w:val="FFFFFF" w:themeColor="background1"/>
                <w:lang w:val="fr-FR"/>
              </w:rPr>
              <w:t xml:space="preserve">la Stratégie Cadre </w:t>
            </w:r>
            <w:r w:rsidR="00A819DD" w:rsidRPr="00B75D93">
              <w:rPr>
                <w:rFonts w:cstheme="minorHAnsi"/>
                <w:b/>
                <w:iCs/>
                <w:color w:val="FFFFFF" w:themeColor="background1"/>
                <w:lang w:val="fr-FR"/>
              </w:rPr>
              <w:t xml:space="preserve">Nationale </w:t>
            </w:r>
            <w:r w:rsidR="007B7389" w:rsidRPr="00B75D93">
              <w:rPr>
                <w:rFonts w:cstheme="minorHAnsi"/>
                <w:b/>
                <w:iCs/>
                <w:color w:val="FFFFFF" w:themeColor="background1"/>
                <w:lang w:val="fr-FR"/>
              </w:rPr>
              <w:t>REDD+</w:t>
            </w:r>
            <w:r w:rsidR="00A201C3" w:rsidRPr="00B75D93">
              <w:rPr>
                <w:rFonts w:cstheme="minorHAnsi"/>
                <w:b/>
                <w:iCs/>
                <w:color w:val="FFFFFF" w:themeColor="background1"/>
                <w:lang w:val="fr-FR"/>
              </w:rPr>
              <w:t xml:space="preserve"> et </w:t>
            </w:r>
            <w:r w:rsidR="008B7599" w:rsidRPr="00B75D93">
              <w:rPr>
                <w:rFonts w:cstheme="minorHAnsi"/>
                <w:b/>
                <w:iCs/>
                <w:color w:val="FFFFFF" w:themeColor="background1"/>
                <w:lang w:val="fr-FR"/>
              </w:rPr>
              <w:t xml:space="preserve">le Plan d’Investissement REDD+ 2016-2020 </w:t>
            </w:r>
          </w:p>
        </w:tc>
      </w:tr>
      <w:tr w:rsidR="005F0A8F" w:rsidRPr="00400A5A" w14:paraId="4725349B" w14:textId="77777777" w:rsidTr="00035CD5">
        <w:trPr>
          <w:trHeight w:val="179"/>
        </w:trPr>
        <w:tc>
          <w:tcPr>
            <w:tcW w:w="3258" w:type="dxa"/>
          </w:tcPr>
          <w:p w14:paraId="6367D1BF" w14:textId="34F9E5AD" w:rsidR="005F0A8F" w:rsidRPr="005F3E07" w:rsidRDefault="002A385F" w:rsidP="003E3799">
            <w:pPr>
              <w:spacing w:before="40" w:after="40"/>
              <w:rPr>
                <w:rFonts w:cstheme="minorHAnsi"/>
                <w:b/>
                <w:bCs/>
                <w:iCs/>
                <w:color w:val="000000" w:themeColor="text1"/>
                <w:lang w:val="fr-FR"/>
              </w:rPr>
            </w:pPr>
            <w:r>
              <w:rPr>
                <w:rFonts w:cstheme="minorHAnsi"/>
                <w:b/>
                <w:bCs/>
                <w:iCs/>
                <w:color w:val="000000" w:themeColor="text1"/>
                <w:lang w:val="fr-FR"/>
              </w:rPr>
              <w:t>Objectifs du PNSD 2019-2023</w:t>
            </w:r>
          </w:p>
        </w:tc>
        <w:tc>
          <w:tcPr>
            <w:tcW w:w="6189" w:type="dxa"/>
            <w:gridSpan w:val="2"/>
          </w:tcPr>
          <w:p w14:paraId="37414AC8" w14:textId="77777777" w:rsidR="00174E73" w:rsidRDefault="002A385F" w:rsidP="007B3426">
            <w:pPr>
              <w:spacing w:before="40" w:after="40"/>
              <w:jc w:val="both"/>
              <w:rPr>
                <w:rFonts w:cstheme="minorHAnsi"/>
                <w:b/>
                <w:bCs/>
                <w:color w:val="000000" w:themeColor="text1"/>
                <w:lang w:val="fr-FR"/>
              </w:rPr>
            </w:pPr>
            <w:r>
              <w:rPr>
                <w:rFonts w:cstheme="minorHAnsi"/>
                <w:b/>
                <w:bCs/>
                <w:color w:val="000000" w:themeColor="text1"/>
                <w:lang w:val="fr-FR"/>
              </w:rPr>
              <w:t>Pilier IV</w:t>
            </w:r>
            <w:r w:rsidR="00FA3AC3">
              <w:rPr>
                <w:rFonts w:cstheme="minorHAnsi"/>
                <w:b/>
                <w:bCs/>
                <w:color w:val="000000" w:themeColor="text1"/>
                <w:lang w:val="fr-FR"/>
              </w:rPr>
              <w:t>.</w:t>
            </w:r>
            <w:r w:rsidR="00190E9F">
              <w:rPr>
                <w:rFonts w:cstheme="minorHAnsi"/>
                <w:b/>
                <w:bCs/>
                <w:color w:val="000000" w:themeColor="text1"/>
                <w:lang w:val="fr-FR"/>
              </w:rPr>
              <w:t xml:space="preserve"> Aménagement du territoire, reconstruction et modernisation d’infrastructures</w:t>
            </w:r>
            <w:r w:rsidR="00990E38">
              <w:rPr>
                <w:rFonts w:cstheme="minorHAnsi"/>
                <w:b/>
                <w:bCs/>
                <w:color w:val="000000" w:themeColor="text1"/>
                <w:lang w:val="fr-FR"/>
              </w:rPr>
              <w:t xml:space="preserve">. </w:t>
            </w:r>
          </w:p>
          <w:p w14:paraId="46F2FAE9" w14:textId="04727D65" w:rsidR="00652A83" w:rsidRDefault="00990E38" w:rsidP="007B3426">
            <w:pPr>
              <w:spacing w:before="40" w:after="40"/>
              <w:jc w:val="both"/>
              <w:rPr>
                <w:rFonts w:cstheme="minorHAnsi"/>
                <w:color w:val="000000" w:themeColor="text1"/>
                <w:lang w:val="fr-FR"/>
              </w:rPr>
            </w:pPr>
            <w:r>
              <w:rPr>
                <w:rFonts w:cstheme="minorHAnsi"/>
                <w:b/>
                <w:bCs/>
                <w:color w:val="000000" w:themeColor="text1"/>
                <w:lang w:val="fr-FR"/>
              </w:rPr>
              <w:t>Objectif</w:t>
            </w:r>
            <w:r w:rsidR="002C62A6">
              <w:rPr>
                <w:rFonts w:cstheme="minorHAnsi"/>
                <w:b/>
                <w:bCs/>
                <w:color w:val="000000" w:themeColor="text1"/>
                <w:lang w:val="fr-FR"/>
              </w:rPr>
              <w:t xml:space="preserve"> sectoriel </w:t>
            </w:r>
            <w:r>
              <w:rPr>
                <w:rFonts w:cstheme="minorHAnsi"/>
                <w:b/>
                <w:bCs/>
                <w:color w:val="000000" w:themeColor="text1"/>
                <w:lang w:val="fr-FR"/>
              </w:rPr>
              <w:t xml:space="preserve">D.1 n. </w:t>
            </w:r>
            <w:r w:rsidR="007B3426">
              <w:rPr>
                <w:rFonts w:cstheme="minorHAnsi"/>
                <w:b/>
                <w:bCs/>
                <w:color w:val="000000" w:themeColor="text1"/>
                <w:lang w:val="fr-FR"/>
              </w:rPr>
              <w:t>1 :</w:t>
            </w:r>
            <w:r w:rsidR="00291AFE">
              <w:rPr>
                <w:rFonts w:cstheme="minorHAnsi"/>
                <w:color w:val="000000" w:themeColor="text1"/>
                <w:lang w:val="fr-FR"/>
              </w:rPr>
              <w:t xml:space="preserve"> </w:t>
            </w:r>
            <w:r w:rsidR="00291AFE" w:rsidRPr="00291AFE">
              <w:rPr>
                <w:rFonts w:cstheme="minorHAnsi"/>
                <w:color w:val="000000" w:themeColor="text1"/>
                <w:lang w:val="fr-FR"/>
              </w:rPr>
              <w:t>Renforcer les capacités institutionnelles du MATRV</w:t>
            </w:r>
            <w:r w:rsidR="002C62A6">
              <w:rPr>
                <w:rFonts w:cstheme="minorHAnsi"/>
                <w:color w:val="000000" w:themeColor="text1"/>
                <w:lang w:val="fr-FR"/>
              </w:rPr>
              <w:t xml:space="preserve">. </w:t>
            </w:r>
          </w:p>
          <w:p w14:paraId="20E68912" w14:textId="1073D65A" w:rsidR="005F0A8F" w:rsidRPr="007B3426" w:rsidRDefault="002C62A6" w:rsidP="007B3426">
            <w:pPr>
              <w:spacing w:before="40" w:after="40"/>
              <w:jc w:val="both"/>
              <w:rPr>
                <w:rFonts w:cstheme="minorHAnsi"/>
                <w:color w:val="000000" w:themeColor="text1"/>
                <w:lang w:val="fr-FR"/>
              </w:rPr>
            </w:pPr>
            <w:r>
              <w:rPr>
                <w:rFonts w:cstheme="minorHAnsi"/>
                <w:b/>
                <w:bCs/>
                <w:color w:val="000000" w:themeColor="text1"/>
                <w:lang w:val="fr-FR"/>
              </w:rPr>
              <w:t>Objectif sectoriel D.1 n. 2</w:t>
            </w:r>
            <w:r w:rsidR="00F06506">
              <w:rPr>
                <w:rFonts w:cstheme="minorHAnsi"/>
                <w:b/>
                <w:bCs/>
                <w:color w:val="000000" w:themeColor="text1"/>
                <w:lang w:val="fr-FR"/>
              </w:rPr>
              <w:t> :</w:t>
            </w:r>
            <w:r w:rsidR="00F06506">
              <w:rPr>
                <w:rFonts w:cstheme="minorHAnsi"/>
                <w:color w:val="000000" w:themeColor="text1"/>
                <w:lang w:val="fr-FR"/>
              </w:rPr>
              <w:t xml:space="preserve"> Doter le pays des cadres légaux et règlementaires ainsi que des outils</w:t>
            </w:r>
            <w:r w:rsidR="007B3426">
              <w:rPr>
                <w:rFonts w:cstheme="minorHAnsi"/>
                <w:color w:val="000000" w:themeColor="text1"/>
                <w:lang w:val="fr-FR"/>
              </w:rPr>
              <w:t xml:space="preserve"> de planification dans le domaine de l’aménagement du territoire.</w:t>
            </w:r>
          </w:p>
        </w:tc>
      </w:tr>
      <w:tr w:rsidR="008B7599" w:rsidRPr="00400A5A" w14:paraId="5882976B" w14:textId="77777777" w:rsidTr="00035CD5">
        <w:trPr>
          <w:trHeight w:val="179"/>
        </w:trPr>
        <w:tc>
          <w:tcPr>
            <w:tcW w:w="3258" w:type="dxa"/>
          </w:tcPr>
          <w:p w14:paraId="630A3EC5" w14:textId="09F3446B" w:rsidR="008B7599" w:rsidRPr="005F3E07" w:rsidRDefault="00936D9F" w:rsidP="003E3799">
            <w:pPr>
              <w:spacing w:before="40" w:after="40"/>
              <w:rPr>
                <w:rFonts w:cstheme="minorHAnsi"/>
                <w:b/>
                <w:bCs/>
                <w:iCs/>
                <w:color w:val="000000" w:themeColor="text1"/>
                <w:lang w:val="fr-FR"/>
              </w:rPr>
            </w:pPr>
            <w:r w:rsidRPr="005F3E07">
              <w:rPr>
                <w:rFonts w:cstheme="minorHAnsi"/>
                <w:b/>
                <w:bCs/>
                <w:iCs/>
                <w:color w:val="000000" w:themeColor="text1"/>
                <w:lang w:val="fr-FR"/>
              </w:rPr>
              <w:t xml:space="preserve">Objectif de la </w:t>
            </w:r>
            <w:r w:rsidRPr="005F3E07">
              <w:rPr>
                <w:rFonts w:cstheme="minorHAnsi"/>
                <w:b/>
                <w:iCs/>
                <w:color w:val="000000" w:themeColor="text1"/>
                <w:lang w:val="fr-FR"/>
              </w:rPr>
              <w:t>Stratégie Cadre Nationale REDD+</w:t>
            </w:r>
          </w:p>
        </w:tc>
        <w:tc>
          <w:tcPr>
            <w:tcW w:w="6189" w:type="dxa"/>
            <w:gridSpan w:val="2"/>
          </w:tcPr>
          <w:p w14:paraId="1B16E602" w14:textId="57FA7EA2" w:rsidR="008B7599" w:rsidRPr="005F3E07" w:rsidRDefault="00584BFB" w:rsidP="003E3799">
            <w:pPr>
              <w:spacing w:before="40" w:after="40"/>
              <w:rPr>
                <w:rFonts w:cstheme="minorHAnsi"/>
                <w:color w:val="000000" w:themeColor="text1"/>
                <w:lang w:val="fr-FR"/>
              </w:rPr>
            </w:pPr>
            <w:r w:rsidRPr="00584BFB">
              <w:rPr>
                <w:rFonts w:cstheme="minorHAnsi"/>
                <w:b/>
                <w:bCs/>
                <w:color w:val="000000" w:themeColor="text1"/>
                <w:lang w:val="fr-FR"/>
              </w:rPr>
              <w:t>Objectif 5</w:t>
            </w:r>
            <w:r w:rsidR="00BE6936">
              <w:rPr>
                <w:rFonts w:cstheme="minorHAnsi"/>
                <w:b/>
                <w:bCs/>
                <w:color w:val="000000" w:themeColor="text1"/>
                <w:lang w:val="fr-FR"/>
              </w:rPr>
              <w:t> :</w:t>
            </w:r>
            <w:r w:rsidRPr="00584BFB">
              <w:rPr>
                <w:rFonts w:cstheme="minorHAnsi"/>
                <w:color w:val="000000" w:themeColor="text1"/>
                <w:lang w:val="fr-FR"/>
              </w:rPr>
              <w:t xml:space="preserve"> </w:t>
            </w:r>
            <w:r w:rsidR="001745D2" w:rsidRPr="00584BFB">
              <w:rPr>
                <w:rFonts w:cstheme="minorHAnsi"/>
                <w:color w:val="000000" w:themeColor="text1"/>
                <w:lang w:val="fr-FR"/>
              </w:rPr>
              <w:t>Élaborer</w:t>
            </w:r>
            <w:r w:rsidRPr="00584BFB">
              <w:rPr>
                <w:rFonts w:cstheme="minorHAnsi"/>
                <w:color w:val="000000" w:themeColor="text1"/>
                <w:lang w:val="fr-FR"/>
              </w:rPr>
              <w:t xml:space="preserve"> et mettre en œuvre, de </w:t>
            </w:r>
            <w:r w:rsidR="001745D2" w:rsidRPr="00584BFB">
              <w:rPr>
                <w:rFonts w:cstheme="minorHAnsi"/>
                <w:color w:val="000000" w:themeColor="text1"/>
                <w:lang w:val="fr-FR"/>
              </w:rPr>
              <w:t>manière</w:t>
            </w:r>
            <w:r w:rsidRPr="00584BFB">
              <w:rPr>
                <w:rFonts w:cstheme="minorHAnsi"/>
                <w:color w:val="000000" w:themeColor="text1"/>
                <w:lang w:val="fr-FR"/>
              </w:rPr>
              <w:t xml:space="preserve"> participative et transparente, une politique d’</w:t>
            </w:r>
            <w:r w:rsidR="001745D2" w:rsidRPr="00584BFB">
              <w:rPr>
                <w:rFonts w:cstheme="minorHAnsi"/>
                <w:color w:val="000000" w:themeColor="text1"/>
                <w:lang w:val="fr-FR"/>
              </w:rPr>
              <w:t>aménagement</w:t>
            </w:r>
            <w:r w:rsidRPr="00584BFB">
              <w:rPr>
                <w:rFonts w:cstheme="minorHAnsi"/>
                <w:color w:val="000000" w:themeColor="text1"/>
                <w:lang w:val="fr-FR"/>
              </w:rPr>
              <w:t xml:space="preserve"> du territoire organisant et optimisant l’utilisation des terres et des ressources </w:t>
            </w:r>
            <w:r w:rsidR="00744E08" w:rsidRPr="00584BFB">
              <w:rPr>
                <w:rFonts w:cstheme="minorHAnsi"/>
                <w:color w:val="000000" w:themeColor="text1"/>
                <w:lang w:val="fr-FR"/>
              </w:rPr>
              <w:t>forestières</w:t>
            </w:r>
            <w:r w:rsidRPr="00584BFB">
              <w:rPr>
                <w:rFonts w:cstheme="minorHAnsi"/>
                <w:color w:val="000000" w:themeColor="text1"/>
                <w:lang w:val="fr-FR"/>
              </w:rPr>
              <w:t xml:space="preserve"> par les divers secteurs de l’</w:t>
            </w:r>
            <w:r w:rsidR="00744E08" w:rsidRPr="00584BFB">
              <w:rPr>
                <w:rFonts w:cstheme="minorHAnsi"/>
                <w:color w:val="000000" w:themeColor="text1"/>
                <w:lang w:val="fr-FR"/>
              </w:rPr>
              <w:t>économie</w:t>
            </w:r>
            <w:r w:rsidRPr="00584BFB">
              <w:rPr>
                <w:rFonts w:cstheme="minorHAnsi"/>
                <w:color w:val="000000" w:themeColor="text1"/>
                <w:lang w:val="fr-FR"/>
              </w:rPr>
              <w:t xml:space="preserve"> nationale dans le respect des droits reconnus par le </w:t>
            </w:r>
            <w:r w:rsidR="00890194" w:rsidRPr="00584BFB">
              <w:rPr>
                <w:rFonts w:cstheme="minorHAnsi"/>
                <w:color w:val="000000" w:themeColor="text1"/>
                <w:lang w:val="fr-FR"/>
              </w:rPr>
              <w:t>système</w:t>
            </w:r>
            <w:r w:rsidRPr="00584BFB">
              <w:rPr>
                <w:rFonts w:cstheme="minorHAnsi"/>
                <w:color w:val="000000" w:themeColor="text1"/>
                <w:lang w:val="fr-FR"/>
              </w:rPr>
              <w:t xml:space="preserve"> </w:t>
            </w:r>
            <w:r w:rsidR="00890194" w:rsidRPr="00584BFB">
              <w:rPr>
                <w:rFonts w:cstheme="minorHAnsi"/>
                <w:color w:val="000000" w:themeColor="text1"/>
                <w:lang w:val="fr-FR"/>
              </w:rPr>
              <w:t>légal</w:t>
            </w:r>
            <w:r w:rsidRPr="00584BFB">
              <w:rPr>
                <w:rFonts w:cstheme="minorHAnsi"/>
                <w:color w:val="000000" w:themeColor="text1"/>
                <w:lang w:val="fr-FR"/>
              </w:rPr>
              <w:t xml:space="preserve"> de la RDC, afin d’en </w:t>
            </w:r>
            <w:r w:rsidR="00890194" w:rsidRPr="00584BFB">
              <w:rPr>
                <w:rFonts w:cstheme="minorHAnsi"/>
                <w:color w:val="000000" w:themeColor="text1"/>
                <w:lang w:val="fr-FR"/>
              </w:rPr>
              <w:t>réduire</w:t>
            </w:r>
            <w:r w:rsidRPr="00584BFB">
              <w:rPr>
                <w:rFonts w:cstheme="minorHAnsi"/>
                <w:color w:val="000000" w:themeColor="text1"/>
                <w:lang w:val="fr-FR"/>
              </w:rPr>
              <w:t xml:space="preserve"> l’impact sur les </w:t>
            </w:r>
            <w:r w:rsidR="00890194" w:rsidRPr="00584BFB">
              <w:rPr>
                <w:rFonts w:cstheme="minorHAnsi"/>
                <w:color w:val="000000" w:themeColor="text1"/>
                <w:lang w:val="fr-FR"/>
              </w:rPr>
              <w:t>forêts</w:t>
            </w:r>
            <w:r w:rsidRPr="00584BFB">
              <w:rPr>
                <w:rFonts w:cstheme="minorHAnsi"/>
                <w:color w:val="000000" w:themeColor="text1"/>
                <w:lang w:val="fr-FR"/>
              </w:rPr>
              <w:t xml:space="preserve">, de </w:t>
            </w:r>
            <w:r w:rsidR="00890194" w:rsidRPr="00584BFB">
              <w:rPr>
                <w:rFonts w:cstheme="minorHAnsi"/>
                <w:color w:val="000000" w:themeColor="text1"/>
                <w:lang w:val="fr-FR"/>
              </w:rPr>
              <w:t>réduire</w:t>
            </w:r>
            <w:r w:rsidRPr="00584BFB">
              <w:rPr>
                <w:rFonts w:cstheme="minorHAnsi"/>
                <w:color w:val="000000" w:themeColor="text1"/>
                <w:lang w:val="fr-FR"/>
              </w:rPr>
              <w:t xml:space="preserve"> les conflits et d’assurer le </w:t>
            </w:r>
            <w:r w:rsidR="00890194" w:rsidRPr="00584BFB">
              <w:rPr>
                <w:rFonts w:cstheme="minorHAnsi"/>
                <w:color w:val="000000" w:themeColor="text1"/>
                <w:lang w:val="fr-FR"/>
              </w:rPr>
              <w:t>développement</w:t>
            </w:r>
            <w:r w:rsidRPr="00584BFB">
              <w:rPr>
                <w:rFonts w:cstheme="minorHAnsi"/>
                <w:color w:val="000000" w:themeColor="text1"/>
                <w:lang w:val="fr-FR"/>
              </w:rPr>
              <w:t xml:space="preserve"> durable au niveau national et local</w:t>
            </w:r>
            <w:r w:rsidR="00A730BB" w:rsidRPr="005F3E07">
              <w:rPr>
                <w:rFonts w:cstheme="minorHAnsi"/>
                <w:color w:val="000000" w:themeColor="text1"/>
                <w:lang w:val="fr-FR"/>
              </w:rPr>
              <w:t>.</w:t>
            </w:r>
          </w:p>
        </w:tc>
      </w:tr>
      <w:tr w:rsidR="0095312F" w:rsidRPr="00400A5A" w14:paraId="644BAECC" w14:textId="77777777" w:rsidTr="00035CD5">
        <w:trPr>
          <w:trHeight w:val="179"/>
        </w:trPr>
        <w:tc>
          <w:tcPr>
            <w:tcW w:w="3258" w:type="dxa"/>
          </w:tcPr>
          <w:p w14:paraId="0ACAF3B1" w14:textId="6CC8CB53" w:rsidR="0095312F" w:rsidRPr="005F3E07" w:rsidRDefault="0095312F" w:rsidP="003E3799">
            <w:pPr>
              <w:spacing w:before="40" w:after="40"/>
              <w:rPr>
                <w:rFonts w:cstheme="minorHAnsi"/>
                <w:b/>
                <w:bCs/>
                <w:iCs/>
                <w:color w:val="000000" w:themeColor="text1"/>
                <w:lang w:val="fr-FR"/>
              </w:rPr>
            </w:pPr>
            <w:r w:rsidRPr="005F3E07">
              <w:rPr>
                <w:rFonts w:cstheme="minorHAnsi"/>
                <w:b/>
                <w:bCs/>
                <w:iCs/>
                <w:color w:val="000000" w:themeColor="text1"/>
                <w:lang w:val="fr-FR"/>
              </w:rPr>
              <w:t xml:space="preserve">Effet </w:t>
            </w:r>
            <w:r w:rsidRPr="0095312F">
              <w:rPr>
                <w:rFonts w:cstheme="minorHAnsi"/>
                <w:b/>
                <w:bCs/>
                <w:color w:val="000000" w:themeColor="text1"/>
                <w:lang w:val="fr-FR"/>
              </w:rPr>
              <w:t>du Plan d’Investissement REDD+</w:t>
            </w:r>
            <w:r w:rsidR="00F30069" w:rsidRPr="005F3E07">
              <w:rPr>
                <w:rFonts w:cstheme="minorHAnsi"/>
                <w:b/>
                <w:bCs/>
                <w:color w:val="000000" w:themeColor="text1"/>
                <w:lang w:val="fr-FR"/>
              </w:rPr>
              <w:t xml:space="preserve"> :</w:t>
            </w:r>
          </w:p>
        </w:tc>
        <w:tc>
          <w:tcPr>
            <w:tcW w:w="6189" w:type="dxa"/>
            <w:gridSpan w:val="2"/>
          </w:tcPr>
          <w:p w14:paraId="26F3713B" w14:textId="590DEA38" w:rsidR="0095312F" w:rsidRPr="005F3E07" w:rsidRDefault="00722F8F" w:rsidP="003E3799">
            <w:pPr>
              <w:spacing w:before="40" w:after="40"/>
              <w:rPr>
                <w:rFonts w:cstheme="minorHAnsi"/>
                <w:color w:val="000000" w:themeColor="text1"/>
                <w:lang w:val="fr-FR"/>
              </w:rPr>
            </w:pPr>
            <w:r w:rsidRPr="00BE6936">
              <w:rPr>
                <w:rFonts w:cstheme="minorHAnsi"/>
                <w:b/>
                <w:bCs/>
                <w:color w:val="000000" w:themeColor="text1"/>
                <w:lang w:val="fr-FR"/>
              </w:rPr>
              <w:t xml:space="preserve">Effet </w:t>
            </w:r>
            <w:r w:rsidR="002C413D" w:rsidRPr="0095312F">
              <w:rPr>
                <w:rFonts w:cstheme="minorHAnsi"/>
                <w:b/>
                <w:bCs/>
                <w:color w:val="000000" w:themeColor="text1"/>
                <w:lang w:val="fr-FR"/>
              </w:rPr>
              <w:t>5 :</w:t>
            </w:r>
            <w:r w:rsidR="00F30069" w:rsidRPr="005F3E07">
              <w:rPr>
                <w:rFonts w:cstheme="minorHAnsi"/>
                <w:color w:val="000000" w:themeColor="text1"/>
                <w:lang w:val="fr-FR"/>
              </w:rPr>
              <w:t xml:space="preserve"> </w:t>
            </w:r>
            <w:r w:rsidR="0095312F" w:rsidRPr="0095312F">
              <w:rPr>
                <w:rFonts w:cstheme="minorHAnsi"/>
                <w:color w:val="000000" w:themeColor="text1"/>
                <w:lang w:val="fr-FR"/>
              </w:rPr>
              <w:t xml:space="preserve">Les </w:t>
            </w:r>
            <w:r w:rsidR="00890194" w:rsidRPr="0095312F">
              <w:rPr>
                <w:rFonts w:cstheme="minorHAnsi"/>
                <w:color w:val="000000" w:themeColor="text1"/>
                <w:lang w:val="fr-FR"/>
              </w:rPr>
              <w:t>activités</w:t>
            </w:r>
            <w:r w:rsidR="0095312F" w:rsidRPr="0095312F">
              <w:rPr>
                <w:rFonts w:cstheme="minorHAnsi"/>
                <w:color w:val="000000" w:themeColor="text1"/>
                <w:lang w:val="fr-FR"/>
              </w:rPr>
              <w:t xml:space="preserve"> humaines sont mieux </w:t>
            </w:r>
            <w:r w:rsidR="00890194" w:rsidRPr="0095312F">
              <w:rPr>
                <w:rFonts w:cstheme="minorHAnsi"/>
                <w:color w:val="000000" w:themeColor="text1"/>
                <w:lang w:val="fr-FR"/>
              </w:rPr>
              <w:t>planifiées</w:t>
            </w:r>
            <w:r w:rsidR="0095312F" w:rsidRPr="0095312F">
              <w:rPr>
                <w:rFonts w:cstheme="minorHAnsi"/>
                <w:color w:val="000000" w:themeColor="text1"/>
                <w:lang w:val="fr-FR"/>
              </w:rPr>
              <w:t xml:space="preserve"> permettant une optimisation de l’utilisation de l’espace et une diminution de l’impact sur </w:t>
            </w:r>
            <w:r w:rsidR="00547D9C" w:rsidRPr="0095312F">
              <w:rPr>
                <w:rFonts w:cstheme="minorHAnsi"/>
                <w:color w:val="000000" w:themeColor="text1"/>
                <w:lang w:val="fr-FR"/>
              </w:rPr>
              <w:t>le foret</w:t>
            </w:r>
            <w:r w:rsidR="0095312F" w:rsidRPr="0095312F">
              <w:rPr>
                <w:rFonts w:cstheme="minorHAnsi"/>
                <w:color w:val="000000" w:themeColor="text1"/>
                <w:lang w:val="fr-FR"/>
              </w:rPr>
              <w:t xml:space="preserve">. </w:t>
            </w:r>
          </w:p>
        </w:tc>
      </w:tr>
      <w:tr w:rsidR="009F283E" w:rsidRPr="00400A5A" w14:paraId="48F724F3" w14:textId="77777777" w:rsidTr="00B75D93">
        <w:tc>
          <w:tcPr>
            <w:tcW w:w="9447" w:type="dxa"/>
            <w:gridSpan w:val="3"/>
            <w:tcBorders>
              <w:bottom w:val="single" w:sz="6" w:space="0" w:color="auto"/>
            </w:tcBorders>
            <w:shd w:val="clear" w:color="auto" w:fill="4472C4" w:themeFill="accent1"/>
          </w:tcPr>
          <w:p w14:paraId="2C7CC0A4" w14:textId="77777777" w:rsidR="009F283E" w:rsidRPr="005F3E07" w:rsidRDefault="009F283E" w:rsidP="003E3799">
            <w:pPr>
              <w:spacing w:before="120" w:after="120"/>
              <w:jc w:val="center"/>
              <w:rPr>
                <w:rFonts w:cstheme="minorHAnsi"/>
                <w:b/>
                <w:bCs/>
                <w:color w:val="000000" w:themeColor="text1"/>
                <w:lang w:val="fr-FR"/>
              </w:rPr>
            </w:pPr>
            <w:r w:rsidRPr="00B75D93">
              <w:rPr>
                <w:rFonts w:cstheme="minorHAnsi"/>
                <w:b/>
                <w:bCs/>
                <w:color w:val="FFFFFF" w:themeColor="background1"/>
                <w:lang w:val="fr-FR"/>
              </w:rPr>
              <w:t>Détails du programme</w:t>
            </w:r>
          </w:p>
        </w:tc>
      </w:tr>
      <w:tr w:rsidR="009F283E" w:rsidRPr="00400A5A" w14:paraId="23475F5C" w14:textId="77777777" w:rsidTr="00035CD5">
        <w:trPr>
          <w:trHeight w:val="282"/>
        </w:trPr>
        <w:tc>
          <w:tcPr>
            <w:tcW w:w="3258" w:type="dxa"/>
            <w:tcBorders>
              <w:top w:val="single" w:sz="6" w:space="0" w:color="auto"/>
              <w:left w:val="single" w:sz="6" w:space="0" w:color="auto"/>
              <w:bottom w:val="single" w:sz="6" w:space="0" w:color="auto"/>
            </w:tcBorders>
          </w:tcPr>
          <w:p w14:paraId="4C516228" w14:textId="77777777" w:rsidR="009F283E" w:rsidRPr="005F3E07" w:rsidRDefault="009F283E" w:rsidP="003E3799">
            <w:pPr>
              <w:spacing w:before="40" w:after="40"/>
              <w:rPr>
                <w:rFonts w:cstheme="minorHAnsi"/>
                <w:b/>
                <w:bCs/>
                <w:color w:val="000000" w:themeColor="text1"/>
                <w:lang w:val="fr-FR"/>
              </w:rPr>
            </w:pPr>
            <w:r w:rsidRPr="005F3E07">
              <w:rPr>
                <w:rFonts w:cstheme="minorHAnsi"/>
                <w:b/>
                <w:bCs/>
                <w:color w:val="000000" w:themeColor="text1"/>
                <w:lang w:val="fr-FR"/>
              </w:rPr>
              <w:t xml:space="preserve">Durée : </w:t>
            </w:r>
            <w:r w:rsidRPr="005F3E07">
              <w:rPr>
                <w:rFonts w:cstheme="minorHAnsi"/>
                <w:color w:val="000000" w:themeColor="text1"/>
                <w:lang w:val="fr-FR"/>
              </w:rPr>
              <w:t>48 mois</w:t>
            </w:r>
          </w:p>
        </w:tc>
        <w:tc>
          <w:tcPr>
            <w:tcW w:w="2562" w:type="dxa"/>
            <w:tcBorders>
              <w:top w:val="single" w:sz="6" w:space="0" w:color="auto"/>
              <w:bottom w:val="single" w:sz="6" w:space="0" w:color="auto"/>
            </w:tcBorders>
          </w:tcPr>
          <w:p w14:paraId="692F773D" w14:textId="1270AF40" w:rsidR="009F283E" w:rsidRPr="005F3E07" w:rsidRDefault="009F283E" w:rsidP="003E3799">
            <w:pPr>
              <w:spacing w:before="40" w:after="40"/>
              <w:rPr>
                <w:rFonts w:cstheme="minorHAnsi"/>
                <w:color w:val="000000" w:themeColor="text1"/>
                <w:lang w:val="fr-FR"/>
              </w:rPr>
            </w:pPr>
            <w:r w:rsidRPr="005F3E07">
              <w:rPr>
                <w:rFonts w:cstheme="minorHAnsi"/>
                <w:b/>
                <w:i/>
                <w:color w:val="000000" w:themeColor="text1"/>
                <w:lang w:val="fr-FR"/>
              </w:rPr>
              <w:t xml:space="preserve">Date de démarrage </w:t>
            </w:r>
            <w:r w:rsidR="007F7FF6" w:rsidRPr="005F3E07">
              <w:rPr>
                <w:rFonts w:cstheme="minorHAnsi"/>
                <w:bCs/>
                <w:i/>
                <w:color w:val="000000" w:themeColor="text1"/>
                <w:lang w:val="fr-FR"/>
              </w:rPr>
              <w:t>(</w:t>
            </w:r>
            <w:r w:rsidRPr="005F3E07">
              <w:rPr>
                <w:rFonts w:cstheme="minorHAnsi"/>
                <w:bCs/>
                <w:i/>
                <w:color w:val="000000" w:themeColor="text1"/>
                <w:lang w:val="fr-FR"/>
              </w:rPr>
              <w:t>effectif</w:t>
            </w:r>
            <w:r w:rsidR="007F7FF6" w:rsidRPr="005F3E07">
              <w:rPr>
                <w:rFonts w:cstheme="minorHAnsi"/>
                <w:bCs/>
                <w:i/>
                <w:color w:val="000000" w:themeColor="text1"/>
                <w:lang w:val="fr-FR"/>
              </w:rPr>
              <w:t>)</w:t>
            </w:r>
            <w:r w:rsidRPr="005F3E07">
              <w:rPr>
                <w:rFonts w:cstheme="minorHAnsi"/>
                <w:b/>
                <w:i/>
                <w:color w:val="000000" w:themeColor="text1"/>
                <w:lang w:val="fr-FR"/>
              </w:rPr>
              <w:t xml:space="preserve"> :</w:t>
            </w:r>
            <w:r w:rsidRPr="005F3E07">
              <w:rPr>
                <w:rFonts w:cstheme="minorHAnsi"/>
                <w:color w:val="000000" w:themeColor="text1"/>
                <w:lang w:val="fr-FR"/>
              </w:rPr>
              <w:t xml:space="preserve"> </w:t>
            </w:r>
            <w:r w:rsidRPr="00195065">
              <w:rPr>
                <w:rFonts w:cstheme="minorHAnsi"/>
                <w:bCs/>
                <w:color w:val="000000" w:themeColor="text1"/>
                <w:lang w:val="fr-FR"/>
              </w:rPr>
              <w:t>15/05/2017</w:t>
            </w:r>
          </w:p>
        </w:tc>
        <w:tc>
          <w:tcPr>
            <w:tcW w:w="3627" w:type="dxa"/>
            <w:tcBorders>
              <w:top w:val="single" w:sz="6" w:space="0" w:color="auto"/>
              <w:bottom w:val="single" w:sz="6" w:space="0" w:color="auto"/>
              <w:right w:val="single" w:sz="6" w:space="0" w:color="auto"/>
            </w:tcBorders>
          </w:tcPr>
          <w:p w14:paraId="5CFE4FC7" w14:textId="77777777" w:rsidR="009F283E" w:rsidRPr="005F3E07" w:rsidRDefault="009F283E" w:rsidP="003E3799">
            <w:pPr>
              <w:spacing w:before="40" w:after="40"/>
              <w:rPr>
                <w:rFonts w:cstheme="minorHAnsi"/>
                <w:bCs/>
                <w:color w:val="000000" w:themeColor="text1"/>
                <w:lang w:val="fr-FR"/>
              </w:rPr>
            </w:pPr>
            <w:r w:rsidRPr="005F3E07">
              <w:rPr>
                <w:rFonts w:cstheme="minorHAnsi"/>
                <w:b/>
                <w:bCs/>
                <w:i/>
                <w:color w:val="000000" w:themeColor="text1"/>
                <w:lang w:val="fr-FR"/>
              </w:rPr>
              <w:t>Date de clôture prévue :</w:t>
            </w:r>
            <w:r w:rsidRPr="005F3E07">
              <w:rPr>
                <w:rFonts w:cstheme="minorHAnsi"/>
                <w:bCs/>
                <w:color w:val="000000" w:themeColor="text1"/>
                <w:lang w:val="fr-FR"/>
              </w:rPr>
              <w:t xml:space="preserve"> </w:t>
            </w:r>
            <w:r w:rsidRPr="00195065">
              <w:rPr>
                <w:rFonts w:cstheme="minorHAnsi"/>
                <w:color w:val="000000" w:themeColor="text1"/>
                <w:lang w:val="fr-FR"/>
              </w:rPr>
              <w:t>18/04/2021</w:t>
            </w:r>
          </w:p>
        </w:tc>
      </w:tr>
      <w:tr w:rsidR="009F283E" w:rsidRPr="00400A5A" w14:paraId="53CF97DF" w14:textId="77777777" w:rsidTr="00035CD5">
        <w:trPr>
          <w:trHeight w:val="282"/>
        </w:trPr>
        <w:tc>
          <w:tcPr>
            <w:tcW w:w="3258" w:type="dxa"/>
            <w:tcBorders>
              <w:top w:val="single" w:sz="6" w:space="0" w:color="auto"/>
            </w:tcBorders>
          </w:tcPr>
          <w:p w14:paraId="04220CA4" w14:textId="77777777" w:rsidR="009F283E" w:rsidRPr="005F3E07" w:rsidRDefault="009F283E" w:rsidP="003E3799">
            <w:pPr>
              <w:spacing w:before="40" w:after="40"/>
              <w:rPr>
                <w:rFonts w:cstheme="minorHAnsi"/>
                <w:b/>
                <w:bCs/>
                <w:color w:val="000000" w:themeColor="text1"/>
                <w:lang w:val="fr-FR"/>
              </w:rPr>
            </w:pPr>
            <w:r w:rsidRPr="005F3E07">
              <w:rPr>
                <w:rFonts w:cstheme="minorHAnsi"/>
                <w:b/>
                <w:bCs/>
                <w:color w:val="000000" w:themeColor="text1"/>
                <w:lang w:val="fr-FR"/>
              </w:rPr>
              <w:t>Agence exécutrice :</w:t>
            </w:r>
          </w:p>
        </w:tc>
        <w:tc>
          <w:tcPr>
            <w:tcW w:w="6189" w:type="dxa"/>
            <w:gridSpan w:val="2"/>
            <w:tcBorders>
              <w:top w:val="single" w:sz="6" w:space="0" w:color="auto"/>
            </w:tcBorders>
          </w:tcPr>
          <w:p w14:paraId="294B963E" w14:textId="3FFC9D88" w:rsidR="009F283E" w:rsidRPr="005F3E07" w:rsidRDefault="0014620C" w:rsidP="003E3799">
            <w:pPr>
              <w:rPr>
                <w:rFonts w:cstheme="minorHAnsi"/>
                <w:bCs/>
                <w:color w:val="000000" w:themeColor="text1"/>
                <w:lang w:val="fr-FR"/>
              </w:rPr>
            </w:pPr>
            <w:r w:rsidRPr="005F3E07">
              <w:rPr>
                <w:rFonts w:cstheme="minorHAnsi"/>
                <w:bCs/>
                <w:color w:val="000000" w:themeColor="text1"/>
                <w:lang w:val="fr-FR"/>
              </w:rPr>
              <w:t>PNUD</w:t>
            </w:r>
          </w:p>
        </w:tc>
      </w:tr>
      <w:tr w:rsidR="009F283E" w:rsidRPr="00400A5A" w14:paraId="10FF3308" w14:textId="77777777" w:rsidTr="00035CD5">
        <w:trPr>
          <w:trHeight w:val="282"/>
        </w:trPr>
        <w:tc>
          <w:tcPr>
            <w:tcW w:w="3258" w:type="dxa"/>
          </w:tcPr>
          <w:p w14:paraId="5E022D90" w14:textId="77777777" w:rsidR="009F283E" w:rsidRPr="005F3E07" w:rsidRDefault="009F283E" w:rsidP="003E3799">
            <w:pPr>
              <w:spacing w:before="40" w:after="40"/>
              <w:rPr>
                <w:rFonts w:cstheme="minorHAnsi"/>
                <w:b/>
                <w:bCs/>
                <w:color w:val="000000" w:themeColor="text1"/>
                <w:lang w:val="fr-FR"/>
              </w:rPr>
            </w:pPr>
            <w:r w:rsidRPr="005F3E07">
              <w:rPr>
                <w:rFonts w:cstheme="minorHAnsi"/>
                <w:b/>
                <w:bCs/>
                <w:color w:val="000000" w:themeColor="text1"/>
                <w:lang w:val="fr-FR"/>
              </w:rPr>
              <w:t xml:space="preserve">Partenaires </w:t>
            </w:r>
            <w:r w:rsidRPr="005F3E07">
              <w:rPr>
                <w:rFonts w:cstheme="minorHAnsi"/>
                <w:b/>
                <w:color w:val="000000" w:themeColor="text1"/>
                <w:lang w:val="fr-FR"/>
              </w:rPr>
              <w:t>de mise en œuvre :</w:t>
            </w:r>
          </w:p>
        </w:tc>
        <w:tc>
          <w:tcPr>
            <w:tcW w:w="6189" w:type="dxa"/>
            <w:gridSpan w:val="2"/>
          </w:tcPr>
          <w:p w14:paraId="149AC834" w14:textId="375AF069" w:rsidR="009F283E" w:rsidRPr="005F3E07" w:rsidRDefault="009F283E" w:rsidP="003E3799">
            <w:pPr>
              <w:rPr>
                <w:rFonts w:cstheme="minorHAnsi"/>
                <w:bCs/>
                <w:color w:val="000000" w:themeColor="text1"/>
                <w:lang w:val="fr-FR"/>
              </w:rPr>
            </w:pPr>
            <w:r w:rsidRPr="005F3E07">
              <w:rPr>
                <w:rFonts w:cstheme="minorHAnsi"/>
                <w:bCs/>
                <w:color w:val="000000" w:themeColor="text1"/>
                <w:lang w:val="fr-FR"/>
              </w:rPr>
              <w:t>WRI</w:t>
            </w:r>
          </w:p>
        </w:tc>
      </w:tr>
      <w:tr w:rsidR="00450091" w:rsidRPr="00400A5A" w14:paraId="0B3D0B11" w14:textId="77777777" w:rsidTr="00035CD5">
        <w:trPr>
          <w:trHeight w:val="282"/>
        </w:trPr>
        <w:tc>
          <w:tcPr>
            <w:tcW w:w="3258" w:type="dxa"/>
          </w:tcPr>
          <w:p w14:paraId="46426ADB" w14:textId="454F79BD" w:rsidR="00450091" w:rsidRPr="005F3E07" w:rsidRDefault="00664A0F" w:rsidP="003E3799">
            <w:pPr>
              <w:spacing w:before="40" w:after="40"/>
              <w:rPr>
                <w:rFonts w:cstheme="minorHAnsi"/>
                <w:b/>
                <w:bCs/>
                <w:color w:val="000000" w:themeColor="text1"/>
                <w:lang w:val="fr-FR"/>
              </w:rPr>
            </w:pPr>
            <w:r w:rsidRPr="005F3E07">
              <w:rPr>
                <w:rFonts w:cstheme="minorHAnsi"/>
                <w:b/>
                <w:bCs/>
                <w:color w:val="000000" w:themeColor="text1"/>
                <w:lang w:val="fr-FR"/>
              </w:rPr>
              <w:t>Modalité de mise en œuvre :</w:t>
            </w:r>
          </w:p>
        </w:tc>
        <w:tc>
          <w:tcPr>
            <w:tcW w:w="6189" w:type="dxa"/>
            <w:gridSpan w:val="2"/>
          </w:tcPr>
          <w:p w14:paraId="7D0A326A" w14:textId="7E3E2896" w:rsidR="00450091" w:rsidRPr="005F3E07" w:rsidRDefault="00664A0F" w:rsidP="003E3799">
            <w:pPr>
              <w:rPr>
                <w:rFonts w:cstheme="minorHAnsi"/>
                <w:color w:val="000000" w:themeColor="text1"/>
                <w:lang w:val="fr-FR"/>
              </w:rPr>
            </w:pPr>
            <w:r w:rsidRPr="005F3E07">
              <w:rPr>
                <w:rFonts w:cstheme="minorHAnsi"/>
                <w:color w:val="000000" w:themeColor="text1"/>
                <w:lang w:val="fr-FR"/>
              </w:rPr>
              <w:t>DIM avec recrutem</w:t>
            </w:r>
            <w:r w:rsidR="00DB6E84" w:rsidRPr="005F3E07">
              <w:rPr>
                <w:rFonts w:cstheme="minorHAnsi"/>
                <w:color w:val="000000" w:themeColor="text1"/>
                <w:lang w:val="fr-FR"/>
              </w:rPr>
              <w:t>ent de firmes</w:t>
            </w:r>
            <w:r w:rsidR="00FE7546">
              <w:rPr>
                <w:rFonts w:cstheme="minorHAnsi"/>
                <w:color w:val="000000" w:themeColor="text1"/>
                <w:lang w:val="fr-FR"/>
              </w:rPr>
              <w:t xml:space="preserve"> </w:t>
            </w:r>
          </w:p>
        </w:tc>
      </w:tr>
      <w:tr w:rsidR="009F283E" w:rsidRPr="00400A5A" w14:paraId="35FD5DB4" w14:textId="77777777" w:rsidTr="00035CD5">
        <w:trPr>
          <w:trHeight w:val="282"/>
        </w:trPr>
        <w:tc>
          <w:tcPr>
            <w:tcW w:w="3258" w:type="dxa"/>
          </w:tcPr>
          <w:p w14:paraId="29557FF7" w14:textId="266AE384" w:rsidR="009F283E" w:rsidRPr="005F3E07" w:rsidRDefault="009F283E" w:rsidP="003E3799">
            <w:pPr>
              <w:spacing w:before="40" w:after="40"/>
              <w:rPr>
                <w:rFonts w:cstheme="minorHAnsi"/>
                <w:b/>
                <w:bCs/>
                <w:color w:val="000000" w:themeColor="text1"/>
                <w:lang w:val="fr-FR"/>
              </w:rPr>
            </w:pPr>
            <w:r w:rsidRPr="005F3E07">
              <w:rPr>
                <w:rFonts w:cstheme="minorHAnsi"/>
                <w:b/>
                <w:bCs/>
                <w:color w:val="000000" w:themeColor="text1"/>
                <w:lang w:val="fr-FR"/>
              </w:rPr>
              <w:t xml:space="preserve"> </w:t>
            </w:r>
            <w:r w:rsidR="00F55227">
              <w:rPr>
                <w:rFonts w:cstheme="minorHAnsi"/>
                <w:b/>
                <w:bCs/>
                <w:color w:val="000000" w:themeColor="text1"/>
                <w:lang w:val="fr-FR"/>
              </w:rPr>
              <w:t>B</w:t>
            </w:r>
            <w:r w:rsidRPr="005F3E07">
              <w:rPr>
                <w:rFonts w:cstheme="minorHAnsi"/>
                <w:b/>
                <w:bCs/>
                <w:color w:val="000000" w:themeColor="text1"/>
                <w:lang w:val="fr-FR"/>
              </w:rPr>
              <w:t>énéficiaires</w:t>
            </w:r>
            <w:r w:rsidR="00F55227">
              <w:rPr>
                <w:rFonts w:cstheme="minorHAnsi"/>
                <w:b/>
                <w:bCs/>
                <w:color w:val="000000" w:themeColor="text1"/>
                <w:lang w:val="fr-FR"/>
              </w:rPr>
              <w:t xml:space="preserve"> </w:t>
            </w:r>
            <w:r w:rsidR="00FD6AFE">
              <w:rPr>
                <w:rFonts w:cstheme="minorHAnsi"/>
                <w:b/>
                <w:bCs/>
                <w:color w:val="000000" w:themeColor="text1"/>
                <w:lang w:val="fr-FR"/>
              </w:rPr>
              <w:t>primaires</w:t>
            </w:r>
            <w:r w:rsidRPr="005F3E07">
              <w:rPr>
                <w:rFonts w:cstheme="minorHAnsi"/>
                <w:b/>
                <w:bCs/>
                <w:color w:val="000000" w:themeColor="text1"/>
                <w:lang w:val="fr-FR"/>
              </w:rPr>
              <w:t xml:space="preserve"> : </w:t>
            </w:r>
          </w:p>
        </w:tc>
        <w:tc>
          <w:tcPr>
            <w:tcW w:w="6189" w:type="dxa"/>
            <w:gridSpan w:val="2"/>
          </w:tcPr>
          <w:p w14:paraId="501AFA33" w14:textId="23CE292F" w:rsidR="009F283E" w:rsidRPr="005F3E07" w:rsidRDefault="00BF508B" w:rsidP="003E3799">
            <w:pPr>
              <w:rPr>
                <w:rFonts w:cstheme="minorHAnsi"/>
                <w:color w:val="000000" w:themeColor="text1"/>
                <w:lang w:val="fr-FR"/>
              </w:rPr>
            </w:pPr>
            <w:r>
              <w:rPr>
                <w:rFonts w:cstheme="minorHAnsi"/>
                <w:color w:val="000000" w:themeColor="text1"/>
                <w:lang w:val="fr-FR"/>
              </w:rPr>
              <w:t>MATUH</w:t>
            </w:r>
            <w:r w:rsidR="00FE7546">
              <w:rPr>
                <w:rFonts w:cstheme="minorHAnsi"/>
                <w:color w:val="000000" w:themeColor="text1"/>
                <w:lang w:val="fr-FR"/>
              </w:rPr>
              <w:t xml:space="preserve"> et puis </w:t>
            </w:r>
            <w:r w:rsidR="009F283E" w:rsidRPr="005F3E07">
              <w:rPr>
                <w:rFonts w:cstheme="minorHAnsi"/>
                <w:color w:val="000000" w:themeColor="text1"/>
                <w:lang w:val="fr-FR"/>
              </w:rPr>
              <w:t>MINAT</w:t>
            </w:r>
          </w:p>
        </w:tc>
      </w:tr>
      <w:tr w:rsidR="009F283E" w:rsidRPr="00400A5A" w14:paraId="3B730187" w14:textId="77777777" w:rsidTr="00035CD5">
        <w:trPr>
          <w:trHeight w:val="210"/>
        </w:trPr>
        <w:tc>
          <w:tcPr>
            <w:tcW w:w="3258" w:type="dxa"/>
          </w:tcPr>
          <w:p w14:paraId="5400A0CD" w14:textId="77777777" w:rsidR="009F283E" w:rsidRPr="005F3E07" w:rsidRDefault="009F283E" w:rsidP="003E3799">
            <w:pPr>
              <w:spacing w:before="40" w:after="40"/>
              <w:rPr>
                <w:rFonts w:cstheme="minorHAnsi"/>
                <w:b/>
                <w:iCs/>
                <w:color w:val="000000" w:themeColor="text1"/>
                <w:lang w:val="fr-FR"/>
              </w:rPr>
            </w:pPr>
            <w:r w:rsidRPr="005F3E07">
              <w:rPr>
                <w:rFonts w:cstheme="minorHAnsi"/>
                <w:b/>
                <w:iCs/>
                <w:color w:val="000000" w:themeColor="text1"/>
                <w:lang w:val="fr-FR"/>
              </w:rPr>
              <w:t xml:space="preserve"> Couverture géographique : </w:t>
            </w:r>
          </w:p>
        </w:tc>
        <w:tc>
          <w:tcPr>
            <w:tcW w:w="6189" w:type="dxa"/>
            <w:gridSpan w:val="2"/>
          </w:tcPr>
          <w:p w14:paraId="3725AD38" w14:textId="77777777" w:rsidR="009F283E" w:rsidRPr="005F3E07" w:rsidRDefault="009F283E" w:rsidP="003E3799">
            <w:pPr>
              <w:spacing w:before="40" w:after="40"/>
              <w:rPr>
                <w:rFonts w:cstheme="minorHAnsi"/>
                <w:bCs/>
                <w:color w:val="000000" w:themeColor="text1"/>
                <w:lang w:val="fr-FR"/>
              </w:rPr>
            </w:pPr>
            <w:r w:rsidRPr="005F3E07">
              <w:rPr>
                <w:rFonts w:cstheme="minorHAnsi"/>
                <w:bCs/>
                <w:color w:val="000000" w:themeColor="text1"/>
                <w:lang w:val="fr-FR"/>
              </w:rPr>
              <w:t>Nationale</w:t>
            </w:r>
          </w:p>
        </w:tc>
      </w:tr>
      <w:tr w:rsidR="009F283E" w:rsidRPr="00400A5A" w14:paraId="34E2E960" w14:textId="77777777" w:rsidTr="00B75D93">
        <w:tc>
          <w:tcPr>
            <w:tcW w:w="9447" w:type="dxa"/>
            <w:gridSpan w:val="3"/>
            <w:shd w:val="clear" w:color="auto" w:fill="4472C4" w:themeFill="accent1"/>
          </w:tcPr>
          <w:p w14:paraId="460E7D1F" w14:textId="77777777" w:rsidR="009F283E" w:rsidRPr="005F3E07" w:rsidRDefault="009F283E" w:rsidP="003E3799">
            <w:pPr>
              <w:spacing w:before="120" w:after="120"/>
              <w:jc w:val="center"/>
              <w:rPr>
                <w:rFonts w:cstheme="minorHAnsi"/>
                <w:color w:val="000000" w:themeColor="text1"/>
                <w:lang w:val="fr-FR"/>
              </w:rPr>
            </w:pPr>
            <w:r w:rsidRPr="00B75D93">
              <w:rPr>
                <w:rFonts w:cstheme="minorHAnsi"/>
                <w:b/>
                <w:iCs/>
                <w:color w:val="FFFFFF" w:themeColor="background1"/>
                <w:lang w:val="fr-FR"/>
              </w:rPr>
              <w:t>Budget du Programme (US$)</w:t>
            </w:r>
          </w:p>
        </w:tc>
      </w:tr>
      <w:tr w:rsidR="009F283E" w:rsidRPr="00400A5A" w14:paraId="616F678E" w14:textId="77777777" w:rsidTr="00035CD5">
        <w:tc>
          <w:tcPr>
            <w:tcW w:w="3258" w:type="dxa"/>
          </w:tcPr>
          <w:p w14:paraId="001FDCEC" w14:textId="77777777" w:rsidR="009F283E" w:rsidRPr="005F3E07" w:rsidRDefault="009F283E" w:rsidP="003E3799">
            <w:pPr>
              <w:spacing w:before="40" w:after="40"/>
              <w:rPr>
                <w:rFonts w:cstheme="minorHAnsi"/>
                <w:b/>
                <w:iCs/>
                <w:color w:val="000000" w:themeColor="text1"/>
                <w:lang w:val="fr-FR"/>
              </w:rPr>
            </w:pPr>
            <w:r w:rsidRPr="005F3E07">
              <w:rPr>
                <w:rFonts w:cstheme="minorHAnsi"/>
                <w:b/>
                <w:bCs/>
                <w:color w:val="000000" w:themeColor="text1"/>
                <w:lang w:val="fr-FR"/>
              </w:rPr>
              <w:t xml:space="preserve">Budget du cycle du programme : </w:t>
            </w:r>
          </w:p>
        </w:tc>
        <w:tc>
          <w:tcPr>
            <w:tcW w:w="6189" w:type="dxa"/>
            <w:gridSpan w:val="2"/>
          </w:tcPr>
          <w:p w14:paraId="616B036D" w14:textId="4045C4D6" w:rsidR="009F283E" w:rsidRPr="005F3E07" w:rsidRDefault="009F283E" w:rsidP="003E3799">
            <w:pPr>
              <w:spacing w:before="40" w:after="40"/>
              <w:rPr>
                <w:rFonts w:cstheme="minorHAnsi"/>
                <w:bCs/>
                <w:color w:val="000000" w:themeColor="text1"/>
                <w:lang w:val="fr-FR"/>
              </w:rPr>
            </w:pPr>
            <w:r w:rsidRPr="005F3E07">
              <w:rPr>
                <w:rFonts w:cstheme="minorHAnsi"/>
                <w:bCs/>
                <w:color w:val="000000" w:themeColor="text1"/>
                <w:lang w:val="fr-FR"/>
              </w:rPr>
              <w:t>US$ 8 000 000 (revu dans l’addendum d</w:t>
            </w:r>
            <w:r w:rsidR="00736A0B">
              <w:rPr>
                <w:rFonts w:cstheme="minorHAnsi"/>
                <w:bCs/>
                <w:color w:val="000000" w:themeColor="text1"/>
                <w:lang w:val="fr-FR"/>
              </w:rPr>
              <w:t>e 2018</w:t>
            </w:r>
            <w:r w:rsidRPr="005F3E07">
              <w:rPr>
                <w:rFonts w:cstheme="minorHAnsi"/>
                <w:bCs/>
                <w:color w:val="000000" w:themeColor="text1"/>
                <w:lang w:val="fr-FR"/>
              </w:rPr>
              <w:t>)</w:t>
            </w:r>
          </w:p>
        </w:tc>
      </w:tr>
      <w:tr w:rsidR="00FC39AF" w:rsidRPr="00400A5A" w14:paraId="5A2D33BC" w14:textId="77777777" w:rsidTr="00035CD5">
        <w:tc>
          <w:tcPr>
            <w:tcW w:w="3258" w:type="dxa"/>
          </w:tcPr>
          <w:p w14:paraId="2EE5D87F" w14:textId="560630DE" w:rsidR="00FC39AF" w:rsidRPr="005F3E07" w:rsidRDefault="00FC39AF" w:rsidP="003E3799">
            <w:pPr>
              <w:spacing w:before="40" w:after="40"/>
              <w:rPr>
                <w:rFonts w:cstheme="minorHAnsi"/>
                <w:b/>
                <w:bCs/>
                <w:iCs/>
                <w:color w:val="000000" w:themeColor="text1"/>
                <w:lang w:val="fr-FR"/>
              </w:rPr>
            </w:pPr>
            <w:r w:rsidRPr="005F3E07">
              <w:rPr>
                <w:rFonts w:cstheme="minorHAnsi"/>
                <w:b/>
                <w:bCs/>
                <w:iCs/>
                <w:color w:val="000000" w:themeColor="text1"/>
                <w:lang w:val="fr-FR"/>
              </w:rPr>
              <w:t>Modalité de financement :</w:t>
            </w:r>
          </w:p>
        </w:tc>
        <w:tc>
          <w:tcPr>
            <w:tcW w:w="6189" w:type="dxa"/>
            <w:gridSpan w:val="2"/>
          </w:tcPr>
          <w:p w14:paraId="42AF4D17" w14:textId="69D75E9D" w:rsidR="00FC39AF" w:rsidRPr="005F3E07" w:rsidRDefault="00F32A85" w:rsidP="003E3799">
            <w:pPr>
              <w:spacing w:before="40" w:after="40"/>
              <w:rPr>
                <w:rFonts w:cstheme="minorHAnsi"/>
                <w:bCs/>
                <w:color w:val="000000" w:themeColor="text1"/>
                <w:lang w:val="fr-FR"/>
              </w:rPr>
            </w:pPr>
            <w:r>
              <w:rPr>
                <w:rFonts w:cstheme="minorHAnsi"/>
                <w:bCs/>
                <w:color w:val="000000" w:themeColor="text1"/>
                <w:lang w:val="fr-FR"/>
              </w:rPr>
              <w:t>Paiement sur vérification de la performance</w:t>
            </w:r>
          </w:p>
        </w:tc>
      </w:tr>
      <w:tr w:rsidR="009F283E" w:rsidRPr="00400A5A" w14:paraId="6143006A" w14:textId="77777777" w:rsidTr="00035CD5">
        <w:tc>
          <w:tcPr>
            <w:tcW w:w="3258" w:type="dxa"/>
          </w:tcPr>
          <w:p w14:paraId="09E49D96" w14:textId="1E9E6AFE" w:rsidR="009F283E" w:rsidRPr="005F3E07" w:rsidRDefault="009F283E" w:rsidP="003E3799">
            <w:pPr>
              <w:spacing w:before="40" w:after="40"/>
              <w:rPr>
                <w:rFonts w:cstheme="minorHAnsi"/>
                <w:b/>
                <w:bCs/>
                <w:iCs/>
                <w:color w:val="000000" w:themeColor="text1"/>
                <w:lang w:val="fr-FR"/>
              </w:rPr>
            </w:pPr>
            <w:r w:rsidRPr="005F3E07">
              <w:rPr>
                <w:rFonts w:cstheme="minorHAnsi"/>
                <w:b/>
                <w:bCs/>
                <w:iCs/>
                <w:color w:val="000000" w:themeColor="text1"/>
                <w:lang w:val="fr-FR"/>
              </w:rPr>
              <w:t>Jalons 2018 </w:t>
            </w:r>
            <w:r w:rsidRPr="005F3E07">
              <w:rPr>
                <w:rFonts w:cstheme="minorHAnsi"/>
                <w:iCs/>
                <w:color w:val="000000" w:themeColor="text1"/>
                <w:lang w:val="fr-FR"/>
              </w:rPr>
              <w:t>(</w:t>
            </w:r>
            <w:r w:rsidR="00002741" w:rsidRPr="005F3E07">
              <w:rPr>
                <w:rFonts w:cstheme="minorHAnsi"/>
                <w:iCs/>
                <w:color w:val="000000" w:themeColor="text1"/>
                <w:lang w:val="fr-FR"/>
              </w:rPr>
              <w:t>Phase 1</w:t>
            </w:r>
            <w:r w:rsidR="00FF5419" w:rsidRPr="005F3E07">
              <w:rPr>
                <w:rFonts w:cstheme="minorHAnsi"/>
                <w:iCs/>
                <w:color w:val="000000" w:themeColor="text1"/>
                <w:lang w:val="fr-FR"/>
              </w:rPr>
              <w:t>,</w:t>
            </w:r>
            <w:r w:rsidR="00002741" w:rsidRPr="005F3E07">
              <w:rPr>
                <w:rFonts w:cstheme="minorHAnsi"/>
                <w:iCs/>
                <w:color w:val="000000" w:themeColor="text1"/>
                <w:lang w:val="fr-FR"/>
              </w:rPr>
              <w:t xml:space="preserve"> </w:t>
            </w:r>
            <w:r w:rsidR="00EE2B0E" w:rsidRPr="005F3E07">
              <w:rPr>
                <w:rFonts w:cstheme="minorHAnsi"/>
                <w:iCs/>
                <w:color w:val="000000" w:themeColor="text1"/>
                <w:lang w:val="fr-FR"/>
              </w:rPr>
              <w:t>première</w:t>
            </w:r>
            <w:r w:rsidR="00002741" w:rsidRPr="005F3E07">
              <w:rPr>
                <w:rFonts w:cstheme="minorHAnsi"/>
                <w:iCs/>
                <w:color w:val="000000" w:themeColor="text1"/>
                <w:lang w:val="fr-FR"/>
              </w:rPr>
              <w:t xml:space="preserve"> tranche </w:t>
            </w:r>
            <w:r w:rsidR="00670E98" w:rsidRPr="005F3E07">
              <w:rPr>
                <w:rFonts w:cstheme="minorHAnsi"/>
                <w:iCs/>
                <w:color w:val="000000" w:themeColor="text1"/>
                <w:lang w:val="fr-FR"/>
              </w:rPr>
              <w:t>1</w:t>
            </w:r>
            <w:r w:rsidR="00696502" w:rsidRPr="005F3E07">
              <w:rPr>
                <w:rFonts w:cstheme="minorHAnsi"/>
                <w:iCs/>
                <w:color w:val="000000" w:themeColor="text1"/>
                <w:vertAlign w:val="superscript"/>
                <w:lang w:val="fr-FR"/>
              </w:rPr>
              <w:t>er</w:t>
            </w:r>
            <w:r w:rsidR="00696502" w:rsidRPr="005F3E07">
              <w:rPr>
                <w:rFonts w:cstheme="minorHAnsi"/>
                <w:iCs/>
                <w:color w:val="000000" w:themeColor="text1"/>
                <w:lang w:val="fr-FR"/>
              </w:rPr>
              <w:t xml:space="preserve"> </w:t>
            </w:r>
            <w:r w:rsidR="00002741" w:rsidRPr="005F3E07">
              <w:rPr>
                <w:rFonts w:cstheme="minorHAnsi"/>
                <w:iCs/>
                <w:color w:val="000000" w:themeColor="text1"/>
                <w:lang w:val="fr-FR"/>
              </w:rPr>
              <w:t>juin</w:t>
            </w:r>
            <w:r w:rsidR="00670E98" w:rsidRPr="005F3E07">
              <w:rPr>
                <w:rFonts w:cstheme="minorHAnsi"/>
                <w:iCs/>
                <w:color w:val="000000" w:themeColor="text1"/>
                <w:lang w:val="fr-FR"/>
              </w:rPr>
              <w:t xml:space="preserve"> </w:t>
            </w:r>
            <w:r w:rsidR="00002741" w:rsidRPr="005F3E07">
              <w:rPr>
                <w:rFonts w:cstheme="minorHAnsi"/>
                <w:iCs/>
                <w:color w:val="000000" w:themeColor="text1"/>
                <w:lang w:val="fr-FR"/>
              </w:rPr>
              <w:t xml:space="preserve">2017, </w:t>
            </w:r>
            <w:r w:rsidR="00862D96" w:rsidRPr="005F3E07">
              <w:rPr>
                <w:rFonts w:cstheme="minorHAnsi"/>
                <w:iCs/>
                <w:color w:val="000000" w:themeColor="text1"/>
                <w:lang w:val="fr-FR"/>
              </w:rPr>
              <w:t>3</w:t>
            </w:r>
            <w:r w:rsidR="00002741" w:rsidRPr="005F3E07">
              <w:rPr>
                <w:rFonts w:cstheme="minorHAnsi"/>
                <w:iCs/>
                <w:color w:val="000000" w:themeColor="text1"/>
                <w:lang w:val="fr-FR"/>
              </w:rPr>
              <w:t xml:space="preserve"> ans</w:t>
            </w:r>
            <w:r w:rsidR="00670E98" w:rsidRPr="005F3E07">
              <w:rPr>
                <w:rFonts w:cstheme="minorHAnsi"/>
                <w:iCs/>
                <w:color w:val="000000" w:themeColor="text1"/>
                <w:lang w:val="fr-FR"/>
              </w:rPr>
              <w:t>)</w:t>
            </w:r>
            <w:r w:rsidRPr="005F3E07">
              <w:rPr>
                <w:rFonts w:cstheme="minorHAnsi"/>
                <w:iCs/>
                <w:color w:val="000000" w:themeColor="text1"/>
                <w:lang w:val="fr-FR"/>
              </w:rPr>
              <w:t xml:space="preserve"> :</w:t>
            </w:r>
          </w:p>
        </w:tc>
        <w:tc>
          <w:tcPr>
            <w:tcW w:w="6189" w:type="dxa"/>
            <w:gridSpan w:val="2"/>
          </w:tcPr>
          <w:p w14:paraId="227E45A8" w14:textId="77777777" w:rsidR="009F283E" w:rsidRPr="005F3E07" w:rsidRDefault="009F283E" w:rsidP="003E3799">
            <w:pPr>
              <w:spacing w:before="40" w:after="40"/>
              <w:rPr>
                <w:rFonts w:cstheme="minorHAnsi"/>
                <w:bCs/>
                <w:color w:val="000000" w:themeColor="text1"/>
                <w:lang w:val="fr-FR"/>
              </w:rPr>
            </w:pPr>
            <w:r w:rsidRPr="005F3E07">
              <w:rPr>
                <w:rFonts w:cstheme="minorHAnsi"/>
                <w:bCs/>
                <w:color w:val="000000" w:themeColor="text1"/>
                <w:lang w:val="fr-FR"/>
              </w:rPr>
              <w:t>US$ 5 000 000</w:t>
            </w:r>
          </w:p>
        </w:tc>
      </w:tr>
      <w:tr w:rsidR="009F283E" w:rsidRPr="00400A5A" w14:paraId="3FA1DB7D" w14:textId="77777777" w:rsidTr="00035CD5">
        <w:tc>
          <w:tcPr>
            <w:tcW w:w="3258" w:type="dxa"/>
          </w:tcPr>
          <w:p w14:paraId="6273E029" w14:textId="276DFE2F" w:rsidR="009F283E" w:rsidRPr="005F3E07" w:rsidRDefault="009F283E" w:rsidP="003E3799">
            <w:pPr>
              <w:spacing w:before="40" w:after="40"/>
              <w:rPr>
                <w:rFonts w:cstheme="minorHAnsi"/>
                <w:iCs/>
                <w:color w:val="000000" w:themeColor="text1"/>
                <w:lang w:val="fr-FR"/>
              </w:rPr>
            </w:pPr>
            <w:r w:rsidRPr="005F3E07">
              <w:rPr>
                <w:rFonts w:cstheme="minorHAnsi"/>
                <w:b/>
                <w:bCs/>
                <w:iCs/>
                <w:color w:val="000000" w:themeColor="text1"/>
                <w:lang w:val="fr-FR"/>
              </w:rPr>
              <w:lastRenderedPageBreak/>
              <w:t>Jalons 2020 </w:t>
            </w:r>
            <w:r w:rsidRPr="005F3E07">
              <w:rPr>
                <w:rFonts w:cstheme="minorHAnsi"/>
                <w:iCs/>
                <w:color w:val="000000" w:themeColor="text1"/>
                <w:lang w:val="fr-FR"/>
              </w:rPr>
              <w:t>(</w:t>
            </w:r>
            <w:r w:rsidR="00862D96" w:rsidRPr="005F3E07">
              <w:rPr>
                <w:rFonts w:cstheme="minorHAnsi"/>
                <w:iCs/>
                <w:color w:val="000000" w:themeColor="text1"/>
                <w:lang w:val="fr-FR"/>
              </w:rPr>
              <w:t xml:space="preserve">Phase 2, </w:t>
            </w:r>
            <w:r w:rsidRPr="005F3E07">
              <w:rPr>
                <w:rFonts w:cstheme="minorHAnsi"/>
                <w:iCs/>
                <w:color w:val="000000" w:themeColor="text1"/>
                <w:lang w:val="fr-FR"/>
              </w:rPr>
              <w:t>tranche conditionnelle</w:t>
            </w:r>
            <w:r w:rsidR="00D90D6E" w:rsidRPr="005F3E07">
              <w:rPr>
                <w:rFonts w:cstheme="minorHAnsi"/>
                <w:iCs/>
                <w:color w:val="000000" w:themeColor="text1"/>
                <w:lang w:val="fr-FR"/>
              </w:rPr>
              <w:t xml:space="preserve">, </w:t>
            </w:r>
            <w:r w:rsidR="00696502" w:rsidRPr="005F3E07">
              <w:rPr>
                <w:rFonts w:cstheme="minorHAnsi"/>
                <w:iCs/>
                <w:color w:val="000000" w:themeColor="text1"/>
                <w:lang w:val="fr-FR"/>
              </w:rPr>
              <w:t>1</w:t>
            </w:r>
            <w:r w:rsidR="00696502" w:rsidRPr="005F3E07">
              <w:rPr>
                <w:rFonts w:cstheme="minorHAnsi"/>
                <w:iCs/>
                <w:color w:val="000000" w:themeColor="text1"/>
                <w:vertAlign w:val="superscript"/>
                <w:lang w:val="fr-FR"/>
              </w:rPr>
              <w:t>er</w:t>
            </w:r>
            <w:r w:rsidR="00D90D6E" w:rsidRPr="005F3E07">
              <w:rPr>
                <w:rFonts w:cstheme="minorHAnsi"/>
                <w:iCs/>
                <w:color w:val="000000" w:themeColor="text1"/>
                <w:lang w:val="fr-FR"/>
              </w:rPr>
              <w:t xml:space="preserve"> juin 2020</w:t>
            </w:r>
            <w:r w:rsidR="00696502" w:rsidRPr="005F3E07">
              <w:rPr>
                <w:rFonts w:cstheme="minorHAnsi"/>
                <w:iCs/>
                <w:color w:val="000000" w:themeColor="text1"/>
                <w:lang w:val="fr-FR"/>
              </w:rPr>
              <w:t>,</w:t>
            </w:r>
            <w:r w:rsidR="00D90D6E" w:rsidRPr="005F3E07">
              <w:rPr>
                <w:rFonts w:cstheme="minorHAnsi"/>
                <w:iCs/>
                <w:color w:val="000000" w:themeColor="text1"/>
                <w:lang w:val="fr-FR"/>
              </w:rPr>
              <w:t xml:space="preserve"> </w:t>
            </w:r>
            <w:r w:rsidR="00696502" w:rsidRPr="005F3E07">
              <w:rPr>
                <w:rFonts w:cstheme="minorHAnsi"/>
                <w:iCs/>
                <w:color w:val="000000" w:themeColor="text1"/>
                <w:lang w:val="fr-FR"/>
              </w:rPr>
              <w:t>1</w:t>
            </w:r>
            <w:r w:rsidR="00D90D6E" w:rsidRPr="005F3E07">
              <w:rPr>
                <w:rFonts w:cstheme="minorHAnsi"/>
                <w:iCs/>
                <w:color w:val="000000" w:themeColor="text1"/>
                <w:lang w:val="fr-FR"/>
              </w:rPr>
              <w:t xml:space="preserve"> an</w:t>
            </w:r>
            <w:r w:rsidRPr="005F3E07">
              <w:rPr>
                <w:rFonts w:cstheme="minorHAnsi"/>
                <w:iCs/>
                <w:color w:val="000000" w:themeColor="text1"/>
                <w:lang w:val="fr-FR"/>
              </w:rPr>
              <w:t>)</w:t>
            </w:r>
            <w:r w:rsidRPr="005F3E07">
              <w:rPr>
                <w:rFonts w:cstheme="minorHAnsi"/>
                <w:b/>
                <w:bCs/>
                <w:iCs/>
                <w:color w:val="000000" w:themeColor="text1"/>
                <w:lang w:val="fr-FR"/>
              </w:rPr>
              <w:t xml:space="preserve"> :</w:t>
            </w:r>
          </w:p>
        </w:tc>
        <w:tc>
          <w:tcPr>
            <w:tcW w:w="6189" w:type="dxa"/>
            <w:gridSpan w:val="2"/>
          </w:tcPr>
          <w:p w14:paraId="126B7630" w14:textId="77777777" w:rsidR="009F283E" w:rsidRPr="005F3E07" w:rsidRDefault="009F283E" w:rsidP="003E3799">
            <w:pPr>
              <w:spacing w:before="40" w:after="40"/>
              <w:rPr>
                <w:rFonts w:cstheme="minorHAnsi"/>
                <w:bCs/>
                <w:color w:val="000000" w:themeColor="text1"/>
                <w:lang w:val="fr-FR"/>
              </w:rPr>
            </w:pPr>
            <w:r w:rsidRPr="005F3E07">
              <w:rPr>
                <w:rFonts w:cstheme="minorHAnsi"/>
                <w:bCs/>
                <w:color w:val="000000" w:themeColor="text1"/>
                <w:lang w:val="fr-FR"/>
              </w:rPr>
              <w:t>US$ 3 000 000</w:t>
            </w:r>
          </w:p>
        </w:tc>
      </w:tr>
      <w:tr w:rsidR="009F283E" w:rsidRPr="00400A5A" w14:paraId="4D419CAD" w14:textId="77777777" w:rsidTr="00035CD5">
        <w:tc>
          <w:tcPr>
            <w:tcW w:w="3258" w:type="dxa"/>
          </w:tcPr>
          <w:p w14:paraId="3F6E3243" w14:textId="464774EF" w:rsidR="009F283E" w:rsidRPr="005F3E07" w:rsidRDefault="009F283E" w:rsidP="003E3799">
            <w:pPr>
              <w:spacing w:before="40" w:after="40"/>
              <w:rPr>
                <w:rFonts w:cstheme="minorHAnsi"/>
                <w:b/>
                <w:bCs/>
                <w:iCs/>
                <w:color w:val="000000" w:themeColor="text1"/>
                <w:lang w:val="fr-FR"/>
              </w:rPr>
            </w:pPr>
            <w:r w:rsidRPr="005F3E07">
              <w:rPr>
                <w:rFonts w:cstheme="minorHAnsi"/>
                <w:b/>
                <w:bCs/>
                <w:iCs/>
                <w:color w:val="000000" w:themeColor="text1"/>
                <w:lang w:val="fr-FR"/>
              </w:rPr>
              <w:t>Budget originel </w:t>
            </w:r>
            <w:r w:rsidR="00B144C4" w:rsidRPr="005F3E07">
              <w:rPr>
                <w:rFonts w:cstheme="minorHAnsi"/>
                <w:iCs/>
                <w:color w:val="000000" w:themeColor="text1"/>
                <w:lang w:val="fr-FR"/>
              </w:rPr>
              <w:t>(PRODOC 2017)</w:t>
            </w:r>
            <w:r w:rsidR="00B144C4" w:rsidRPr="005F3E07">
              <w:rPr>
                <w:rFonts w:cstheme="minorHAnsi"/>
                <w:b/>
                <w:bCs/>
                <w:iCs/>
                <w:color w:val="000000" w:themeColor="text1"/>
                <w:lang w:val="fr-FR"/>
              </w:rPr>
              <w:t xml:space="preserve"> </w:t>
            </w:r>
            <w:r w:rsidRPr="005F3E07">
              <w:rPr>
                <w:rFonts w:cstheme="minorHAnsi"/>
                <w:b/>
                <w:bCs/>
                <w:iCs/>
                <w:color w:val="000000" w:themeColor="text1"/>
                <w:lang w:val="fr-FR"/>
              </w:rPr>
              <w:t>:</w:t>
            </w:r>
          </w:p>
        </w:tc>
        <w:tc>
          <w:tcPr>
            <w:tcW w:w="6189" w:type="dxa"/>
            <w:gridSpan w:val="2"/>
          </w:tcPr>
          <w:p w14:paraId="018B04BE" w14:textId="098F729A" w:rsidR="009F283E" w:rsidRPr="005F3E07" w:rsidRDefault="009F283E" w:rsidP="003E3799">
            <w:pPr>
              <w:spacing w:before="40" w:after="40"/>
              <w:rPr>
                <w:rFonts w:cstheme="minorHAnsi"/>
                <w:bCs/>
                <w:color w:val="000000" w:themeColor="text1"/>
                <w:lang w:val="fr-FR"/>
              </w:rPr>
            </w:pPr>
            <w:r w:rsidRPr="005F3E07">
              <w:rPr>
                <w:rFonts w:cstheme="minorHAnsi"/>
                <w:bCs/>
                <w:color w:val="000000" w:themeColor="text1"/>
                <w:lang w:val="fr-FR"/>
              </w:rPr>
              <w:t>US$ 4 000 000 (</w:t>
            </w:r>
            <w:r w:rsidR="00454FCE" w:rsidRPr="005F3E07">
              <w:rPr>
                <w:rFonts w:cstheme="minorHAnsi"/>
                <w:bCs/>
                <w:color w:val="000000" w:themeColor="text1"/>
                <w:lang w:val="fr-FR"/>
              </w:rPr>
              <w:t>Phase 1 : 3 000 000 </w:t>
            </w:r>
            <w:r w:rsidR="007B4CF4" w:rsidRPr="005F3E07">
              <w:rPr>
                <w:rFonts w:cstheme="minorHAnsi"/>
                <w:bCs/>
                <w:color w:val="000000" w:themeColor="text1"/>
                <w:lang w:val="fr-FR"/>
              </w:rPr>
              <w:t xml:space="preserve">x 3 </w:t>
            </w:r>
            <w:r w:rsidR="00F32A85" w:rsidRPr="005F3E07">
              <w:rPr>
                <w:rFonts w:cstheme="minorHAnsi"/>
                <w:bCs/>
                <w:color w:val="000000" w:themeColor="text1"/>
                <w:lang w:val="fr-FR"/>
              </w:rPr>
              <w:t>ans ;</w:t>
            </w:r>
            <w:r w:rsidR="00454FCE" w:rsidRPr="005F3E07">
              <w:rPr>
                <w:rFonts w:cstheme="minorHAnsi"/>
                <w:bCs/>
                <w:color w:val="000000" w:themeColor="text1"/>
                <w:lang w:val="fr-FR"/>
              </w:rPr>
              <w:t xml:space="preserve"> Phase 2 : 1</w:t>
            </w:r>
            <w:r w:rsidR="0070351E" w:rsidRPr="005F3E07">
              <w:rPr>
                <w:rFonts w:cstheme="minorHAnsi"/>
                <w:bCs/>
                <w:color w:val="000000" w:themeColor="text1"/>
                <w:lang w:val="fr-FR"/>
              </w:rPr>
              <w:t xml:space="preserve"> 000 000 </w:t>
            </w:r>
            <w:r w:rsidR="007B4CF4" w:rsidRPr="005F3E07">
              <w:rPr>
                <w:rFonts w:cstheme="minorHAnsi"/>
                <w:bCs/>
                <w:color w:val="000000" w:themeColor="text1"/>
                <w:lang w:val="fr-FR"/>
              </w:rPr>
              <w:t>x 1 an</w:t>
            </w:r>
            <w:r w:rsidRPr="005F3E07">
              <w:rPr>
                <w:rFonts w:cstheme="minorHAnsi"/>
                <w:bCs/>
                <w:color w:val="000000" w:themeColor="text1"/>
                <w:lang w:val="fr-FR"/>
              </w:rPr>
              <w:t>)</w:t>
            </w:r>
          </w:p>
        </w:tc>
      </w:tr>
      <w:tr w:rsidR="009F283E" w:rsidRPr="00400A5A" w14:paraId="3953046A" w14:textId="77777777" w:rsidTr="00B75D93">
        <w:tc>
          <w:tcPr>
            <w:tcW w:w="9447" w:type="dxa"/>
            <w:gridSpan w:val="3"/>
            <w:shd w:val="clear" w:color="auto" w:fill="4472C4" w:themeFill="accent1"/>
          </w:tcPr>
          <w:p w14:paraId="692486C4" w14:textId="6791A24B" w:rsidR="009F283E" w:rsidRPr="005F3E07" w:rsidRDefault="009F283E" w:rsidP="003E3799">
            <w:pPr>
              <w:spacing w:before="120" w:after="120"/>
              <w:jc w:val="center"/>
              <w:rPr>
                <w:rFonts w:cstheme="minorHAnsi"/>
                <w:bCs/>
                <w:color w:val="000000" w:themeColor="text1"/>
                <w:lang w:val="fr-FR"/>
              </w:rPr>
            </w:pPr>
            <w:r w:rsidRPr="00B75D93">
              <w:rPr>
                <w:rFonts w:cstheme="minorHAnsi"/>
                <w:b/>
                <w:iCs/>
                <w:color w:val="FFFFFF" w:themeColor="background1"/>
                <w:lang w:val="fr-FR"/>
              </w:rPr>
              <w:t>Contributions des bailleurs (</w:t>
            </w:r>
            <w:r w:rsidR="002215A2">
              <w:rPr>
                <w:rFonts w:cstheme="minorHAnsi"/>
                <w:b/>
                <w:iCs/>
                <w:color w:val="FFFFFF" w:themeColor="background1"/>
                <w:lang w:val="fr-FR"/>
              </w:rPr>
              <w:t>au 31/12/2021</w:t>
            </w:r>
            <w:r w:rsidRPr="00B75D93">
              <w:rPr>
                <w:rFonts w:cstheme="minorHAnsi"/>
                <w:b/>
                <w:iCs/>
                <w:color w:val="FFFFFF" w:themeColor="background1"/>
                <w:lang w:val="fr-FR"/>
              </w:rPr>
              <w:t>)</w:t>
            </w:r>
          </w:p>
        </w:tc>
      </w:tr>
      <w:tr w:rsidR="009F283E" w:rsidRPr="00400A5A" w14:paraId="3838264D" w14:textId="77777777" w:rsidTr="00035CD5">
        <w:tc>
          <w:tcPr>
            <w:tcW w:w="3258" w:type="dxa"/>
          </w:tcPr>
          <w:p w14:paraId="40DD2FF9" w14:textId="77777777" w:rsidR="009F283E" w:rsidRPr="005F3E07" w:rsidRDefault="009F283E" w:rsidP="003E3799">
            <w:pPr>
              <w:spacing w:before="40" w:after="40"/>
              <w:ind w:left="-15"/>
              <w:rPr>
                <w:rFonts w:cstheme="minorHAnsi"/>
                <w:b/>
                <w:bCs/>
                <w:iCs/>
                <w:color w:val="000000" w:themeColor="text1"/>
                <w:lang w:val="fr-FR"/>
              </w:rPr>
            </w:pPr>
            <w:r w:rsidRPr="005F3E07">
              <w:rPr>
                <w:rFonts w:cstheme="minorHAnsi"/>
                <w:b/>
                <w:bCs/>
                <w:iCs/>
                <w:color w:val="000000" w:themeColor="text1"/>
                <w:lang w:val="fr-FR"/>
              </w:rPr>
              <w:t>CAFI</w:t>
            </w:r>
          </w:p>
        </w:tc>
        <w:tc>
          <w:tcPr>
            <w:tcW w:w="6189" w:type="dxa"/>
            <w:gridSpan w:val="2"/>
          </w:tcPr>
          <w:p w14:paraId="008638A8" w14:textId="77777777" w:rsidR="009F283E" w:rsidRPr="005F3E07" w:rsidRDefault="009F283E" w:rsidP="003E3799">
            <w:pPr>
              <w:spacing w:before="40" w:after="40"/>
              <w:rPr>
                <w:rFonts w:cstheme="minorHAnsi"/>
                <w:bCs/>
                <w:color w:val="000000" w:themeColor="text1"/>
                <w:lang w:val="fr-FR"/>
              </w:rPr>
            </w:pPr>
            <w:r w:rsidRPr="005F3E07">
              <w:rPr>
                <w:rFonts w:cstheme="minorHAnsi"/>
                <w:bCs/>
                <w:color w:val="000000" w:themeColor="text1"/>
                <w:lang w:val="fr-FR"/>
              </w:rPr>
              <w:t>US$ 5 000 000</w:t>
            </w:r>
          </w:p>
        </w:tc>
      </w:tr>
      <w:tr w:rsidR="009F283E" w:rsidRPr="00400A5A" w14:paraId="5CCE411E" w14:textId="77777777" w:rsidTr="00B75D93">
        <w:tc>
          <w:tcPr>
            <w:tcW w:w="9447" w:type="dxa"/>
            <w:gridSpan w:val="3"/>
            <w:shd w:val="clear" w:color="auto" w:fill="4472C4" w:themeFill="accent1"/>
          </w:tcPr>
          <w:p w14:paraId="439F9970" w14:textId="498E841C" w:rsidR="009F283E" w:rsidRPr="005F3E07" w:rsidRDefault="009F283E" w:rsidP="003E3799">
            <w:pPr>
              <w:spacing w:before="120" w:after="120"/>
              <w:jc w:val="center"/>
              <w:rPr>
                <w:rFonts w:cstheme="minorHAnsi"/>
                <w:b/>
                <w:bCs/>
                <w:color w:val="000000" w:themeColor="text1"/>
                <w:lang w:val="fr-FR"/>
              </w:rPr>
            </w:pPr>
            <w:r w:rsidRPr="00B75D93">
              <w:rPr>
                <w:rFonts w:cstheme="minorHAnsi"/>
                <w:b/>
                <w:iCs/>
                <w:color w:val="FFFFFF" w:themeColor="background1"/>
                <w:lang w:val="fr-FR"/>
              </w:rPr>
              <w:t>Dépenses (</w:t>
            </w:r>
            <w:r w:rsidR="002215A2">
              <w:rPr>
                <w:rFonts w:cstheme="minorHAnsi"/>
                <w:b/>
                <w:iCs/>
                <w:color w:val="FFFFFF" w:themeColor="background1"/>
                <w:lang w:val="fr-FR"/>
              </w:rPr>
              <w:t>au 31/12/2021</w:t>
            </w:r>
            <w:r w:rsidRPr="00B75D93">
              <w:rPr>
                <w:rFonts w:cstheme="minorHAnsi"/>
                <w:b/>
                <w:iCs/>
                <w:color w:val="FFFFFF" w:themeColor="background1"/>
                <w:lang w:val="fr-FR"/>
              </w:rPr>
              <w:t>)</w:t>
            </w:r>
          </w:p>
        </w:tc>
      </w:tr>
      <w:tr w:rsidR="009F283E" w:rsidRPr="00400A5A" w14:paraId="0002E345" w14:textId="77777777" w:rsidTr="00035CD5">
        <w:tc>
          <w:tcPr>
            <w:tcW w:w="3258" w:type="dxa"/>
          </w:tcPr>
          <w:p w14:paraId="6FA4F729" w14:textId="77777777" w:rsidR="009F283E" w:rsidRPr="005F3E07" w:rsidRDefault="009F283E" w:rsidP="003E3799">
            <w:pPr>
              <w:spacing w:before="120" w:after="120"/>
              <w:rPr>
                <w:rFonts w:cstheme="minorHAnsi"/>
                <w:bCs/>
                <w:color w:val="000000" w:themeColor="text1"/>
                <w:lang w:val="fr-FR"/>
              </w:rPr>
            </w:pPr>
            <w:r w:rsidRPr="005F3E07">
              <w:rPr>
                <w:rFonts w:cstheme="minorHAnsi"/>
                <w:bCs/>
                <w:color w:val="000000" w:themeColor="text1"/>
                <w:lang w:val="fr-FR"/>
              </w:rPr>
              <w:t xml:space="preserve">Dépenses totales : </w:t>
            </w:r>
          </w:p>
        </w:tc>
        <w:tc>
          <w:tcPr>
            <w:tcW w:w="6189" w:type="dxa"/>
            <w:gridSpan w:val="2"/>
          </w:tcPr>
          <w:p w14:paraId="26AAC2E0" w14:textId="2E76B8FA" w:rsidR="009F283E" w:rsidRPr="005F3E07" w:rsidRDefault="009F283E" w:rsidP="003E3799">
            <w:pPr>
              <w:spacing w:before="120" w:after="120"/>
              <w:rPr>
                <w:rFonts w:cstheme="minorHAnsi"/>
                <w:bCs/>
                <w:color w:val="000000" w:themeColor="text1"/>
                <w:lang w:val="fr-FR"/>
              </w:rPr>
            </w:pPr>
            <w:r w:rsidRPr="005F3E07">
              <w:rPr>
                <w:rFonts w:cstheme="minorHAnsi"/>
                <w:bCs/>
                <w:color w:val="000000" w:themeColor="text1"/>
                <w:lang w:val="fr-FR"/>
              </w:rPr>
              <w:t xml:space="preserve">US$ </w:t>
            </w:r>
            <w:r w:rsidR="002215A2" w:rsidRPr="002215A2">
              <w:rPr>
                <w:rFonts w:cstheme="minorHAnsi"/>
                <w:bCs/>
                <w:color w:val="000000" w:themeColor="text1"/>
                <w:lang w:val="fr-FR"/>
              </w:rPr>
              <w:t>5 512 741,22 USD</w:t>
            </w:r>
          </w:p>
        </w:tc>
      </w:tr>
      <w:tr w:rsidR="009F283E" w:rsidRPr="00400A5A" w14:paraId="5BA6E481" w14:textId="77777777" w:rsidTr="00035CD5">
        <w:trPr>
          <w:trHeight w:val="273"/>
        </w:trPr>
        <w:tc>
          <w:tcPr>
            <w:tcW w:w="3258" w:type="dxa"/>
          </w:tcPr>
          <w:p w14:paraId="64C56602" w14:textId="6D6EE3AA" w:rsidR="009F283E" w:rsidRPr="005F3E07" w:rsidRDefault="00031F71" w:rsidP="003E3799">
            <w:pPr>
              <w:spacing w:before="120" w:after="120"/>
              <w:rPr>
                <w:rFonts w:cstheme="minorHAnsi"/>
                <w:bCs/>
                <w:color w:val="000000" w:themeColor="text1"/>
                <w:lang w:val="fr-FR"/>
              </w:rPr>
            </w:pPr>
            <w:r w:rsidRPr="005F3E07">
              <w:rPr>
                <w:rFonts w:cstheme="minorHAnsi"/>
                <w:bCs/>
                <w:color w:val="000000" w:themeColor="text1"/>
                <w:lang w:val="fr-FR"/>
              </w:rPr>
              <w:t>% U</w:t>
            </w:r>
            <w:r w:rsidR="009F283E" w:rsidRPr="005F3E07">
              <w:rPr>
                <w:rFonts w:cstheme="minorHAnsi"/>
                <w:bCs/>
                <w:color w:val="000000" w:themeColor="text1"/>
                <w:lang w:val="fr-FR"/>
              </w:rPr>
              <w:t>tilisation du budget disponible (à la date</w:t>
            </w:r>
            <w:r w:rsidR="0014620C" w:rsidRPr="005F3E07">
              <w:rPr>
                <w:rFonts w:cstheme="minorHAnsi"/>
                <w:bCs/>
                <w:color w:val="000000" w:themeColor="text1"/>
                <w:lang w:val="fr-FR"/>
              </w:rPr>
              <w:t xml:space="preserve"> indiquée</w:t>
            </w:r>
            <w:r w:rsidR="009F283E" w:rsidRPr="005F3E07">
              <w:rPr>
                <w:rFonts w:cstheme="minorHAnsi"/>
                <w:bCs/>
                <w:color w:val="000000" w:themeColor="text1"/>
                <w:lang w:val="fr-FR"/>
              </w:rPr>
              <w:t>) :</w:t>
            </w:r>
          </w:p>
        </w:tc>
        <w:tc>
          <w:tcPr>
            <w:tcW w:w="6189" w:type="dxa"/>
            <w:gridSpan w:val="2"/>
          </w:tcPr>
          <w:p w14:paraId="03E74DF8" w14:textId="4EDD457F" w:rsidR="009F283E" w:rsidRPr="005F3E07" w:rsidRDefault="002215A2" w:rsidP="003E3799">
            <w:pPr>
              <w:spacing w:before="120" w:after="120"/>
              <w:rPr>
                <w:rFonts w:cstheme="minorHAnsi"/>
                <w:bCs/>
                <w:color w:val="000000" w:themeColor="text1"/>
                <w:lang w:val="fr-FR"/>
              </w:rPr>
            </w:pPr>
            <w:r w:rsidRPr="002215A2">
              <w:rPr>
                <w:rFonts w:cstheme="minorHAnsi"/>
                <w:bCs/>
              </w:rPr>
              <w:t>110,25</w:t>
            </w:r>
            <w:r w:rsidRPr="002215A2">
              <w:rPr>
                <w:rFonts w:cstheme="minorHAnsi"/>
                <w:b/>
              </w:rPr>
              <w:t xml:space="preserve"> </w:t>
            </w:r>
            <w:r w:rsidR="009F283E" w:rsidRPr="002215A2">
              <w:rPr>
                <w:rFonts w:cstheme="minorHAnsi"/>
                <w:bCs/>
                <w:color w:val="000000" w:themeColor="text1"/>
                <w:lang w:val="fr-FR"/>
              </w:rPr>
              <w:t>%</w:t>
            </w:r>
          </w:p>
        </w:tc>
      </w:tr>
      <w:tr w:rsidR="009F283E" w:rsidRPr="00400A5A" w14:paraId="0853BF2C" w14:textId="77777777" w:rsidTr="00B75D93">
        <w:trPr>
          <w:trHeight w:val="273"/>
        </w:trPr>
        <w:tc>
          <w:tcPr>
            <w:tcW w:w="9447" w:type="dxa"/>
            <w:gridSpan w:val="3"/>
            <w:tcBorders>
              <w:bottom w:val="single" w:sz="6" w:space="0" w:color="auto"/>
            </w:tcBorders>
            <w:shd w:val="clear" w:color="auto" w:fill="4472C4" w:themeFill="accent1"/>
          </w:tcPr>
          <w:p w14:paraId="2C9918A8" w14:textId="77777777" w:rsidR="009F283E" w:rsidRPr="005F3E07" w:rsidRDefault="009F283E" w:rsidP="003E3799">
            <w:pPr>
              <w:spacing w:before="120" w:after="120"/>
              <w:jc w:val="center"/>
              <w:rPr>
                <w:rFonts w:cstheme="minorHAnsi"/>
                <w:b/>
                <w:bCs/>
                <w:color w:val="000000" w:themeColor="text1"/>
                <w:lang w:val="fr-FR"/>
              </w:rPr>
            </w:pPr>
            <w:r w:rsidRPr="00B75D93">
              <w:rPr>
                <w:rFonts w:cstheme="minorHAnsi"/>
                <w:b/>
                <w:bCs/>
                <w:color w:val="FFFFFF" w:themeColor="background1"/>
                <w:lang w:val="fr-FR"/>
              </w:rPr>
              <w:t xml:space="preserve">Évaluations effectuées </w:t>
            </w:r>
          </w:p>
        </w:tc>
      </w:tr>
      <w:tr w:rsidR="009F283E" w:rsidRPr="0045406E" w14:paraId="3FEC6EC4" w14:textId="77777777" w:rsidTr="00035CD5">
        <w:trPr>
          <w:trHeight w:val="273"/>
        </w:trPr>
        <w:tc>
          <w:tcPr>
            <w:tcW w:w="3258" w:type="dxa"/>
            <w:tcBorders>
              <w:top w:val="single" w:sz="6" w:space="0" w:color="auto"/>
              <w:left w:val="single" w:sz="6" w:space="0" w:color="auto"/>
              <w:bottom w:val="single" w:sz="6" w:space="0" w:color="auto"/>
              <w:right w:val="single" w:sz="6" w:space="0" w:color="auto"/>
            </w:tcBorders>
          </w:tcPr>
          <w:p w14:paraId="0FD9C22B" w14:textId="77777777" w:rsidR="009F283E" w:rsidRPr="005F3E07" w:rsidRDefault="009F283E" w:rsidP="003E3799">
            <w:pPr>
              <w:spacing w:before="120" w:after="120"/>
              <w:rPr>
                <w:rFonts w:cstheme="minorHAnsi"/>
                <w:b/>
                <w:color w:val="000000" w:themeColor="text1"/>
                <w:lang w:val="fr-FR"/>
              </w:rPr>
            </w:pPr>
            <w:r w:rsidRPr="005F3E07">
              <w:rPr>
                <w:rFonts w:cstheme="minorHAnsi"/>
                <w:b/>
                <w:color w:val="000000" w:themeColor="text1"/>
                <w:lang w:val="fr-FR"/>
              </w:rPr>
              <w:t>Date :</w:t>
            </w:r>
          </w:p>
        </w:tc>
        <w:tc>
          <w:tcPr>
            <w:tcW w:w="6189" w:type="dxa"/>
            <w:gridSpan w:val="2"/>
            <w:tcBorders>
              <w:top w:val="single" w:sz="6" w:space="0" w:color="auto"/>
              <w:left w:val="single" w:sz="6" w:space="0" w:color="auto"/>
              <w:bottom w:val="single" w:sz="6" w:space="0" w:color="auto"/>
              <w:right w:val="single" w:sz="6" w:space="0" w:color="auto"/>
            </w:tcBorders>
          </w:tcPr>
          <w:p w14:paraId="2FFAB487" w14:textId="77777777" w:rsidR="009F283E" w:rsidRPr="005F3E07" w:rsidRDefault="009F283E" w:rsidP="003E3799">
            <w:pPr>
              <w:spacing w:before="120" w:after="120"/>
              <w:rPr>
                <w:rFonts w:cstheme="minorHAnsi"/>
                <w:b/>
                <w:color w:val="000000" w:themeColor="text1"/>
                <w:lang w:val="fr-FR"/>
              </w:rPr>
            </w:pPr>
            <w:r w:rsidRPr="005F3E07">
              <w:rPr>
                <w:rFonts w:cstheme="minorHAnsi"/>
                <w:b/>
                <w:color w:val="000000" w:themeColor="text1"/>
                <w:lang w:val="fr-FR"/>
              </w:rPr>
              <w:t>Type :</w:t>
            </w:r>
          </w:p>
        </w:tc>
      </w:tr>
      <w:tr w:rsidR="009F283E" w:rsidRPr="00E70EBA" w14:paraId="5143DCCA" w14:textId="77777777" w:rsidTr="00035CD5">
        <w:trPr>
          <w:trHeight w:val="273"/>
        </w:trPr>
        <w:tc>
          <w:tcPr>
            <w:tcW w:w="3258" w:type="dxa"/>
            <w:tcBorders>
              <w:top w:val="single" w:sz="6" w:space="0" w:color="auto"/>
              <w:left w:val="single" w:sz="6" w:space="0" w:color="auto"/>
              <w:bottom w:val="single" w:sz="6" w:space="0" w:color="auto"/>
              <w:right w:val="single" w:sz="6" w:space="0" w:color="auto"/>
            </w:tcBorders>
          </w:tcPr>
          <w:p w14:paraId="6C62393B" w14:textId="33C06A49" w:rsidR="009F283E" w:rsidRPr="005F3E07" w:rsidRDefault="00F32A85" w:rsidP="003E3799">
            <w:pPr>
              <w:spacing w:before="120" w:after="120"/>
              <w:rPr>
                <w:rFonts w:cstheme="minorHAnsi"/>
                <w:bCs/>
                <w:color w:val="000000" w:themeColor="text1"/>
                <w:lang w:val="fr-FR"/>
              </w:rPr>
            </w:pPr>
            <w:r>
              <w:rPr>
                <w:rFonts w:cstheme="minorHAnsi"/>
                <w:bCs/>
                <w:color w:val="000000" w:themeColor="text1"/>
                <w:lang w:val="fr-FR"/>
              </w:rPr>
              <w:t>2019</w:t>
            </w:r>
          </w:p>
        </w:tc>
        <w:tc>
          <w:tcPr>
            <w:tcW w:w="6189" w:type="dxa"/>
            <w:gridSpan w:val="2"/>
            <w:tcBorders>
              <w:top w:val="single" w:sz="6" w:space="0" w:color="auto"/>
              <w:left w:val="single" w:sz="6" w:space="0" w:color="auto"/>
              <w:bottom w:val="single" w:sz="6" w:space="0" w:color="auto"/>
              <w:right w:val="single" w:sz="6" w:space="0" w:color="auto"/>
            </w:tcBorders>
          </w:tcPr>
          <w:p w14:paraId="0F3A7915" w14:textId="2D4E387A" w:rsidR="009F283E" w:rsidRPr="005F3E07" w:rsidRDefault="00F32A85" w:rsidP="003E3799">
            <w:pPr>
              <w:spacing w:before="120" w:after="120"/>
              <w:rPr>
                <w:rFonts w:cstheme="minorHAnsi"/>
                <w:bCs/>
                <w:color w:val="000000" w:themeColor="text1"/>
                <w:lang w:val="fr-FR"/>
              </w:rPr>
            </w:pPr>
            <w:r>
              <w:rPr>
                <w:rFonts w:cstheme="minorHAnsi"/>
                <w:color w:val="000000" w:themeColor="text1"/>
                <w:lang w:val="fr-FR"/>
              </w:rPr>
              <w:t>V</w:t>
            </w:r>
            <w:r w:rsidRPr="00F32A85">
              <w:rPr>
                <w:rFonts w:cstheme="minorHAnsi"/>
                <w:color w:val="000000" w:themeColor="text1"/>
                <w:lang w:val="fr-FR"/>
              </w:rPr>
              <w:t>érification indépendante des jalons de la lettre</w:t>
            </w:r>
            <w:r>
              <w:rPr>
                <w:rFonts w:cstheme="minorHAnsi"/>
                <w:color w:val="000000" w:themeColor="text1"/>
                <w:lang w:val="fr-FR"/>
              </w:rPr>
              <w:t xml:space="preserve"> </w:t>
            </w:r>
            <w:r w:rsidRPr="00F32A85">
              <w:rPr>
                <w:rFonts w:cstheme="minorHAnsi"/>
                <w:color w:val="000000" w:themeColor="text1"/>
                <w:lang w:val="fr-FR"/>
              </w:rPr>
              <w:t>d’intention entre la RDC et la CAFI</w:t>
            </w:r>
          </w:p>
        </w:tc>
      </w:tr>
      <w:tr w:rsidR="003E0460" w:rsidRPr="00E70EBA" w14:paraId="754D1DD6" w14:textId="77777777" w:rsidTr="00035CD5">
        <w:trPr>
          <w:trHeight w:val="273"/>
        </w:trPr>
        <w:tc>
          <w:tcPr>
            <w:tcW w:w="3258" w:type="dxa"/>
            <w:tcBorders>
              <w:top w:val="single" w:sz="6" w:space="0" w:color="auto"/>
              <w:left w:val="single" w:sz="6" w:space="0" w:color="auto"/>
              <w:bottom w:val="single" w:sz="6" w:space="0" w:color="auto"/>
              <w:right w:val="single" w:sz="6" w:space="0" w:color="auto"/>
            </w:tcBorders>
          </w:tcPr>
          <w:p w14:paraId="62B6CF4C" w14:textId="410C7643" w:rsidR="003E0460" w:rsidRPr="005F3E07" w:rsidRDefault="00F32A85" w:rsidP="003E3799">
            <w:pPr>
              <w:spacing w:before="120" w:after="120"/>
              <w:rPr>
                <w:rFonts w:cstheme="minorHAnsi"/>
                <w:bCs/>
                <w:color w:val="000000" w:themeColor="text1"/>
                <w:lang w:val="fr-FR"/>
              </w:rPr>
            </w:pPr>
            <w:r>
              <w:rPr>
                <w:rFonts w:cstheme="minorHAnsi"/>
                <w:bCs/>
                <w:color w:val="000000" w:themeColor="text1"/>
                <w:lang w:val="fr-FR"/>
              </w:rPr>
              <w:t>2020</w:t>
            </w:r>
          </w:p>
        </w:tc>
        <w:tc>
          <w:tcPr>
            <w:tcW w:w="6189" w:type="dxa"/>
            <w:gridSpan w:val="2"/>
            <w:tcBorders>
              <w:top w:val="single" w:sz="6" w:space="0" w:color="auto"/>
              <w:left w:val="single" w:sz="6" w:space="0" w:color="auto"/>
              <w:bottom w:val="single" w:sz="6" w:space="0" w:color="auto"/>
              <w:right w:val="single" w:sz="6" w:space="0" w:color="auto"/>
            </w:tcBorders>
          </w:tcPr>
          <w:p w14:paraId="1A3B703A" w14:textId="6A85D78C" w:rsidR="003E0460" w:rsidRPr="00F32A85" w:rsidRDefault="00F32A85" w:rsidP="003E3799">
            <w:pPr>
              <w:spacing w:before="120" w:after="120"/>
              <w:rPr>
                <w:rFonts w:cstheme="minorHAnsi"/>
                <w:color w:val="000000" w:themeColor="text1"/>
                <w:lang w:val="fr-FR"/>
              </w:rPr>
            </w:pPr>
            <w:r w:rsidRPr="00F32A85">
              <w:rPr>
                <w:rFonts w:cstheme="minorHAnsi"/>
                <w:color w:val="000000" w:themeColor="text1"/>
                <w:lang w:val="fr-FR"/>
              </w:rPr>
              <w:t>Deuxième vérification indépendante des jalons de la lettre</w:t>
            </w:r>
            <w:r>
              <w:rPr>
                <w:rFonts w:cstheme="minorHAnsi"/>
                <w:color w:val="000000" w:themeColor="text1"/>
                <w:lang w:val="fr-FR"/>
              </w:rPr>
              <w:t xml:space="preserve"> </w:t>
            </w:r>
            <w:r w:rsidRPr="00F32A85">
              <w:rPr>
                <w:rFonts w:cstheme="minorHAnsi"/>
                <w:color w:val="000000" w:themeColor="text1"/>
                <w:lang w:val="fr-FR"/>
              </w:rPr>
              <w:t xml:space="preserve">d’intention entre la RDC et la CAFI </w:t>
            </w:r>
          </w:p>
        </w:tc>
      </w:tr>
      <w:tr w:rsidR="003E0460" w:rsidRPr="00400A5A" w14:paraId="2C17D37F" w14:textId="77777777" w:rsidTr="00035CD5">
        <w:trPr>
          <w:trHeight w:val="273"/>
        </w:trPr>
        <w:tc>
          <w:tcPr>
            <w:tcW w:w="3258" w:type="dxa"/>
            <w:tcBorders>
              <w:top w:val="single" w:sz="6" w:space="0" w:color="auto"/>
              <w:left w:val="single" w:sz="6" w:space="0" w:color="auto"/>
              <w:bottom w:val="single" w:sz="6" w:space="0" w:color="auto"/>
              <w:right w:val="single" w:sz="6" w:space="0" w:color="auto"/>
            </w:tcBorders>
          </w:tcPr>
          <w:p w14:paraId="711C9B37" w14:textId="360D2BFE" w:rsidR="003E0460" w:rsidRPr="005F3E07" w:rsidRDefault="00F32A85" w:rsidP="003E3799">
            <w:pPr>
              <w:spacing w:before="120" w:after="120"/>
              <w:rPr>
                <w:rFonts w:cstheme="minorHAnsi"/>
                <w:bCs/>
                <w:color w:val="000000" w:themeColor="text1"/>
                <w:lang w:val="fr-FR"/>
              </w:rPr>
            </w:pPr>
            <w:r>
              <w:rPr>
                <w:rFonts w:cstheme="minorHAnsi"/>
                <w:bCs/>
                <w:color w:val="000000" w:themeColor="text1"/>
                <w:lang w:val="fr-FR"/>
              </w:rPr>
              <w:t>2021</w:t>
            </w:r>
          </w:p>
        </w:tc>
        <w:tc>
          <w:tcPr>
            <w:tcW w:w="6189" w:type="dxa"/>
            <w:gridSpan w:val="2"/>
            <w:tcBorders>
              <w:top w:val="single" w:sz="6" w:space="0" w:color="auto"/>
              <w:left w:val="single" w:sz="6" w:space="0" w:color="auto"/>
              <w:bottom w:val="single" w:sz="6" w:space="0" w:color="auto"/>
              <w:right w:val="single" w:sz="6" w:space="0" w:color="auto"/>
            </w:tcBorders>
          </w:tcPr>
          <w:p w14:paraId="3ADE36C2" w14:textId="2B6B26E4" w:rsidR="003E0460" w:rsidRDefault="00F32A85" w:rsidP="00287B2B">
            <w:pPr>
              <w:pStyle w:val="ListParagraph"/>
              <w:numPr>
                <w:ilvl w:val="0"/>
                <w:numId w:val="37"/>
              </w:numPr>
              <w:spacing w:before="120" w:after="120"/>
              <w:rPr>
                <w:rFonts w:cstheme="minorHAnsi"/>
                <w:bCs/>
                <w:color w:val="000000" w:themeColor="text1"/>
                <w:lang w:val="fr-FR"/>
              </w:rPr>
            </w:pPr>
            <w:r w:rsidRPr="00F32A85">
              <w:rPr>
                <w:rFonts w:cstheme="minorHAnsi"/>
                <w:bCs/>
                <w:color w:val="000000" w:themeColor="text1"/>
                <w:lang w:val="fr-FR"/>
              </w:rPr>
              <w:t xml:space="preserve">Évaluation </w:t>
            </w:r>
            <w:r>
              <w:rPr>
                <w:rFonts w:cstheme="minorHAnsi"/>
                <w:bCs/>
                <w:color w:val="000000" w:themeColor="text1"/>
                <w:lang w:val="fr-FR"/>
              </w:rPr>
              <w:t xml:space="preserve">à mi-parcours </w:t>
            </w:r>
            <w:r w:rsidRPr="00F32A85">
              <w:rPr>
                <w:rFonts w:cstheme="minorHAnsi"/>
                <w:bCs/>
                <w:color w:val="000000" w:themeColor="text1"/>
                <w:lang w:val="fr-FR"/>
              </w:rPr>
              <w:t>du PARAT</w:t>
            </w:r>
          </w:p>
          <w:p w14:paraId="717B8E87" w14:textId="5D8035F1" w:rsidR="00F32A85" w:rsidRPr="00B025AA" w:rsidRDefault="00F32A85" w:rsidP="00287B2B">
            <w:pPr>
              <w:pStyle w:val="ListParagraph"/>
              <w:numPr>
                <w:ilvl w:val="0"/>
                <w:numId w:val="37"/>
              </w:numPr>
              <w:spacing w:before="120" w:after="120"/>
              <w:rPr>
                <w:rFonts w:cstheme="minorHAnsi"/>
                <w:bCs/>
                <w:color w:val="000000" w:themeColor="text1"/>
                <w:lang w:val="fr-FR"/>
              </w:rPr>
            </w:pPr>
            <w:r w:rsidRPr="00F32A85">
              <w:rPr>
                <w:rFonts w:cstheme="minorHAnsi"/>
                <w:bCs/>
                <w:color w:val="000000" w:themeColor="text1"/>
                <w:lang w:val="fr-FR"/>
              </w:rPr>
              <w:t xml:space="preserve">Évaluation à mi-parcours du PARAT - </w:t>
            </w:r>
            <w:r>
              <w:rPr>
                <w:rFonts w:cstheme="minorHAnsi"/>
                <w:bCs/>
                <w:color w:val="000000" w:themeColor="text1"/>
                <w:lang w:val="fr-FR"/>
              </w:rPr>
              <w:t>v</w:t>
            </w:r>
            <w:r w:rsidRPr="00F32A85">
              <w:rPr>
                <w:rFonts w:cstheme="minorHAnsi"/>
                <w:bCs/>
                <w:color w:val="000000" w:themeColor="text1"/>
                <w:lang w:val="fr-FR"/>
              </w:rPr>
              <w:t>u sous l’angle de la préservation des ressources forestières</w:t>
            </w:r>
          </w:p>
        </w:tc>
      </w:tr>
    </w:tbl>
    <w:p w14:paraId="360458E6" w14:textId="77777777" w:rsidR="00852BE5" w:rsidRDefault="00852BE5" w:rsidP="00B968FA">
      <w:pPr>
        <w:pStyle w:val="Heading1"/>
        <w:rPr>
          <w:lang w:val="fr-FR"/>
        </w:rPr>
      </w:pPr>
    </w:p>
    <w:p w14:paraId="1C7A1CEF" w14:textId="5E64659D" w:rsidR="002E0B4E" w:rsidRDefault="002E0B4E" w:rsidP="00DE784C">
      <w:pPr>
        <w:spacing w:after="120" w:line="240" w:lineRule="auto"/>
        <w:rPr>
          <w:lang w:val="fr-FR"/>
        </w:rPr>
      </w:pPr>
    </w:p>
    <w:p w14:paraId="4C9B11CC" w14:textId="7406B02C" w:rsidR="00174E73" w:rsidRDefault="00174E73" w:rsidP="00DE784C">
      <w:pPr>
        <w:spacing w:after="120" w:line="240" w:lineRule="auto"/>
        <w:rPr>
          <w:lang w:val="fr-FR"/>
        </w:rPr>
      </w:pPr>
    </w:p>
    <w:p w14:paraId="3FA18BDC" w14:textId="337F44C6" w:rsidR="00174E73" w:rsidRDefault="00174E73" w:rsidP="00DE784C">
      <w:pPr>
        <w:spacing w:after="120" w:line="240" w:lineRule="auto"/>
        <w:rPr>
          <w:lang w:val="fr-FR"/>
        </w:rPr>
      </w:pPr>
    </w:p>
    <w:p w14:paraId="347E2F34" w14:textId="67E5BE79" w:rsidR="00174E73" w:rsidRDefault="00174E73" w:rsidP="00DE784C">
      <w:pPr>
        <w:spacing w:after="120" w:line="240" w:lineRule="auto"/>
        <w:rPr>
          <w:lang w:val="fr-FR"/>
        </w:rPr>
      </w:pPr>
    </w:p>
    <w:p w14:paraId="73C906F7" w14:textId="021D17DD" w:rsidR="00174E73" w:rsidRDefault="00174E73" w:rsidP="00DE784C">
      <w:pPr>
        <w:spacing w:after="120" w:line="240" w:lineRule="auto"/>
        <w:rPr>
          <w:lang w:val="fr-FR"/>
        </w:rPr>
      </w:pPr>
    </w:p>
    <w:p w14:paraId="31291C94" w14:textId="113A2274" w:rsidR="00174E73" w:rsidRDefault="00174E73" w:rsidP="00DE784C">
      <w:pPr>
        <w:spacing w:after="120" w:line="240" w:lineRule="auto"/>
        <w:rPr>
          <w:lang w:val="fr-FR"/>
        </w:rPr>
      </w:pPr>
    </w:p>
    <w:p w14:paraId="7E486798" w14:textId="3ABB3FE9" w:rsidR="00174E73" w:rsidRDefault="00174E73" w:rsidP="00DE784C">
      <w:pPr>
        <w:spacing w:after="120" w:line="240" w:lineRule="auto"/>
        <w:rPr>
          <w:lang w:val="fr-FR"/>
        </w:rPr>
      </w:pPr>
    </w:p>
    <w:p w14:paraId="3C8F93B4" w14:textId="6B2233DC" w:rsidR="00174E73" w:rsidRDefault="00174E73" w:rsidP="00DE784C">
      <w:pPr>
        <w:spacing w:after="120" w:line="240" w:lineRule="auto"/>
        <w:rPr>
          <w:lang w:val="fr-FR"/>
        </w:rPr>
      </w:pPr>
    </w:p>
    <w:p w14:paraId="1A2C661A" w14:textId="3455AB91" w:rsidR="00174E73" w:rsidRDefault="00174E73" w:rsidP="00DE784C">
      <w:pPr>
        <w:spacing w:after="120" w:line="240" w:lineRule="auto"/>
        <w:rPr>
          <w:lang w:val="fr-FR"/>
        </w:rPr>
      </w:pPr>
    </w:p>
    <w:p w14:paraId="55A3B563" w14:textId="19BFF646" w:rsidR="00174E73" w:rsidRDefault="00174E73" w:rsidP="00DE784C">
      <w:pPr>
        <w:spacing w:after="120" w:line="240" w:lineRule="auto"/>
        <w:rPr>
          <w:lang w:val="fr-FR"/>
        </w:rPr>
      </w:pPr>
    </w:p>
    <w:p w14:paraId="7457ACCD" w14:textId="628D185A" w:rsidR="002215A2" w:rsidRDefault="002215A2" w:rsidP="00DE784C">
      <w:pPr>
        <w:spacing w:after="120" w:line="240" w:lineRule="auto"/>
        <w:rPr>
          <w:lang w:val="fr-FR"/>
        </w:rPr>
      </w:pPr>
    </w:p>
    <w:p w14:paraId="59EC137A" w14:textId="727E95C5" w:rsidR="002215A2" w:rsidRDefault="002215A2" w:rsidP="00DE784C">
      <w:pPr>
        <w:spacing w:after="120" w:line="240" w:lineRule="auto"/>
        <w:rPr>
          <w:lang w:val="fr-FR"/>
        </w:rPr>
      </w:pPr>
    </w:p>
    <w:p w14:paraId="7D449010" w14:textId="4A57AC6C" w:rsidR="00F32A85" w:rsidRDefault="00F32A85" w:rsidP="00DE784C">
      <w:pPr>
        <w:spacing w:after="120" w:line="240" w:lineRule="auto"/>
        <w:rPr>
          <w:lang w:val="fr-FR"/>
        </w:rPr>
      </w:pPr>
    </w:p>
    <w:p w14:paraId="34364DD2" w14:textId="77777777" w:rsidR="002215A2" w:rsidRDefault="002215A2" w:rsidP="00DE784C">
      <w:pPr>
        <w:spacing w:after="120" w:line="240" w:lineRule="auto"/>
        <w:rPr>
          <w:lang w:val="fr-FR"/>
        </w:rPr>
      </w:pPr>
    </w:p>
    <w:p w14:paraId="4181004A" w14:textId="7AAC5DF0" w:rsidR="004507D7" w:rsidRDefault="00852BE5" w:rsidP="001B51E5">
      <w:pPr>
        <w:pStyle w:val="Heading1"/>
        <w:rPr>
          <w:lang w:val="fr-FR"/>
        </w:rPr>
      </w:pPr>
      <w:r w:rsidRPr="007850E1">
        <w:rPr>
          <w:lang w:val="fr-FR"/>
        </w:rPr>
        <w:lastRenderedPageBreak/>
        <w:t xml:space="preserve">Résumé exécutif </w:t>
      </w:r>
    </w:p>
    <w:p w14:paraId="419CA784" w14:textId="77777777" w:rsidR="001B51E5" w:rsidRPr="001B51E5" w:rsidRDefault="001B51E5" w:rsidP="001B51E5">
      <w:pPr>
        <w:rPr>
          <w:lang w:val="fr-FR"/>
        </w:rPr>
      </w:pPr>
    </w:p>
    <w:p w14:paraId="72E7C3FD" w14:textId="22B66FC2" w:rsidR="00AB332A" w:rsidRDefault="009674FF" w:rsidP="004507D7">
      <w:pPr>
        <w:jc w:val="both"/>
        <w:rPr>
          <w:rFonts w:cstheme="minorHAnsi"/>
          <w:lang w:val="fr-FR"/>
        </w:rPr>
      </w:pPr>
      <w:r>
        <w:rPr>
          <w:rFonts w:cstheme="minorHAnsi"/>
          <w:lang w:val="fr-FR"/>
        </w:rPr>
        <w:t>Le P</w:t>
      </w:r>
      <w:r w:rsidR="007360A9">
        <w:rPr>
          <w:rFonts w:cstheme="minorHAnsi"/>
          <w:lang w:val="fr-FR"/>
        </w:rPr>
        <w:t>rogramme d’Appui à la Réforme de l’Aménagement du Territoire- P</w:t>
      </w:r>
      <w:r>
        <w:rPr>
          <w:rFonts w:cstheme="minorHAnsi"/>
          <w:lang w:val="fr-FR"/>
        </w:rPr>
        <w:t xml:space="preserve">ARAT </w:t>
      </w:r>
      <w:r w:rsidR="007360A9">
        <w:rPr>
          <w:rFonts w:cstheme="minorHAnsi"/>
          <w:lang w:val="fr-FR"/>
        </w:rPr>
        <w:t>a été conçu en 2016</w:t>
      </w:r>
      <w:r>
        <w:rPr>
          <w:rFonts w:cstheme="minorHAnsi"/>
          <w:lang w:val="fr-FR"/>
        </w:rPr>
        <w:t xml:space="preserve"> pour </w:t>
      </w:r>
      <w:r w:rsidRPr="009674FF">
        <w:rPr>
          <w:rFonts w:cstheme="minorHAnsi"/>
          <w:lang w:val="fr-FR"/>
        </w:rPr>
        <w:t>accompagner</w:t>
      </w:r>
      <w:r w:rsidRPr="00234AC3">
        <w:rPr>
          <w:rFonts w:cstheme="minorHAnsi"/>
          <w:lang w:val="fr-FR"/>
        </w:rPr>
        <w:t xml:space="preserve"> le</w:t>
      </w:r>
      <w:r>
        <w:rPr>
          <w:rFonts w:cstheme="minorHAnsi"/>
          <w:lang w:val="fr-FR"/>
        </w:rPr>
        <w:t>s institutions de la RDC compétentes</w:t>
      </w:r>
      <w:r w:rsidR="00B14404">
        <w:rPr>
          <w:rFonts w:cstheme="minorHAnsi"/>
          <w:lang w:val="fr-FR"/>
        </w:rPr>
        <w:t xml:space="preserve"> en matière d’aménagement du territoire</w:t>
      </w:r>
      <w:r>
        <w:rPr>
          <w:rFonts w:cstheme="minorHAnsi"/>
          <w:lang w:val="fr-FR"/>
        </w:rPr>
        <w:t xml:space="preserve"> </w:t>
      </w:r>
      <w:r w:rsidRPr="00234AC3">
        <w:rPr>
          <w:rFonts w:cstheme="minorHAnsi"/>
          <w:lang w:val="fr-FR"/>
        </w:rPr>
        <w:t xml:space="preserve">à mener à bien la </w:t>
      </w:r>
      <w:r>
        <w:rPr>
          <w:rFonts w:cstheme="minorHAnsi"/>
          <w:lang w:val="fr-FR"/>
        </w:rPr>
        <w:t>r</w:t>
      </w:r>
      <w:r w:rsidRPr="00234AC3">
        <w:rPr>
          <w:rFonts w:cstheme="minorHAnsi"/>
          <w:lang w:val="fr-FR"/>
        </w:rPr>
        <w:t xml:space="preserve">éforme d’aménagement du territoire </w:t>
      </w:r>
      <w:r w:rsidR="007360A9">
        <w:rPr>
          <w:rFonts w:cstheme="minorHAnsi"/>
          <w:lang w:val="fr-FR"/>
        </w:rPr>
        <w:t xml:space="preserve">et contribuer </w:t>
      </w:r>
      <w:r w:rsidR="00FE7546">
        <w:rPr>
          <w:rFonts w:cstheme="minorHAnsi"/>
          <w:lang w:val="fr-FR"/>
        </w:rPr>
        <w:t xml:space="preserve">à la Stratégie Nationale REDD+ et </w:t>
      </w:r>
      <w:r w:rsidRPr="00234AC3">
        <w:rPr>
          <w:rFonts w:cstheme="minorHAnsi"/>
          <w:lang w:val="fr-FR"/>
        </w:rPr>
        <w:t xml:space="preserve">aux résultats définis dans </w:t>
      </w:r>
      <w:r w:rsidRPr="00130EC4">
        <w:rPr>
          <w:rFonts w:cstheme="minorHAnsi"/>
          <w:lang w:val="fr-FR"/>
        </w:rPr>
        <w:t>l’effet 5</w:t>
      </w:r>
      <w:r>
        <w:rPr>
          <w:rFonts w:cstheme="minorHAnsi"/>
          <w:lang w:val="fr-FR"/>
        </w:rPr>
        <w:t xml:space="preserve"> du</w:t>
      </w:r>
      <w:r w:rsidRPr="00234AC3">
        <w:rPr>
          <w:rFonts w:cstheme="minorHAnsi"/>
          <w:lang w:val="fr-FR"/>
        </w:rPr>
        <w:t xml:space="preserve"> Plan d’Investissement REDD+</w:t>
      </w:r>
      <w:r>
        <w:rPr>
          <w:rFonts w:cstheme="minorHAnsi"/>
          <w:lang w:val="fr-FR"/>
        </w:rPr>
        <w:t xml:space="preserve"> de la RDC </w:t>
      </w:r>
      <w:r w:rsidRPr="00130EC4">
        <w:rPr>
          <w:rFonts w:cstheme="minorHAnsi"/>
          <w:lang w:val="fr-FR"/>
        </w:rPr>
        <w:t xml:space="preserve">: « </w:t>
      </w:r>
      <w:r w:rsidRPr="004D7E58">
        <w:rPr>
          <w:rFonts w:cstheme="minorHAnsi"/>
          <w:i/>
          <w:iCs/>
          <w:lang w:val="fr-FR"/>
        </w:rPr>
        <w:t xml:space="preserve">Les activités humaines sont mieux planifiées permettant une optimisation de l’utilisation de l’espace et une diminution de l’impact sur la forêt </w:t>
      </w:r>
      <w:r w:rsidRPr="00130EC4">
        <w:rPr>
          <w:rFonts w:cstheme="minorHAnsi"/>
          <w:lang w:val="fr-FR"/>
        </w:rPr>
        <w:t>»</w:t>
      </w:r>
      <w:r>
        <w:rPr>
          <w:rFonts w:cstheme="minorHAnsi"/>
          <w:lang w:val="fr-FR"/>
        </w:rPr>
        <w:t xml:space="preserve">. </w:t>
      </w:r>
    </w:p>
    <w:p w14:paraId="3DE1E190" w14:textId="77777777" w:rsidR="00FE7546" w:rsidRDefault="00B14404" w:rsidP="00B14404">
      <w:pPr>
        <w:contextualSpacing/>
        <w:jc w:val="both"/>
        <w:rPr>
          <w:rFonts w:cstheme="minorHAnsi"/>
          <w:lang w:val="fr-FR"/>
        </w:rPr>
      </w:pPr>
      <w:r>
        <w:rPr>
          <w:lang w:val="fr-FR"/>
        </w:rPr>
        <w:t xml:space="preserve">Pour réaliser </w:t>
      </w:r>
      <w:r w:rsidR="007360A9">
        <w:rPr>
          <w:lang w:val="fr-FR"/>
        </w:rPr>
        <w:t xml:space="preserve">la réforme, </w:t>
      </w:r>
      <w:r w:rsidR="00F721F0">
        <w:rPr>
          <w:rFonts w:cstheme="minorHAnsi"/>
          <w:lang w:val="fr-FR"/>
        </w:rPr>
        <w:t>l</w:t>
      </w:r>
      <w:r w:rsidR="00AB332A" w:rsidRPr="006C4634">
        <w:rPr>
          <w:rFonts w:cstheme="minorHAnsi"/>
          <w:lang w:val="fr-FR"/>
        </w:rPr>
        <w:t>e PARAT</w:t>
      </w:r>
      <w:r w:rsidR="00F721F0">
        <w:rPr>
          <w:rFonts w:cstheme="minorHAnsi"/>
          <w:lang w:val="fr-FR"/>
        </w:rPr>
        <w:t xml:space="preserve"> </w:t>
      </w:r>
      <w:r w:rsidR="00FE7546">
        <w:rPr>
          <w:rFonts w:cstheme="minorHAnsi"/>
          <w:lang w:val="fr-FR"/>
        </w:rPr>
        <w:t>devrait appuyer</w:t>
      </w:r>
      <w:r w:rsidR="00AB332A">
        <w:rPr>
          <w:rFonts w:cstheme="minorHAnsi"/>
          <w:lang w:val="fr-FR"/>
        </w:rPr>
        <w:t xml:space="preserve"> la réalisation de deux types de changement : un changement </w:t>
      </w:r>
      <w:r w:rsidR="007360A9">
        <w:rPr>
          <w:rFonts w:cstheme="minorHAnsi"/>
          <w:lang w:val="fr-FR"/>
        </w:rPr>
        <w:t xml:space="preserve">de la </w:t>
      </w:r>
      <w:r w:rsidR="00AB332A">
        <w:rPr>
          <w:rFonts w:cstheme="minorHAnsi"/>
          <w:lang w:val="fr-FR"/>
        </w:rPr>
        <w:t>politique</w:t>
      </w:r>
      <w:r w:rsidR="007360A9">
        <w:rPr>
          <w:rFonts w:cstheme="minorHAnsi"/>
          <w:lang w:val="fr-FR"/>
        </w:rPr>
        <w:t xml:space="preserve"> de l’AT </w:t>
      </w:r>
      <w:r w:rsidR="00AB332A">
        <w:rPr>
          <w:rFonts w:cstheme="minorHAnsi"/>
          <w:lang w:val="fr-FR"/>
        </w:rPr>
        <w:t xml:space="preserve">et un changement </w:t>
      </w:r>
      <w:r w:rsidR="00F721F0">
        <w:rPr>
          <w:rFonts w:cstheme="minorHAnsi"/>
          <w:lang w:val="fr-FR"/>
        </w:rPr>
        <w:t xml:space="preserve">de type </w:t>
      </w:r>
      <w:r w:rsidR="00AB332A">
        <w:rPr>
          <w:rFonts w:cstheme="minorHAnsi"/>
          <w:lang w:val="fr-FR"/>
        </w:rPr>
        <w:t>organisationnel de l’institution en charge de la conduire</w:t>
      </w:r>
      <w:r w:rsidR="00F721F0">
        <w:rPr>
          <w:rFonts w:cstheme="minorHAnsi"/>
          <w:lang w:val="fr-FR"/>
        </w:rPr>
        <w:t>, le MINAT.</w:t>
      </w:r>
      <w:r w:rsidR="007360A9">
        <w:rPr>
          <w:rFonts w:cstheme="minorHAnsi"/>
          <w:lang w:val="fr-FR"/>
        </w:rPr>
        <w:t xml:space="preserve"> </w:t>
      </w:r>
    </w:p>
    <w:p w14:paraId="1C422A52" w14:textId="1D972CCE" w:rsidR="00B14404" w:rsidRDefault="007360A9" w:rsidP="00B14404">
      <w:pPr>
        <w:contextualSpacing/>
        <w:jc w:val="both"/>
        <w:rPr>
          <w:rFonts w:cstheme="minorHAnsi"/>
          <w:lang w:val="fr-FR"/>
        </w:rPr>
      </w:pPr>
      <w:r>
        <w:rPr>
          <w:rFonts w:cstheme="minorHAnsi"/>
          <w:lang w:val="fr-FR"/>
        </w:rPr>
        <w:t>À</w:t>
      </w:r>
      <w:r w:rsidR="007F0772">
        <w:rPr>
          <w:rFonts w:cstheme="minorHAnsi"/>
          <w:lang w:val="fr-FR"/>
        </w:rPr>
        <w:t xml:space="preserve"> travers l’application</w:t>
      </w:r>
      <w:r w:rsidR="001B51E5">
        <w:rPr>
          <w:rFonts w:cstheme="minorHAnsi"/>
          <w:lang w:val="fr-FR"/>
        </w:rPr>
        <w:t xml:space="preserve"> des méthodes qualitatives</w:t>
      </w:r>
      <w:r>
        <w:rPr>
          <w:rFonts w:cstheme="minorHAnsi"/>
          <w:lang w:val="fr-FR"/>
        </w:rPr>
        <w:t>,</w:t>
      </w:r>
      <w:r w:rsidR="001B51E5">
        <w:rPr>
          <w:rFonts w:cstheme="minorHAnsi"/>
          <w:lang w:val="fr-FR"/>
        </w:rPr>
        <w:t xml:space="preserve"> </w:t>
      </w:r>
      <w:r>
        <w:rPr>
          <w:rFonts w:cstheme="minorHAnsi"/>
          <w:lang w:val="fr-FR"/>
        </w:rPr>
        <w:t xml:space="preserve">cette </w:t>
      </w:r>
      <w:r w:rsidRPr="006D5D66">
        <w:rPr>
          <w:rFonts w:cstheme="minorHAnsi"/>
          <w:lang w:val="fr-FR"/>
        </w:rPr>
        <w:t>évaluation</w:t>
      </w:r>
      <w:r>
        <w:rPr>
          <w:rFonts w:cstheme="minorHAnsi"/>
          <w:lang w:val="fr-FR"/>
        </w:rPr>
        <w:t xml:space="preserve"> </w:t>
      </w:r>
      <w:r w:rsidR="007F0772">
        <w:rPr>
          <w:rFonts w:cstheme="minorHAnsi"/>
          <w:lang w:val="fr-FR"/>
        </w:rPr>
        <w:t>a essayé de répondre</w:t>
      </w:r>
      <w:r w:rsidR="00AB332A" w:rsidRPr="006D5D66">
        <w:rPr>
          <w:rFonts w:cstheme="minorHAnsi"/>
          <w:lang w:val="fr-FR"/>
        </w:rPr>
        <w:t xml:space="preserve"> à </w:t>
      </w:r>
      <w:r w:rsidR="00F721F0" w:rsidRPr="006D5D66">
        <w:rPr>
          <w:rFonts w:cstheme="minorHAnsi"/>
          <w:lang w:val="fr-FR"/>
        </w:rPr>
        <w:t xml:space="preserve">deux </w:t>
      </w:r>
      <w:r w:rsidR="00F721F0">
        <w:rPr>
          <w:rFonts w:cstheme="minorHAnsi"/>
          <w:lang w:val="fr-FR"/>
        </w:rPr>
        <w:t xml:space="preserve">ordres </w:t>
      </w:r>
      <w:r w:rsidR="00F721F0" w:rsidRPr="006D5D66">
        <w:rPr>
          <w:rFonts w:cstheme="minorHAnsi"/>
          <w:lang w:val="fr-FR"/>
        </w:rPr>
        <w:t>principa</w:t>
      </w:r>
      <w:r w:rsidR="00F721F0">
        <w:rPr>
          <w:rFonts w:cstheme="minorHAnsi"/>
          <w:lang w:val="fr-FR"/>
        </w:rPr>
        <w:t>ux</w:t>
      </w:r>
      <w:r w:rsidR="00AB332A">
        <w:rPr>
          <w:rFonts w:cstheme="minorHAnsi"/>
          <w:lang w:val="fr-FR"/>
        </w:rPr>
        <w:t xml:space="preserve"> de questions</w:t>
      </w:r>
      <w:r w:rsidR="00AB332A" w:rsidRPr="006D5D66">
        <w:rPr>
          <w:rFonts w:cstheme="minorHAnsi"/>
          <w:lang w:val="fr-FR"/>
        </w:rPr>
        <w:t xml:space="preserve"> : I) </w:t>
      </w:r>
      <w:r w:rsidR="00F721F0">
        <w:rPr>
          <w:rFonts w:cstheme="minorHAnsi"/>
          <w:lang w:val="fr-FR"/>
        </w:rPr>
        <w:t>C</w:t>
      </w:r>
      <w:r w:rsidR="00AB332A" w:rsidRPr="006D5D66">
        <w:rPr>
          <w:rFonts w:cstheme="minorHAnsi"/>
          <w:lang w:val="fr-FR"/>
        </w:rPr>
        <w:t>omment le processus d</w:t>
      </w:r>
      <w:r w:rsidR="00AB332A">
        <w:rPr>
          <w:rFonts w:cstheme="minorHAnsi"/>
          <w:lang w:val="fr-FR"/>
        </w:rPr>
        <w:t>e</w:t>
      </w:r>
      <w:r w:rsidR="00AB332A" w:rsidRPr="006D5D66">
        <w:rPr>
          <w:rFonts w:cstheme="minorHAnsi"/>
          <w:lang w:val="fr-FR"/>
        </w:rPr>
        <w:t xml:space="preserve"> changement a été </w:t>
      </w:r>
      <w:r w:rsidR="00AB332A">
        <w:rPr>
          <w:rFonts w:cstheme="minorHAnsi"/>
          <w:lang w:val="fr-FR"/>
        </w:rPr>
        <w:t xml:space="preserve">conçu et puis </w:t>
      </w:r>
      <w:r w:rsidR="00AB332A" w:rsidRPr="006D5D66">
        <w:rPr>
          <w:rFonts w:cstheme="minorHAnsi"/>
          <w:lang w:val="fr-FR"/>
        </w:rPr>
        <w:t>géré par le PARAT</w:t>
      </w:r>
      <w:r w:rsidR="00F721F0">
        <w:rPr>
          <w:rFonts w:cstheme="minorHAnsi"/>
          <w:lang w:val="fr-FR"/>
        </w:rPr>
        <w:t> ?</w:t>
      </w:r>
      <w:r w:rsidR="00AB332A" w:rsidRPr="006D5D66">
        <w:rPr>
          <w:rFonts w:cstheme="minorHAnsi"/>
          <w:lang w:val="fr-FR"/>
        </w:rPr>
        <w:t xml:space="preserve"> ; </w:t>
      </w:r>
      <w:r w:rsidR="00AB332A">
        <w:rPr>
          <w:rFonts w:cstheme="minorHAnsi"/>
          <w:lang w:val="fr-FR"/>
        </w:rPr>
        <w:t xml:space="preserve">et </w:t>
      </w:r>
      <w:r w:rsidR="00AB332A" w:rsidRPr="006D5D66">
        <w:rPr>
          <w:rFonts w:cstheme="minorHAnsi"/>
          <w:lang w:val="fr-FR"/>
        </w:rPr>
        <w:t xml:space="preserve">II) </w:t>
      </w:r>
      <w:r w:rsidR="00F721F0">
        <w:rPr>
          <w:rFonts w:cstheme="minorHAnsi"/>
          <w:lang w:val="fr-FR"/>
        </w:rPr>
        <w:t>Q</w:t>
      </w:r>
      <w:r w:rsidR="00AB332A" w:rsidRPr="006D5D66">
        <w:rPr>
          <w:rFonts w:cstheme="minorHAnsi"/>
          <w:lang w:val="fr-FR"/>
        </w:rPr>
        <w:t>uels ajustements le PARAT devrait/pourrait actionner pour aboutir au changement souhaité</w:t>
      </w:r>
      <w:r w:rsidR="00F721F0">
        <w:rPr>
          <w:rFonts w:cstheme="minorHAnsi"/>
          <w:lang w:val="fr-FR"/>
        </w:rPr>
        <w:t> ?</w:t>
      </w:r>
    </w:p>
    <w:p w14:paraId="161155C6" w14:textId="77777777" w:rsidR="007360A9" w:rsidRDefault="007360A9" w:rsidP="00B14404">
      <w:pPr>
        <w:contextualSpacing/>
        <w:jc w:val="both"/>
        <w:rPr>
          <w:rFonts w:cstheme="minorHAnsi"/>
          <w:lang w:val="fr-FR"/>
        </w:rPr>
      </w:pPr>
    </w:p>
    <w:p w14:paraId="0396FF5F" w14:textId="6110CF56" w:rsidR="00C73B45" w:rsidRPr="007360A9" w:rsidRDefault="003061F7" w:rsidP="007360A9">
      <w:pPr>
        <w:pBdr>
          <w:bottom w:val="single" w:sz="4" w:space="1" w:color="auto"/>
        </w:pBdr>
        <w:jc w:val="both"/>
        <w:rPr>
          <w:rFonts w:cstheme="minorHAnsi"/>
          <w:b/>
          <w:bCs/>
          <w:lang w:val="fr-FR"/>
        </w:rPr>
      </w:pPr>
      <w:r w:rsidRPr="003061F7">
        <w:rPr>
          <w:rFonts w:cstheme="minorHAnsi"/>
          <w:b/>
          <w:bCs/>
          <w:lang w:val="fr-FR"/>
        </w:rPr>
        <w:t>Résultats</w:t>
      </w:r>
    </w:p>
    <w:tbl>
      <w:tblPr>
        <w:tblStyle w:val="TableGrid"/>
        <w:tblW w:w="0" w:type="auto"/>
        <w:tblLook w:val="04A0" w:firstRow="1" w:lastRow="0" w:firstColumn="1" w:lastColumn="0" w:noHBand="0" w:noVBand="1"/>
      </w:tblPr>
      <w:tblGrid>
        <w:gridCol w:w="9628"/>
      </w:tblGrid>
      <w:tr w:rsidR="00F721F0" w:rsidRPr="00E70EBA" w14:paraId="4B6C59B9" w14:textId="77777777" w:rsidTr="00F721F0">
        <w:tc>
          <w:tcPr>
            <w:tcW w:w="9628" w:type="dxa"/>
            <w:shd w:val="clear" w:color="auto" w:fill="D9E2F3" w:themeFill="accent1" w:themeFillTint="33"/>
          </w:tcPr>
          <w:p w14:paraId="01A5A9B6" w14:textId="3BD1439A" w:rsidR="00F721F0" w:rsidRPr="00F721F0" w:rsidRDefault="00F721F0" w:rsidP="00E15304">
            <w:pPr>
              <w:jc w:val="both"/>
              <w:rPr>
                <w:rFonts w:asciiTheme="majorHAnsi" w:hAnsiTheme="majorHAnsi" w:cstheme="minorHAnsi"/>
                <w:b/>
                <w:bCs/>
                <w:lang w:val="fr-FR"/>
              </w:rPr>
            </w:pPr>
            <w:r w:rsidRPr="00F721F0">
              <w:rPr>
                <w:rFonts w:asciiTheme="majorHAnsi" w:hAnsiTheme="majorHAnsi" w:cstheme="minorHAnsi"/>
                <w:b/>
                <w:bCs/>
                <w:lang w:val="fr-FR"/>
              </w:rPr>
              <w:t>A) Pertinence et qualité de la conception</w:t>
            </w:r>
          </w:p>
        </w:tc>
      </w:tr>
    </w:tbl>
    <w:p w14:paraId="3FA7650D" w14:textId="77777777" w:rsidR="00F721F0" w:rsidRDefault="00F721F0" w:rsidP="00F721F0">
      <w:pPr>
        <w:spacing w:line="240" w:lineRule="auto"/>
        <w:jc w:val="both"/>
        <w:rPr>
          <w:rFonts w:cstheme="minorHAnsi"/>
          <w:b/>
          <w:bCs/>
          <w:lang w:val="fr-FR"/>
        </w:rPr>
      </w:pPr>
    </w:p>
    <w:p w14:paraId="15827BE5" w14:textId="0731FC9F" w:rsidR="007F0772" w:rsidRPr="00F721F0" w:rsidRDefault="00F721F0" w:rsidP="00F721F0">
      <w:pPr>
        <w:ind w:firstLine="720"/>
        <w:jc w:val="both"/>
        <w:rPr>
          <w:rFonts w:cstheme="minorHAnsi"/>
          <w:b/>
          <w:bCs/>
          <w:lang w:val="fr-FR"/>
        </w:rPr>
      </w:pPr>
      <w:r w:rsidRPr="00674265">
        <w:rPr>
          <w:rFonts w:cstheme="minorHAnsi"/>
          <w:lang w:val="fr-FR"/>
        </w:rPr>
        <w:t>1</w:t>
      </w:r>
      <w:r>
        <w:rPr>
          <w:rFonts w:cstheme="minorHAnsi"/>
          <w:b/>
          <w:bCs/>
          <w:lang w:val="fr-FR"/>
        </w:rPr>
        <w:t xml:space="preserve">. </w:t>
      </w:r>
      <w:r w:rsidR="007F0772" w:rsidRPr="00922959">
        <w:rPr>
          <w:rFonts w:cstheme="minorHAnsi"/>
          <w:b/>
          <w:bCs/>
          <w:lang w:val="fr-FR"/>
        </w:rPr>
        <w:t>L’évaluation relève que le PARAT, avec ses objectifs, reste une initiative très pertinente</w:t>
      </w:r>
      <w:r w:rsidR="007F0772" w:rsidRPr="00922959">
        <w:rPr>
          <w:rFonts w:cstheme="minorHAnsi"/>
          <w:lang w:val="fr-FR"/>
        </w:rPr>
        <w:t xml:space="preserve"> par rapport</w:t>
      </w:r>
      <w:r w:rsidR="00922959" w:rsidRPr="00922959">
        <w:rPr>
          <w:rFonts w:cstheme="minorHAnsi"/>
          <w:lang w:val="fr-FR"/>
        </w:rPr>
        <w:t xml:space="preserve"> </w:t>
      </w:r>
      <w:r w:rsidR="007F0772" w:rsidRPr="00922959">
        <w:rPr>
          <w:rFonts w:cstheme="minorHAnsi"/>
          <w:lang w:val="fr-FR"/>
        </w:rPr>
        <w:t>aux objectifs de la Stratégie nationale et du Plan d’Investissement REDD+</w:t>
      </w:r>
      <w:r w:rsidR="001527C3" w:rsidRPr="00922959">
        <w:rPr>
          <w:rFonts w:cstheme="minorHAnsi"/>
          <w:lang w:val="fr-FR"/>
        </w:rPr>
        <w:t xml:space="preserve"> et de haute priorité </w:t>
      </w:r>
      <w:r w:rsidR="001B0D96" w:rsidRPr="00922959">
        <w:rPr>
          <w:rFonts w:cstheme="minorHAnsi"/>
          <w:lang w:val="fr-FR"/>
        </w:rPr>
        <w:t>pour toutes les parties prenantes</w:t>
      </w:r>
      <w:r w:rsidR="00FE7546">
        <w:rPr>
          <w:rFonts w:cstheme="minorHAnsi"/>
          <w:lang w:val="fr-FR"/>
        </w:rPr>
        <w:t xml:space="preserve"> consultés.</w:t>
      </w:r>
    </w:p>
    <w:p w14:paraId="5E3143ED" w14:textId="18BD2315" w:rsidR="00922959" w:rsidRDefault="00922959" w:rsidP="00922959">
      <w:pPr>
        <w:ind w:firstLine="720"/>
        <w:jc w:val="both"/>
        <w:rPr>
          <w:rFonts w:cstheme="minorHAnsi"/>
          <w:lang w:val="fr-FR"/>
        </w:rPr>
      </w:pPr>
      <w:r w:rsidRPr="00674265">
        <w:rPr>
          <w:rFonts w:cstheme="minorHAnsi"/>
          <w:lang w:val="fr-FR"/>
        </w:rPr>
        <w:t>2</w:t>
      </w:r>
      <w:r>
        <w:rPr>
          <w:rFonts w:cstheme="minorHAnsi"/>
          <w:b/>
          <w:bCs/>
          <w:lang w:val="fr-FR"/>
        </w:rPr>
        <w:t xml:space="preserve">. </w:t>
      </w:r>
      <w:r w:rsidR="00674265" w:rsidRPr="00674265">
        <w:rPr>
          <w:rFonts w:cstheme="minorHAnsi"/>
          <w:b/>
          <w:bCs/>
          <w:lang w:val="fr-FR"/>
        </w:rPr>
        <w:t>Une approche plus itérative, interactif et comprenant tout le cycle de vie de la réforme est nécessaire pour bien contextualiser la réforme et prévenir les échecs.</w:t>
      </w:r>
      <w:r w:rsidR="00674265">
        <w:rPr>
          <w:rFonts w:cstheme="minorHAnsi"/>
          <w:lang w:val="fr-FR"/>
        </w:rPr>
        <w:t xml:space="preserve"> </w:t>
      </w:r>
      <w:r w:rsidR="001B0D96" w:rsidRPr="00674265">
        <w:rPr>
          <w:rFonts w:cstheme="minorHAnsi"/>
          <w:lang w:val="fr-FR"/>
        </w:rPr>
        <w:t xml:space="preserve">La vision linéaire et progressive de la réforme ne tient pas compte des forces </w:t>
      </w:r>
      <w:r w:rsidRPr="00674265">
        <w:rPr>
          <w:rFonts w:cstheme="minorHAnsi"/>
          <w:lang w:val="fr-FR"/>
        </w:rPr>
        <w:t xml:space="preserve">et dynamiques </w:t>
      </w:r>
      <w:r w:rsidR="001B0D96" w:rsidRPr="00674265">
        <w:rPr>
          <w:rFonts w:cstheme="minorHAnsi"/>
          <w:lang w:val="fr-FR"/>
        </w:rPr>
        <w:t xml:space="preserve">qui </w:t>
      </w:r>
      <w:r w:rsidRPr="00674265">
        <w:rPr>
          <w:rFonts w:cstheme="minorHAnsi"/>
          <w:lang w:val="fr-FR"/>
        </w:rPr>
        <w:t xml:space="preserve">peuvent </w:t>
      </w:r>
      <w:r w:rsidR="001B0D96" w:rsidRPr="00674265">
        <w:rPr>
          <w:rFonts w:cstheme="minorHAnsi"/>
          <w:lang w:val="fr-FR"/>
        </w:rPr>
        <w:t>affect</w:t>
      </w:r>
      <w:r w:rsidRPr="00674265">
        <w:rPr>
          <w:rFonts w:cstheme="minorHAnsi"/>
          <w:lang w:val="fr-FR"/>
        </w:rPr>
        <w:t>er</w:t>
      </w:r>
      <w:r w:rsidR="001B0D96" w:rsidRPr="00674265">
        <w:rPr>
          <w:rFonts w:cstheme="minorHAnsi"/>
          <w:lang w:val="fr-FR"/>
        </w:rPr>
        <w:t xml:space="preserve"> le </w:t>
      </w:r>
      <w:r w:rsidRPr="00674265">
        <w:rPr>
          <w:rFonts w:cstheme="minorHAnsi"/>
          <w:lang w:val="fr-FR"/>
        </w:rPr>
        <w:t xml:space="preserve">processus de </w:t>
      </w:r>
      <w:r w:rsidR="001B0D96" w:rsidRPr="00674265">
        <w:rPr>
          <w:rFonts w:cstheme="minorHAnsi"/>
          <w:lang w:val="fr-FR"/>
        </w:rPr>
        <w:t>changement</w:t>
      </w:r>
      <w:r w:rsidR="001B0D96" w:rsidRPr="00922959">
        <w:rPr>
          <w:rFonts w:cstheme="minorHAnsi"/>
          <w:lang w:val="fr-FR"/>
        </w:rPr>
        <w:t xml:space="preserve"> </w:t>
      </w:r>
      <w:r w:rsidRPr="00922959">
        <w:rPr>
          <w:rFonts w:cstheme="minorHAnsi"/>
          <w:lang w:val="fr-FR"/>
        </w:rPr>
        <w:t>(l</w:t>
      </w:r>
      <w:r w:rsidR="001B0D96" w:rsidRPr="00922959">
        <w:rPr>
          <w:rFonts w:cstheme="minorHAnsi"/>
          <w:lang w:val="fr-FR"/>
        </w:rPr>
        <w:t>es forces socio-économiques, les caractères du système politique, le processus de prise de décisions, les caractères du système administratif et l’occurrence des évènements spécifiques</w:t>
      </w:r>
      <w:r w:rsidRPr="00922959">
        <w:rPr>
          <w:rFonts w:cstheme="minorHAnsi"/>
          <w:lang w:val="fr-FR"/>
        </w:rPr>
        <w:t xml:space="preserve">). </w:t>
      </w:r>
    </w:p>
    <w:p w14:paraId="270266CF" w14:textId="549CB859" w:rsidR="00674265" w:rsidRDefault="00674265" w:rsidP="00674265">
      <w:pPr>
        <w:ind w:firstLine="720"/>
        <w:jc w:val="both"/>
        <w:rPr>
          <w:rFonts w:cstheme="minorHAnsi"/>
          <w:lang w:val="fr-FR"/>
        </w:rPr>
      </w:pPr>
      <w:r>
        <w:rPr>
          <w:rFonts w:cstheme="minorHAnsi"/>
          <w:lang w:val="fr-FR"/>
        </w:rPr>
        <w:t xml:space="preserve">3. </w:t>
      </w:r>
      <w:r w:rsidR="003061F7">
        <w:rPr>
          <w:rFonts w:cstheme="minorHAnsi"/>
          <w:b/>
          <w:bCs/>
          <w:lang w:val="fr-FR"/>
        </w:rPr>
        <w:t>U</w:t>
      </w:r>
      <w:r w:rsidRPr="00674265">
        <w:rPr>
          <w:rFonts w:cstheme="minorHAnsi"/>
          <w:b/>
          <w:bCs/>
          <w:lang w:val="fr-FR"/>
        </w:rPr>
        <w:t xml:space="preserve">ne cartographie des acteurs analysant leurs intérêts vis-à-vis la réforme est nécessaire </w:t>
      </w:r>
      <w:r w:rsidR="003061F7">
        <w:rPr>
          <w:rFonts w:cstheme="minorHAnsi"/>
          <w:b/>
          <w:bCs/>
          <w:lang w:val="fr-FR"/>
        </w:rPr>
        <w:t xml:space="preserve">en phase de conception </w:t>
      </w:r>
      <w:r w:rsidR="00FE7546">
        <w:rPr>
          <w:rFonts w:cstheme="minorHAnsi"/>
          <w:b/>
          <w:bCs/>
          <w:lang w:val="fr-FR"/>
        </w:rPr>
        <w:t xml:space="preserve">et doit être mise à jour en cours d’œuvre </w:t>
      </w:r>
      <w:r w:rsidRPr="00674265">
        <w:rPr>
          <w:rFonts w:cstheme="minorHAnsi"/>
          <w:lang w:val="fr-FR"/>
        </w:rPr>
        <w:t>pour informer la stratégie du pr</w:t>
      </w:r>
      <w:r>
        <w:rPr>
          <w:rFonts w:cstheme="minorHAnsi"/>
          <w:lang w:val="fr-FR"/>
        </w:rPr>
        <w:t>ogramme</w:t>
      </w:r>
      <w:r w:rsidRPr="00674265">
        <w:rPr>
          <w:rFonts w:cstheme="minorHAnsi"/>
          <w:lang w:val="fr-FR"/>
        </w:rPr>
        <w:t>, anticiper les oppositions et identifier les modalités d’engagement des acteurs</w:t>
      </w:r>
      <w:r>
        <w:rPr>
          <w:rFonts w:cstheme="minorHAnsi"/>
          <w:lang w:val="fr-FR"/>
        </w:rPr>
        <w:t xml:space="preserve">. </w:t>
      </w:r>
    </w:p>
    <w:p w14:paraId="55422B1F" w14:textId="6A183145" w:rsidR="003061F7" w:rsidRDefault="00674265" w:rsidP="003061F7">
      <w:pPr>
        <w:ind w:firstLine="720"/>
        <w:jc w:val="both"/>
        <w:rPr>
          <w:rFonts w:ascii="Calibri" w:eastAsia="Times New Roman" w:hAnsi="Calibri" w:cs="Calibri"/>
          <w:color w:val="000000"/>
          <w:lang w:val="fr-FR" w:eastAsia="en-GB"/>
        </w:rPr>
      </w:pPr>
      <w:r>
        <w:rPr>
          <w:rFonts w:cstheme="minorHAnsi"/>
          <w:lang w:val="fr-FR"/>
        </w:rPr>
        <w:t xml:space="preserve">4. </w:t>
      </w:r>
      <w:r w:rsidRPr="00B357D9">
        <w:rPr>
          <w:rFonts w:cstheme="minorHAnsi"/>
          <w:b/>
          <w:bCs/>
          <w:lang w:val="fr-FR"/>
        </w:rPr>
        <w:t>Les jalons de la LOI</w:t>
      </w:r>
      <w:r w:rsidR="00B357D9" w:rsidRPr="00B357D9">
        <w:rPr>
          <w:rFonts w:cstheme="minorHAnsi"/>
          <w:b/>
          <w:bCs/>
          <w:lang w:val="fr-FR"/>
        </w:rPr>
        <w:t xml:space="preserve"> dev</w:t>
      </w:r>
      <w:r w:rsidR="00FE7546">
        <w:rPr>
          <w:rFonts w:cstheme="minorHAnsi"/>
          <w:b/>
          <w:bCs/>
          <w:lang w:val="fr-FR"/>
        </w:rPr>
        <w:t>r</w:t>
      </w:r>
      <w:r w:rsidR="00B357D9" w:rsidRPr="00B357D9">
        <w:rPr>
          <w:rFonts w:cstheme="minorHAnsi"/>
          <w:b/>
          <w:bCs/>
          <w:lang w:val="fr-FR"/>
        </w:rPr>
        <w:t>aient être SMART</w:t>
      </w:r>
      <w:r w:rsidR="00B357D9">
        <w:rPr>
          <w:rFonts w:cstheme="minorHAnsi"/>
          <w:lang w:val="fr-FR"/>
        </w:rPr>
        <w:t xml:space="preserve"> (spécifiques, mesurables, atteignables, </w:t>
      </w:r>
      <w:r w:rsidR="00B357D9">
        <w:rPr>
          <w:rFonts w:ascii="Calibri" w:eastAsia="Times New Roman" w:hAnsi="Calibri" w:cs="Calibri"/>
          <w:color w:val="000000"/>
          <w:lang w:val="fr-FR" w:eastAsia="en-GB"/>
        </w:rPr>
        <w:t>réaliste, temporel) pour mieux orienter la programmation (budgétisation inclue), le suivi du programme et garantir une bonne qualité des résultats</w:t>
      </w:r>
      <w:r w:rsidR="00C73B45" w:rsidRPr="00C73B45">
        <w:rPr>
          <w:rFonts w:cstheme="minorHAnsi"/>
          <w:lang w:val="fr-FR"/>
        </w:rPr>
        <w:t>.</w:t>
      </w:r>
      <w:r w:rsidR="003061F7">
        <w:rPr>
          <w:rFonts w:cstheme="minorHAnsi"/>
          <w:lang w:val="fr-FR"/>
        </w:rPr>
        <w:t xml:space="preserve"> </w:t>
      </w:r>
      <w:r w:rsidR="003061F7" w:rsidRPr="00C73B45">
        <w:rPr>
          <w:rFonts w:cstheme="minorHAnsi"/>
          <w:lang w:val="fr-FR"/>
        </w:rPr>
        <w:t>Les interdépendances entre le secteur de l’AT et les autres</w:t>
      </w:r>
      <w:r w:rsidR="003061F7">
        <w:rPr>
          <w:rFonts w:cstheme="minorHAnsi"/>
          <w:lang w:val="fr-FR"/>
        </w:rPr>
        <w:t xml:space="preserve"> devraient être explicitées</w:t>
      </w:r>
      <w:r w:rsidR="00FE7546">
        <w:rPr>
          <w:rFonts w:cstheme="minorHAnsi"/>
          <w:lang w:val="fr-FR"/>
        </w:rPr>
        <w:t xml:space="preserve"> aussi</w:t>
      </w:r>
      <w:r w:rsidR="003061F7">
        <w:rPr>
          <w:rFonts w:cstheme="minorHAnsi"/>
          <w:lang w:val="fr-FR"/>
        </w:rPr>
        <w:t>.</w:t>
      </w:r>
    </w:p>
    <w:p w14:paraId="2764AB18" w14:textId="01F86833" w:rsidR="003061F7" w:rsidRDefault="003061F7" w:rsidP="003061F7">
      <w:pPr>
        <w:ind w:firstLine="720"/>
        <w:jc w:val="both"/>
        <w:rPr>
          <w:rFonts w:ascii="Calibri" w:eastAsia="Times New Roman" w:hAnsi="Calibri" w:cs="Calibri"/>
          <w:color w:val="000000"/>
          <w:lang w:val="fr-FR" w:eastAsia="en-GB"/>
        </w:rPr>
      </w:pPr>
      <w:r>
        <w:rPr>
          <w:rFonts w:ascii="Calibri" w:eastAsia="Times New Roman" w:hAnsi="Calibri" w:cs="Calibri"/>
          <w:color w:val="000000"/>
          <w:lang w:val="fr-FR" w:eastAsia="en-GB"/>
        </w:rPr>
        <w:t xml:space="preserve">5. </w:t>
      </w:r>
      <w:r w:rsidR="00C73B45" w:rsidRPr="003061F7">
        <w:rPr>
          <w:rFonts w:cstheme="minorHAnsi"/>
          <w:b/>
          <w:bCs/>
          <w:lang w:val="fr-FR"/>
        </w:rPr>
        <w:t xml:space="preserve">La stratégie du programme présente </w:t>
      </w:r>
      <w:r w:rsidRPr="003061F7">
        <w:rPr>
          <w:rFonts w:cstheme="minorHAnsi"/>
          <w:b/>
          <w:bCs/>
          <w:lang w:val="fr-FR"/>
        </w:rPr>
        <w:t>l</w:t>
      </w:r>
      <w:r w:rsidR="00C73B45" w:rsidRPr="003061F7">
        <w:rPr>
          <w:rFonts w:cstheme="minorHAnsi"/>
          <w:b/>
          <w:bCs/>
          <w:lang w:val="fr-FR"/>
        </w:rPr>
        <w:t xml:space="preserve">es éléments </w:t>
      </w:r>
      <w:r w:rsidRPr="003061F7">
        <w:rPr>
          <w:rFonts w:cstheme="minorHAnsi"/>
          <w:b/>
          <w:bCs/>
          <w:lang w:val="fr-FR"/>
        </w:rPr>
        <w:t xml:space="preserve">clé </w:t>
      </w:r>
      <w:r w:rsidR="00C73B45" w:rsidRPr="003061F7">
        <w:rPr>
          <w:rFonts w:cstheme="minorHAnsi"/>
          <w:b/>
          <w:bCs/>
          <w:lang w:val="fr-FR"/>
        </w:rPr>
        <w:t>pour faciliter la gestion du changement</w:t>
      </w:r>
      <w:r w:rsidR="00C73B45" w:rsidRPr="00C73B45">
        <w:rPr>
          <w:rFonts w:cstheme="minorHAnsi"/>
          <w:lang w:val="fr-FR"/>
        </w:rPr>
        <w:t>, notamment</w:t>
      </w:r>
      <w:r w:rsidR="00C73B45">
        <w:rPr>
          <w:rFonts w:cstheme="minorHAnsi"/>
          <w:lang w:val="fr-FR"/>
        </w:rPr>
        <w:t> :</w:t>
      </w:r>
      <w:r w:rsidR="00C73B45" w:rsidRPr="00C73B45">
        <w:rPr>
          <w:rFonts w:cstheme="minorHAnsi"/>
          <w:lang w:val="fr-FR"/>
        </w:rPr>
        <w:t xml:space="preserve"> une vision du changement, des objectifs</w:t>
      </w:r>
      <w:r w:rsidR="00C73B45">
        <w:rPr>
          <w:rFonts w:cstheme="minorHAnsi"/>
          <w:lang w:val="fr-FR"/>
        </w:rPr>
        <w:t xml:space="preserve"> définis</w:t>
      </w:r>
      <w:r w:rsidR="00C73B45" w:rsidRPr="00C73B45">
        <w:rPr>
          <w:rFonts w:cstheme="minorHAnsi"/>
          <w:lang w:val="fr-FR"/>
        </w:rPr>
        <w:t xml:space="preserve">, </w:t>
      </w:r>
      <w:r w:rsidR="00C73B45">
        <w:rPr>
          <w:rFonts w:cstheme="minorHAnsi"/>
          <w:lang w:val="fr-FR"/>
        </w:rPr>
        <w:t>un</w:t>
      </w:r>
      <w:r w:rsidR="00C73B45" w:rsidRPr="00C73B45">
        <w:rPr>
          <w:rFonts w:cstheme="minorHAnsi"/>
          <w:lang w:val="fr-FR"/>
        </w:rPr>
        <w:t xml:space="preserve"> plan de communication pour soutenir la réforme, des activités de formation pour renforcer les institutions en charge et </w:t>
      </w:r>
      <w:r w:rsidR="00C73B45">
        <w:rPr>
          <w:rFonts w:cstheme="minorHAnsi"/>
          <w:lang w:val="fr-FR"/>
        </w:rPr>
        <w:t xml:space="preserve">l’établissement </w:t>
      </w:r>
      <w:r w:rsidR="00C73B45" w:rsidRPr="00C73B45">
        <w:rPr>
          <w:rFonts w:cstheme="minorHAnsi"/>
          <w:lang w:val="fr-FR"/>
        </w:rPr>
        <w:t xml:space="preserve">des organismes de coordination de la réforme (COPIRAT et CONARAT). </w:t>
      </w:r>
      <w:r w:rsidR="00CB72B3" w:rsidRPr="003061F7">
        <w:rPr>
          <w:rFonts w:cstheme="minorHAnsi"/>
          <w:lang w:val="fr-FR"/>
        </w:rPr>
        <w:t xml:space="preserve">Les résultats de l’analyse binaire sur la présence des éléments essentiels à la bonne gestion du changement </w:t>
      </w:r>
      <w:r w:rsidR="00CB72B3">
        <w:rPr>
          <w:rFonts w:cstheme="minorHAnsi"/>
          <w:lang w:val="fr-FR"/>
        </w:rPr>
        <w:t>montrent</w:t>
      </w:r>
      <w:r w:rsidR="00CB72B3" w:rsidRPr="003061F7">
        <w:rPr>
          <w:rFonts w:cstheme="minorHAnsi"/>
          <w:lang w:val="fr-FR"/>
        </w:rPr>
        <w:t xml:space="preserve"> que </w:t>
      </w:r>
      <w:r w:rsidR="00CB72B3" w:rsidRPr="00FE7546">
        <w:rPr>
          <w:rFonts w:cstheme="minorHAnsi"/>
          <w:b/>
          <w:bCs/>
          <w:lang w:val="fr-FR"/>
        </w:rPr>
        <w:t>65% des éléments essentiels sont présents dans le PARAT</w:t>
      </w:r>
      <w:r w:rsidR="00CB72B3" w:rsidRPr="003061F7">
        <w:rPr>
          <w:rFonts w:cstheme="minorHAnsi"/>
          <w:lang w:val="fr-FR"/>
        </w:rPr>
        <w:t>. Les phases de programmation et évaluation sont les plus complètes, tandis que les phases de mise en œuvre et de conception nécessiteraient d’un renforcement.</w:t>
      </w:r>
    </w:p>
    <w:p w14:paraId="0996BE2C" w14:textId="450AE1CE" w:rsidR="0078519A" w:rsidRPr="0078519A" w:rsidRDefault="00832FBD" w:rsidP="00CB72B3">
      <w:pPr>
        <w:autoSpaceDE w:val="0"/>
        <w:autoSpaceDN w:val="0"/>
        <w:adjustRightInd w:val="0"/>
        <w:spacing w:after="0" w:line="240" w:lineRule="auto"/>
        <w:ind w:firstLine="720"/>
        <w:jc w:val="both"/>
        <w:rPr>
          <w:rFonts w:cstheme="minorHAnsi"/>
          <w:lang w:val="fr-FR"/>
        </w:rPr>
      </w:pPr>
      <w:r>
        <w:rPr>
          <w:rFonts w:ascii="Calibri" w:eastAsia="Times New Roman" w:hAnsi="Calibri" w:cs="Calibri"/>
          <w:color w:val="000000"/>
          <w:lang w:val="fr-FR" w:eastAsia="en-GB"/>
        </w:rPr>
        <w:t xml:space="preserve">6. </w:t>
      </w:r>
      <w:r>
        <w:rPr>
          <w:rFonts w:cstheme="minorHAnsi"/>
          <w:lang w:val="fr-FR"/>
        </w:rPr>
        <w:t>Enfin, l’évaluation relève que le programme n’a pas été conçu pour tenir en compte de la réalisation de la réforme une fois approuvée. En cohérence avec la vision linéaire de la réforme</w:t>
      </w:r>
      <w:r w:rsidR="00FE7546">
        <w:rPr>
          <w:rFonts w:cstheme="minorHAnsi"/>
          <w:lang w:val="fr-FR"/>
        </w:rPr>
        <w:t xml:space="preserve"> adoptée par le programme</w:t>
      </w:r>
      <w:r>
        <w:rPr>
          <w:rFonts w:cstheme="minorHAnsi"/>
          <w:lang w:val="fr-FR"/>
        </w:rPr>
        <w:t xml:space="preserve">, l’élaboration de la réforme et son adoption </w:t>
      </w:r>
      <w:r w:rsidR="00FE7546">
        <w:rPr>
          <w:rFonts w:cstheme="minorHAnsi"/>
          <w:lang w:val="fr-FR"/>
        </w:rPr>
        <w:t>restent</w:t>
      </w:r>
      <w:r>
        <w:rPr>
          <w:rFonts w:cstheme="minorHAnsi"/>
          <w:lang w:val="fr-FR"/>
        </w:rPr>
        <w:t xml:space="preserve"> l’objectif finale du programme. Toutefois, les phases d’élaboration et d’adoption de la réforme ne devraient pas être séparée</w:t>
      </w:r>
      <w:r w:rsidR="00FE7546">
        <w:rPr>
          <w:rFonts w:cstheme="minorHAnsi"/>
          <w:lang w:val="fr-FR"/>
        </w:rPr>
        <w:t>s</w:t>
      </w:r>
      <w:r>
        <w:rPr>
          <w:rFonts w:cstheme="minorHAnsi"/>
          <w:lang w:val="fr-FR"/>
        </w:rPr>
        <w:t xml:space="preserve"> de son application et des mécanismes de suivi et évaluation</w:t>
      </w:r>
      <w:r w:rsidR="00ED079D">
        <w:rPr>
          <w:rFonts w:cstheme="minorHAnsi"/>
          <w:lang w:val="fr-FR"/>
        </w:rPr>
        <w:t>.</w:t>
      </w:r>
      <w:r w:rsidR="00FE7546">
        <w:rPr>
          <w:rFonts w:cstheme="minorHAnsi"/>
          <w:lang w:val="fr-FR"/>
        </w:rPr>
        <w:t xml:space="preserve"> Une vision circulaire du processus est nécessaire.</w:t>
      </w:r>
    </w:p>
    <w:tbl>
      <w:tblPr>
        <w:tblStyle w:val="TableGrid"/>
        <w:tblW w:w="0" w:type="auto"/>
        <w:shd w:val="clear" w:color="auto" w:fill="D9E2F3" w:themeFill="accent1" w:themeFillTint="33"/>
        <w:tblLook w:val="04A0" w:firstRow="1" w:lastRow="0" w:firstColumn="1" w:lastColumn="0" w:noHBand="0" w:noVBand="1"/>
      </w:tblPr>
      <w:tblGrid>
        <w:gridCol w:w="9628"/>
      </w:tblGrid>
      <w:tr w:rsidR="00F721F0" w:rsidRPr="00E70EBA" w14:paraId="5E8C80FD" w14:textId="77777777" w:rsidTr="00F721F0">
        <w:tc>
          <w:tcPr>
            <w:tcW w:w="9628" w:type="dxa"/>
            <w:shd w:val="clear" w:color="auto" w:fill="D9E2F3" w:themeFill="accent1" w:themeFillTint="33"/>
          </w:tcPr>
          <w:p w14:paraId="2F8A0FCA" w14:textId="77777777" w:rsidR="00F721F0" w:rsidRPr="00F721F0" w:rsidRDefault="00F721F0" w:rsidP="00134826">
            <w:pPr>
              <w:jc w:val="both"/>
              <w:rPr>
                <w:rFonts w:ascii="Calibri" w:eastAsia="Times New Roman" w:hAnsi="Calibri" w:cs="Calibri"/>
                <w:color w:val="000000"/>
                <w:lang w:val="fr-FR" w:eastAsia="en-GB"/>
              </w:rPr>
            </w:pPr>
            <w:r w:rsidRPr="00F721F0">
              <w:rPr>
                <w:rFonts w:ascii="Calibri" w:eastAsia="Times New Roman" w:hAnsi="Calibri" w:cs="Calibri"/>
                <w:color w:val="000000"/>
                <w:lang w:val="fr-FR" w:eastAsia="en-GB"/>
              </w:rPr>
              <w:lastRenderedPageBreak/>
              <w:t xml:space="preserve">B) </w:t>
            </w:r>
            <w:r w:rsidRPr="00F721F0">
              <w:rPr>
                <w:rFonts w:asciiTheme="majorHAnsi" w:hAnsiTheme="majorHAnsi" w:cstheme="minorHAnsi"/>
                <w:b/>
                <w:bCs/>
                <w:lang w:val="fr-FR"/>
              </w:rPr>
              <w:t>Efficience de la planification et de la mise en œuvre</w:t>
            </w:r>
            <w:r w:rsidRPr="00F721F0">
              <w:rPr>
                <w:rFonts w:cstheme="minorHAnsi"/>
                <w:b/>
                <w:bCs/>
                <w:lang w:val="fr-FR"/>
              </w:rPr>
              <w:t> :</w:t>
            </w:r>
            <w:r w:rsidRPr="00F721F0">
              <w:rPr>
                <w:rFonts w:cstheme="minorHAnsi"/>
                <w:lang w:val="fr-FR"/>
              </w:rPr>
              <w:t xml:space="preserve"> </w:t>
            </w:r>
          </w:p>
        </w:tc>
      </w:tr>
    </w:tbl>
    <w:p w14:paraId="5ED442D5" w14:textId="77777777" w:rsidR="00F721F0" w:rsidRDefault="00F721F0" w:rsidP="00F721F0">
      <w:pPr>
        <w:spacing w:line="240" w:lineRule="auto"/>
        <w:ind w:firstLine="720"/>
        <w:jc w:val="both"/>
        <w:rPr>
          <w:rFonts w:cstheme="minorHAnsi"/>
          <w:lang w:val="fr-FR"/>
        </w:rPr>
      </w:pPr>
    </w:p>
    <w:p w14:paraId="57C694EB" w14:textId="2666060B" w:rsidR="00ED079D" w:rsidRDefault="00ED079D" w:rsidP="00B215E4">
      <w:pPr>
        <w:ind w:firstLine="720"/>
        <w:jc w:val="both"/>
        <w:rPr>
          <w:rFonts w:cstheme="minorHAnsi"/>
          <w:lang w:val="fr-FR"/>
        </w:rPr>
      </w:pPr>
      <w:r>
        <w:rPr>
          <w:rFonts w:cstheme="minorHAnsi"/>
          <w:lang w:val="fr-FR"/>
        </w:rPr>
        <w:t>7.</w:t>
      </w:r>
      <w:r w:rsidR="00B215E4">
        <w:rPr>
          <w:rFonts w:cstheme="minorHAnsi"/>
          <w:lang w:val="fr-FR"/>
        </w:rPr>
        <w:t xml:space="preserve"> </w:t>
      </w:r>
      <w:r w:rsidRPr="00ED079D">
        <w:rPr>
          <w:rFonts w:cstheme="minorHAnsi"/>
          <w:b/>
          <w:bCs/>
          <w:lang w:val="fr-FR"/>
        </w:rPr>
        <w:t>La gestion du changement dans la mise en œuvre du PARAT est différente par rapport à l’approche identifié dans sa conception</w:t>
      </w:r>
      <w:r>
        <w:rPr>
          <w:rFonts w:cstheme="minorHAnsi"/>
          <w:lang w:val="fr-FR"/>
        </w:rPr>
        <w:t xml:space="preserve">. </w:t>
      </w:r>
      <w:r w:rsidR="00B215E4">
        <w:rPr>
          <w:rFonts w:cstheme="minorHAnsi"/>
          <w:lang w:val="fr-FR"/>
        </w:rPr>
        <w:t>A cause du manque de ressources</w:t>
      </w:r>
      <w:r w:rsidR="00CB72B3">
        <w:rPr>
          <w:rFonts w:cstheme="minorHAnsi"/>
          <w:lang w:val="fr-FR"/>
        </w:rPr>
        <w:t xml:space="preserve"> (</w:t>
      </w:r>
      <w:r w:rsidR="00B215E4">
        <w:rPr>
          <w:rFonts w:cstheme="minorHAnsi"/>
          <w:lang w:val="fr-FR"/>
        </w:rPr>
        <w:t>financières</w:t>
      </w:r>
      <w:r w:rsidR="00CB72B3">
        <w:rPr>
          <w:rFonts w:cstheme="minorHAnsi"/>
          <w:lang w:val="fr-FR"/>
        </w:rPr>
        <w:t xml:space="preserve"> et de coordination)</w:t>
      </w:r>
      <w:r w:rsidR="00B215E4">
        <w:rPr>
          <w:rFonts w:cstheme="minorHAnsi"/>
          <w:lang w:val="fr-FR"/>
        </w:rPr>
        <w:t xml:space="preserve"> et à la suite des retards accumulés dans la mobilisation des ressources, la stratégie de gestion du changement préconisée a été de fait ignoré dans la mise en œuvre pour répondre à l’urgence de produire des résultats </w:t>
      </w:r>
      <w:r w:rsidR="00B215E4" w:rsidRPr="0059427C">
        <w:rPr>
          <w:rFonts w:cstheme="minorHAnsi"/>
          <w:lang w:val="fr-FR"/>
        </w:rPr>
        <w:t>immédiatement visible</w:t>
      </w:r>
      <w:r w:rsidR="00B215E4">
        <w:rPr>
          <w:rFonts w:cstheme="minorHAnsi"/>
          <w:lang w:val="fr-FR"/>
        </w:rPr>
        <w:t xml:space="preserve">s. </w:t>
      </w:r>
      <w:r w:rsidR="00CB72B3">
        <w:rPr>
          <w:rFonts w:cstheme="minorHAnsi"/>
          <w:lang w:val="fr-FR"/>
        </w:rPr>
        <w:t>L</w:t>
      </w:r>
      <w:r w:rsidRPr="001C4B13">
        <w:rPr>
          <w:rFonts w:cstheme="minorHAnsi"/>
          <w:lang w:val="fr-FR"/>
        </w:rPr>
        <w:t>e programme s’est adapté à ces circonstances défavorables</w:t>
      </w:r>
      <w:r w:rsidR="00FE7546">
        <w:rPr>
          <w:rFonts w:cstheme="minorHAnsi"/>
          <w:lang w:val="fr-FR"/>
        </w:rPr>
        <w:t>,</w:t>
      </w:r>
      <w:r w:rsidRPr="001C4B13">
        <w:rPr>
          <w:rFonts w:cstheme="minorHAnsi"/>
          <w:lang w:val="fr-FR"/>
        </w:rPr>
        <w:t xml:space="preserve"> </w:t>
      </w:r>
      <w:r>
        <w:rPr>
          <w:rFonts w:cstheme="minorHAnsi"/>
          <w:lang w:val="fr-FR"/>
        </w:rPr>
        <w:t>parfois de façon proactive (dans la réponse aux changements de nature politique)</w:t>
      </w:r>
      <w:r w:rsidR="00FE7546">
        <w:rPr>
          <w:rFonts w:cstheme="minorHAnsi"/>
          <w:lang w:val="fr-FR"/>
        </w:rPr>
        <w:t xml:space="preserve"> mais</w:t>
      </w:r>
      <w:r>
        <w:rPr>
          <w:rFonts w:cstheme="minorHAnsi"/>
          <w:lang w:val="fr-FR"/>
        </w:rPr>
        <w:t xml:space="preserve"> plus souvent de façon réactive. </w:t>
      </w:r>
    </w:p>
    <w:p w14:paraId="784BF068" w14:textId="3FE5DDC2" w:rsidR="00ED079D" w:rsidRDefault="00ED079D" w:rsidP="00687486">
      <w:pPr>
        <w:ind w:firstLine="720"/>
        <w:jc w:val="both"/>
        <w:rPr>
          <w:rFonts w:cstheme="minorHAnsi"/>
          <w:lang w:val="fr-FR"/>
        </w:rPr>
      </w:pPr>
      <w:r>
        <w:rPr>
          <w:rFonts w:cstheme="minorHAnsi"/>
          <w:lang w:val="fr-FR"/>
        </w:rPr>
        <w:t xml:space="preserve">8. </w:t>
      </w:r>
      <w:r w:rsidRPr="00687486">
        <w:rPr>
          <w:rFonts w:cstheme="minorHAnsi"/>
          <w:b/>
          <w:bCs/>
          <w:lang w:val="fr-FR"/>
        </w:rPr>
        <w:t xml:space="preserve">Le résultat du processus d’adaptation du programme </w:t>
      </w:r>
      <w:r w:rsidRPr="00687486">
        <w:rPr>
          <w:rFonts w:cstheme="minorHAnsi"/>
          <w:lang w:val="fr-FR"/>
        </w:rPr>
        <w:t xml:space="preserve">est la formulation </w:t>
      </w:r>
      <w:r w:rsidRPr="00D8490B">
        <w:rPr>
          <w:rFonts w:cstheme="minorHAnsi"/>
          <w:lang w:val="fr-FR"/>
        </w:rPr>
        <w:t xml:space="preserve">des </w:t>
      </w:r>
      <w:r w:rsidR="00687486" w:rsidRPr="00687486">
        <w:rPr>
          <w:rFonts w:cstheme="minorHAnsi"/>
          <w:lang w:val="fr-FR"/>
        </w:rPr>
        <w:t>documents</w:t>
      </w:r>
      <w:r w:rsidRPr="00D8490B">
        <w:rPr>
          <w:rFonts w:cstheme="minorHAnsi"/>
          <w:lang w:val="fr-FR"/>
        </w:rPr>
        <w:t xml:space="preserve"> principales de la réforme (la politique et la loi)</w:t>
      </w:r>
      <w:r w:rsidRPr="00687486">
        <w:rPr>
          <w:rFonts w:cstheme="minorHAnsi"/>
          <w:lang w:val="fr-FR"/>
        </w:rPr>
        <w:t xml:space="preserve"> avec un budget (62,5% des financements) et des temps de réalisation étroits. </w:t>
      </w:r>
      <w:r>
        <w:rPr>
          <w:rFonts w:cstheme="minorHAnsi"/>
          <w:lang w:val="fr-FR"/>
        </w:rPr>
        <w:t>Dans une perspective de gestion du changement</w:t>
      </w:r>
      <w:r w:rsidR="00FE7546">
        <w:rPr>
          <w:rFonts w:cstheme="minorHAnsi"/>
          <w:lang w:val="fr-FR"/>
        </w:rPr>
        <w:t>,</w:t>
      </w:r>
      <w:r>
        <w:rPr>
          <w:rFonts w:cstheme="minorHAnsi"/>
          <w:lang w:val="fr-FR"/>
        </w:rPr>
        <w:t xml:space="preserve"> cela </w:t>
      </w:r>
      <w:r w:rsidR="00687486">
        <w:rPr>
          <w:rFonts w:cstheme="minorHAnsi"/>
          <w:lang w:val="fr-FR"/>
        </w:rPr>
        <w:t>signifie</w:t>
      </w:r>
      <w:r>
        <w:rPr>
          <w:rFonts w:cstheme="minorHAnsi"/>
          <w:lang w:val="fr-FR"/>
        </w:rPr>
        <w:t xml:space="preserve"> aussi </w:t>
      </w:r>
      <w:r w:rsidRPr="00687486">
        <w:rPr>
          <w:rFonts w:cstheme="minorHAnsi"/>
          <w:lang w:val="fr-FR"/>
        </w:rPr>
        <w:t xml:space="preserve">que le programme a dû sacrifier des aspects importants pour le bon déroulement de la réforme, et notamment : </w:t>
      </w:r>
      <w:r w:rsidRPr="00D8490B">
        <w:rPr>
          <w:rFonts w:cstheme="minorHAnsi"/>
          <w:lang w:val="fr-FR"/>
        </w:rPr>
        <w:t xml:space="preserve">les aspects de renforcement de la leadership </w:t>
      </w:r>
      <w:r w:rsidR="00FE7546">
        <w:rPr>
          <w:rFonts w:cstheme="minorHAnsi"/>
          <w:lang w:val="fr-FR"/>
        </w:rPr>
        <w:t xml:space="preserve">et des capacités </w:t>
      </w:r>
      <w:r w:rsidRPr="00D8490B">
        <w:rPr>
          <w:rFonts w:cstheme="minorHAnsi"/>
          <w:lang w:val="fr-FR"/>
        </w:rPr>
        <w:t xml:space="preserve">du MINAT, </w:t>
      </w:r>
      <w:r w:rsidR="00CB72B3">
        <w:rPr>
          <w:rFonts w:cstheme="minorHAnsi"/>
          <w:lang w:val="fr-FR"/>
        </w:rPr>
        <w:t xml:space="preserve">de </w:t>
      </w:r>
      <w:r w:rsidRPr="00687486">
        <w:rPr>
          <w:rFonts w:cstheme="minorHAnsi"/>
          <w:lang w:val="fr-FR"/>
        </w:rPr>
        <w:t xml:space="preserve">la </w:t>
      </w:r>
      <w:r w:rsidRPr="00D8490B">
        <w:rPr>
          <w:rFonts w:cstheme="minorHAnsi"/>
          <w:lang w:val="fr-FR"/>
        </w:rPr>
        <w:t>gouvernance de la réforme</w:t>
      </w:r>
      <w:r w:rsidR="00FE7546">
        <w:rPr>
          <w:rFonts w:cstheme="minorHAnsi"/>
          <w:lang w:val="fr-FR"/>
        </w:rPr>
        <w:t xml:space="preserve"> </w:t>
      </w:r>
      <w:r w:rsidRPr="00D8490B">
        <w:rPr>
          <w:rFonts w:cstheme="minorHAnsi"/>
          <w:lang w:val="fr-FR"/>
        </w:rPr>
        <w:t xml:space="preserve">et </w:t>
      </w:r>
      <w:r w:rsidR="00CB72B3">
        <w:rPr>
          <w:rFonts w:cstheme="minorHAnsi"/>
          <w:lang w:val="fr-FR"/>
        </w:rPr>
        <w:t xml:space="preserve">de </w:t>
      </w:r>
      <w:r>
        <w:rPr>
          <w:rFonts w:cstheme="minorHAnsi"/>
          <w:lang w:val="fr-FR"/>
        </w:rPr>
        <w:t xml:space="preserve">la </w:t>
      </w:r>
      <w:r w:rsidRPr="00D8490B">
        <w:rPr>
          <w:rFonts w:cstheme="minorHAnsi"/>
          <w:lang w:val="fr-FR"/>
        </w:rPr>
        <w:t>communication</w:t>
      </w:r>
      <w:r>
        <w:rPr>
          <w:rFonts w:cstheme="minorHAnsi"/>
          <w:lang w:val="fr-FR"/>
        </w:rPr>
        <w:t>.</w:t>
      </w:r>
    </w:p>
    <w:p w14:paraId="1452BB59" w14:textId="7902E555" w:rsidR="00ED079D" w:rsidRDefault="00687486" w:rsidP="00687486">
      <w:pPr>
        <w:ind w:firstLine="720"/>
        <w:jc w:val="both"/>
        <w:rPr>
          <w:rFonts w:cstheme="minorHAnsi"/>
          <w:lang w:val="fr-FR"/>
        </w:rPr>
      </w:pPr>
      <w:r>
        <w:rPr>
          <w:rFonts w:cstheme="minorHAnsi"/>
          <w:b/>
          <w:bCs/>
          <w:lang w:val="fr-FR"/>
        </w:rPr>
        <w:t xml:space="preserve">9. </w:t>
      </w:r>
      <w:r w:rsidR="00ED079D" w:rsidRPr="00687486">
        <w:rPr>
          <w:rFonts w:cstheme="minorHAnsi"/>
          <w:b/>
          <w:bCs/>
          <w:lang w:val="fr-FR"/>
        </w:rPr>
        <w:t>Le</w:t>
      </w:r>
      <w:r w:rsidR="00ED079D">
        <w:rPr>
          <w:rFonts w:cstheme="minorHAnsi"/>
          <w:lang w:val="fr-FR"/>
        </w:rPr>
        <w:t xml:space="preserve"> </w:t>
      </w:r>
      <w:r w:rsidR="00ED079D" w:rsidRPr="006A53AC">
        <w:rPr>
          <w:rFonts w:cstheme="minorHAnsi"/>
          <w:b/>
          <w:bCs/>
          <w:lang w:val="fr-FR"/>
        </w:rPr>
        <w:t>principe de participation</w:t>
      </w:r>
      <w:r w:rsidR="00ED079D">
        <w:rPr>
          <w:rFonts w:cstheme="minorHAnsi"/>
          <w:lang w:val="fr-FR"/>
        </w:rPr>
        <w:t xml:space="preserve"> </w:t>
      </w:r>
      <w:r w:rsidR="00ED079D" w:rsidRPr="00687486">
        <w:rPr>
          <w:rFonts w:cstheme="minorHAnsi"/>
          <w:lang w:val="fr-FR"/>
        </w:rPr>
        <w:t>a été assuré par le</w:t>
      </w:r>
      <w:r w:rsidR="00CB72B3">
        <w:rPr>
          <w:rFonts w:cstheme="minorHAnsi"/>
          <w:lang w:val="fr-FR"/>
        </w:rPr>
        <w:t>s</w:t>
      </w:r>
      <w:r w:rsidR="00ED079D" w:rsidRPr="00687486">
        <w:rPr>
          <w:rFonts w:cstheme="minorHAnsi"/>
          <w:lang w:val="fr-FR"/>
        </w:rPr>
        <w:t xml:space="preserve"> nombreuses consultations conduites avec les </w:t>
      </w:r>
      <w:r w:rsidR="00CB72B3">
        <w:rPr>
          <w:rFonts w:cstheme="minorHAnsi"/>
          <w:lang w:val="fr-FR"/>
        </w:rPr>
        <w:t xml:space="preserve">organisations </w:t>
      </w:r>
      <w:r w:rsidR="00ED079D" w:rsidRPr="00687486">
        <w:rPr>
          <w:rFonts w:cstheme="minorHAnsi"/>
          <w:lang w:val="fr-FR"/>
        </w:rPr>
        <w:t>représentants de la société civile</w:t>
      </w:r>
      <w:r w:rsidR="00F10EA5">
        <w:rPr>
          <w:rFonts w:cstheme="minorHAnsi"/>
          <w:lang w:val="fr-FR"/>
        </w:rPr>
        <w:t>. Toutefois,</w:t>
      </w:r>
      <w:r w:rsidR="00ED079D" w:rsidRPr="00687486">
        <w:rPr>
          <w:rFonts w:cstheme="minorHAnsi"/>
          <w:lang w:val="fr-FR"/>
        </w:rPr>
        <w:t xml:space="preserve"> </w:t>
      </w:r>
      <w:r w:rsidR="00ED079D">
        <w:rPr>
          <w:rFonts w:cstheme="minorHAnsi"/>
          <w:lang w:val="fr-FR"/>
        </w:rPr>
        <w:t xml:space="preserve">le bon déroulement des ateliers a été affecté par des problèmes de communication et </w:t>
      </w:r>
      <w:r w:rsidR="00F10EA5">
        <w:rPr>
          <w:rFonts w:cstheme="minorHAnsi"/>
          <w:lang w:val="fr-FR"/>
        </w:rPr>
        <w:t>par le</w:t>
      </w:r>
      <w:r w:rsidR="00ED079D">
        <w:rPr>
          <w:rFonts w:cstheme="minorHAnsi"/>
          <w:lang w:val="fr-FR"/>
        </w:rPr>
        <w:t xml:space="preserve"> manque d</w:t>
      </w:r>
      <w:r w:rsidR="00F10EA5">
        <w:rPr>
          <w:rFonts w:cstheme="minorHAnsi"/>
          <w:lang w:val="fr-FR"/>
        </w:rPr>
        <w:t>’une</w:t>
      </w:r>
      <w:r w:rsidR="00ED079D">
        <w:rPr>
          <w:rFonts w:cstheme="minorHAnsi"/>
          <w:lang w:val="fr-FR"/>
        </w:rPr>
        <w:t xml:space="preserve"> méthodologie. L’ouverture au dialogue du nouveau ministre</w:t>
      </w:r>
      <w:r w:rsidR="00CB72B3">
        <w:rPr>
          <w:rFonts w:cstheme="minorHAnsi"/>
          <w:lang w:val="fr-FR"/>
        </w:rPr>
        <w:t xml:space="preserve"> du MINAT</w:t>
      </w:r>
      <w:r w:rsidR="00ED079D">
        <w:rPr>
          <w:rFonts w:cstheme="minorHAnsi"/>
          <w:lang w:val="fr-FR"/>
        </w:rPr>
        <w:t xml:space="preserve">, ainsi que les efforts du FONAREDD, du PNUD et le fort engagement des organisations de la société civile sur la thématique de l’AT ont permis de résoudre les oppositions </w:t>
      </w:r>
      <w:r w:rsidR="00F10EA5">
        <w:rPr>
          <w:rFonts w:cstheme="minorHAnsi"/>
          <w:lang w:val="fr-FR"/>
        </w:rPr>
        <w:t xml:space="preserve">sur l’avant-projet de loi. Le focus de la politique de l’AT fait encore </w:t>
      </w:r>
      <w:r w:rsidR="00FE7546">
        <w:rPr>
          <w:rFonts w:cstheme="minorHAnsi"/>
          <w:lang w:val="fr-FR"/>
        </w:rPr>
        <w:t>l’objet</w:t>
      </w:r>
      <w:r w:rsidR="00F10EA5">
        <w:rPr>
          <w:rFonts w:cstheme="minorHAnsi"/>
          <w:lang w:val="fr-FR"/>
        </w:rPr>
        <w:t xml:space="preserve"> de divergences de visions entre les organisations de la société civile</w:t>
      </w:r>
      <w:r w:rsidR="00FE7546">
        <w:rPr>
          <w:rFonts w:cstheme="minorHAnsi"/>
          <w:lang w:val="fr-FR"/>
        </w:rPr>
        <w:t xml:space="preserve"> et la version qui a été formulée par les firmes et adoptée par le gouvernement.</w:t>
      </w:r>
    </w:p>
    <w:p w14:paraId="44E9F8A8" w14:textId="558E5E98" w:rsidR="00ED079D" w:rsidRDefault="00687486" w:rsidP="00687486">
      <w:pPr>
        <w:jc w:val="both"/>
        <w:rPr>
          <w:rFonts w:cstheme="minorHAnsi"/>
          <w:lang w:val="fr-FR"/>
        </w:rPr>
      </w:pPr>
      <w:r>
        <w:rPr>
          <w:rFonts w:cstheme="minorHAnsi"/>
          <w:lang w:val="fr-FR"/>
        </w:rPr>
        <w:t xml:space="preserve">10. </w:t>
      </w:r>
      <w:r w:rsidR="00ED079D" w:rsidRPr="00687486">
        <w:rPr>
          <w:rFonts w:cstheme="minorHAnsi"/>
          <w:b/>
          <w:bCs/>
          <w:lang w:val="fr-FR"/>
        </w:rPr>
        <w:t>Le</w:t>
      </w:r>
      <w:r w:rsidR="00ED079D">
        <w:rPr>
          <w:rFonts w:cstheme="minorHAnsi"/>
          <w:lang w:val="fr-FR"/>
        </w:rPr>
        <w:t xml:space="preserve"> </w:t>
      </w:r>
      <w:r w:rsidR="00ED079D" w:rsidRPr="006A53AC">
        <w:rPr>
          <w:rFonts w:cstheme="minorHAnsi"/>
          <w:b/>
          <w:bCs/>
          <w:lang w:val="fr-FR"/>
        </w:rPr>
        <w:t>principe de « value for money »</w:t>
      </w:r>
      <w:r w:rsidR="00ED079D">
        <w:rPr>
          <w:rFonts w:cstheme="minorHAnsi"/>
          <w:lang w:val="fr-FR"/>
        </w:rPr>
        <w:t xml:space="preserve"> </w:t>
      </w:r>
      <w:r w:rsidR="00ED079D" w:rsidRPr="00687486">
        <w:rPr>
          <w:rFonts w:cstheme="minorHAnsi"/>
          <w:b/>
          <w:bCs/>
          <w:lang w:val="fr-FR"/>
        </w:rPr>
        <w:t>a été respecté</w:t>
      </w:r>
      <w:r w:rsidR="00ED079D">
        <w:rPr>
          <w:rFonts w:cstheme="minorHAnsi"/>
          <w:lang w:val="fr-FR"/>
        </w:rPr>
        <w:t xml:space="preserve"> par le programme</w:t>
      </w:r>
      <w:r w:rsidR="00FE7546">
        <w:rPr>
          <w:rFonts w:cstheme="minorHAnsi"/>
          <w:lang w:val="fr-FR"/>
        </w:rPr>
        <w:t>,</w:t>
      </w:r>
      <w:r w:rsidR="00ED079D">
        <w:rPr>
          <w:rFonts w:cstheme="minorHAnsi"/>
          <w:lang w:val="fr-FR"/>
        </w:rPr>
        <w:t xml:space="preserve"> qui est réussi avec un peu plus de la moitié du financement (62,5%) à lancer toutes les activités prévues, </w:t>
      </w:r>
      <w:r w:rsidR="00F10EA5">
        <w:rPr>
          <w:rFonts w:cstheme="minorHAnsi"/>
          <w:lang w:val="fr-FR"/>
        </w:rPr>
        <w:t xml:space="preserve">aussi </w:t>
      </w:r>
      <w:r w:rsidR="008E422F">
        <w:rPr>
          <w:rFonts w:cstheme="minorHAnsi"/>
          <w:lang w:val="fr-FR"/>
        </w:rPr>
        <w:t>au niveau provincial</w:t>
      </w:r>
      <w:r w:rsidR="00ED079D">
        <w:rPr>
          <w:rFonts w:cstheme="minorHAnsi"/>
          <w:lang w:val="fr-FR"/>
        </w:rPr>
        <w:t xml:space="preserve">, et à parvenir à la formulation de la politique et de la loi. </w:t>
      </w:r>
    </w:p>
    <w:p w14:paraId="5EF52F21" w14:textId="4C71F1C3" w:rsidR="00ED079D" w:rsidRPr="00687486" w:rsidRDefault="00687486" w:rsidP="00687486">
      <w:pPr>
        <w:ind w:firstLine="720"/>
        <w:jc w:val="both"/>
        <w:rPr>
          <w:rFonts w:cstheme="minorHAnsi"/>
          <w:b/>
          <w:bCs/>
          <w:lang w:val="fr-FR"/>
        </w:rPr>
      </w:pPr>
      <w:r>
        <w:rPr>
          <w:rFonts w:cstheme="minorHAnsi"/>
          <w:lang w:val="fr-FR"/>
        </w:rPr>
        <w:t xml:space="preserve">11. </w:t>
      </w:r>
      <w:r w:rsidRPr="00687486">
        <w:rPr>
          <w:rFonts w:cstheme="minorHAnsi"/>
          <w:b/>
          <w:bCs/>
          <w:lang w:val="fr-FR"/>
        </w:rPr>
        <w:t>L</w:t>
      </w:r>
      <w:r w:rsidR="00ED079D" w:rsidRPr="00687486">
        <w:rPr>
          <w:rFonts w:cstheme="minorHAnsi"/>
          <w:b/>
          <w:bCs/>
          <w:lang w:val="fr-FR"/>
        </w:rPr>
        <w:t>es causes majeures</w:t>
      </w:r>
      <w:r w:rsidR="00ED079D">
        <w:rPr>
          <w:rFonts w:cstheme="minorHAnsi"/>
          <w:lang w:val="fr-FR"/>
        </w:rPr>
        <w:t xml:space="preserve"> </w:t>
      </w:r>
      <w:r w:rsidR="00ED079D" w:rsidRPr="00687486">
        <w:rPr>
          <w:rFonts w:cstheme="minorHAnsi"/>
          <w:b/>
          <w:bCs/>
          <w:lang w:val="fr-FR"/>
        </w:rPr>
        <w:t xml:space="preserve">qui ont affecté le bon déroulement du programme par rapport aux critères d’efficacité et </w:t>
      </w:r>
      <w:r w:rsidR="00F10EA5">
        <w:rPr>
          <w:rFonts w:cstheme="minorHAnsi"/>
          <w:b/>
          <w:bCs/>
          <w:lang w:val="fr-FR"/>
        </w:rPr>
        <w:t>d’efficience</w:t>
      </w:r>
      <w:r w:rsidR="00ED079D" w:rsidRPr="00687486">
        <w:rPr>
          <w:rFonts w:cstheme="minorHAnsi"/>
          <w:b/>
          <w:bCs/>
          <w:lang w:val="fr-FR"/>
        </w:rPr>
        <w:t> </w:t>
      </w:r>
      <w:r w:rsidR="00F10EA5">
        <w:rPr>
          <w:rFonts w:cstheme="minorHAnsi"/>
          <w:b/>
          <w:bCs/>
          <w:lang w:val="fr-FR"/>
        </w:rPr>
        <w:t>sont</w:t>
      </w:r>
      <w:r w:rsidR="00F10EA5" w:rsidRPr="00687486">
        <w:rPr>
          <w:rFonts w:cstheme="minorHAnsi"/>
          <w:b/>
          <w:bCs/>
          <w:lang w:val="fr-FR"/>
        </w:rPr>
        <w:t xml:space="preserve"> :</w:t>
      </w:r>
    </w:p>
    <w:p w14:paraId="7F1DE69E" w14:textId="03B16065" w:rsidR="00ED079D" w:rsidRPr="00687486" w:rsidRDefault="00ED079D" w:rsidP="00287B2B">
      <w:pPr>
        <w:pStyle w:val="ListParagraph"/>
        <w:numPr>
          <w:ilvl w:val="0"/>
          <w:numId w:val="42"/>
        </w:numPr>
        <w:jc w:val="both"/>
        <w:rPr>
          <w:rFonts w:cstheme="minorHAnsi"/>
          <w:lang w:val="fr-FR"/>
        </w:rPr>
      </w:pPr>
      <w:r w:rsidRPr="00687486">
        <w:rPr>
          <w:rFonts w:cstheme="minorHAnsi"/>
          <w:u w:val="single"/>
          <w:lang w:val="fr-FR"/>
        </w:rPr>
        <w:t>Efficience</w:t>
      </w:r>
      <w:r w:rsidRPr="00687486">
        <w:rPr>
          <w:rFonts w:cstheme="minorHAnsi"/>
          <w:b/>
          <w:bCs/>
          <w:lang w:val="fr-FR"/>
        </w:rPr>
        <w:t> </w:t>
      </w:r>
      <w:r w:rsidRPr="00687486">
        <w:rPr>
          <w:rFonts w:cstheme="minorHAnsi"/>
          <w:lang w:val="fr-FR"/>
        </w:rPr>
        <w:t>: la sous-estimation des couts du programme par rapport aux résultats attendus et les faibles capacités de mobilisation des ressources nécessaires à l’implémentation du programme dans les délais requis ;</w:t>
      </w:r>
    </w:p>
    <w:p w14:paraId="39252F3D" w14:textId="2A501793" w:rsidR="00ED079D" w:rsidRPr="00687486" w:rsidRDefault="00ED079D" w:rsidP="00287B2B">
      <w:pPr>
        <w:pStyle w:val="ListParagraph"/>
        <w:numPr>
          <w:ilvl w:val="0"/>
          <w:numId w:val="42"/>
        </w:numPr>
        <w:jc w:val="both"/>
        <w:rPr>
          <w:rFonts w:cstheme="minorHAnsi"/>
          <w:lang w:val="fr-FR"/>
        </w:rPr>
      </w:pPr>
      <w:r w:rsidRPr="00687486">
        <w:rPr>
          <w:rFonts w:cstheme="minorHAnsi"/>
          <w:u w:val="single"/>
          <w:lang w:val="fr-FR"/>
        </w:rPr>
        <w:t>Efficacité</w:t>
      </w:r>
      <w:r w:rsidRPr="00687486">
        <w:rPr>
          <w:rFonts w:cstheme="minorHAnsi"/>
          <w:lang w:val="fr-FR"/>
        </w:rPr>
        <w:t xml:space="preserve"> : </w:t>
      </w:r>
      <w:r w:rsidR="00F10EA5">
        <w:rPr>
          <w:rFonts w:cstheme="minorHAnsi"/>
          <w:lang w:val="fr-FR"/>
        </w:rPr>
        <w:t xml:space="preserve">le </w:t>
      </w:r>
      <w:r w:rsidRPr="00687486">
        <w:rPr>
          <w:rFonts w:cstheme="minorHAnsi"/>
          <w:lang w:val="fr-FR"/>
        </w:rPr>
        <w:t xml:space="preserve">retard dans le décaissement de la deuxième tranche du financement </w:t>
      </w:r>
      <w:r w:rsidR="00F10EA5">
        <w:rPr>
          <w:rFonts w:cstheme="minorHAnsi"/>
          <w:lang w:val="fr-FR"/>
        </w:rPr>
        <w:t xml:space="preserve">qui a </w:t>
      </w:r>
      <w:r w:rsidRPr="00687486">
        <w:rPr>
          <w:rFonts w:cstheme="minorHAnsi"/>
          <w:lang w:val="fr-FR"/>
        </w:rPr>
        <w:t>empêch</w:t>
      </w:r>
      <w:r w:rsidR="00F10EA5">
        <w:rPr>
          <w:rFonts w:cstheme="minorHAnsi"/>
          <w:lang w:val="fr-FR"/>
        </w:rPr>
        <w:t>é</w:t>
      </w:r>
      <w:r w:rsidRPr="00687486">
        <w:rPr>
          <w:rFonts w:cstheme="minorHAnsi"/>
          <w:lang w:val="fr-FR"/>
        </w:rPr>
        <w:t xml:space="preserve"> la </w:t>
      </w:r>
      <w:r w:rsidR="00F10EA5">
        <w:rPr>
          <w:rFonts w:cstheme="minorHAnsi"/>
          <w:lang w:val="fr-FR"/>
        </w:rPr>
        <w:t xml:space="preserve">bonne </w:t>
      </w:r>
      <w:r w:rsidRPr="00687486">
        <w:rPr>
          <w:rFonts w:cstheme="minorHAnsi"/>
          <w:lang w:val="fr-FR"/>
        </w:rPr>
        <w:t>continuation des activités et les faibles capacités techniques, de coordination et communication de l’équipe du projet par rapport à la modalité de réalisation du projet (DIM avec recrutement des firmes).</w:t>
      </w:r>
    </w:p>
    <w:p w14:paraId="4C7CD482" w14:textId="4D1125D4" w:rsidR="00FE7546" w:rsidRDefault="00687486" w:rsidP="00DC1F5E">
      <w:pPr>
        <w:ind w:firstLine="720"/>
        <w:jc w:val="both"/>
        <w:rPr>
          <w:rFonts w:cstheme="minorHAnsi"/>
          <w:lang w:val="fr-FR"/>
        </w:rPr>
      </w:pPr>
      <w:r>
        <w:rPr>
          <w:rFonts w:cstheme="minorHAnsi"/>
          <w:lang w:val="fr-FR"/>
        </w:rPr>
        <w:t xml:space="preserve">12. </w:t>
      </w:r>
      <w:r w:rsidR="00F10EA5">
        <w:rPr>
          <w:rFonts w:cstheme="minorHAnsi"/>
          <w:lang w:val="fr-FR"/>
        </w:rPr>
        <w:t>C</w:t>
      </w:r>
      <w:r w:rsidR="00ED079D">
        <w:rPr>
          <w:rFonts w:cstheme="minorHAnsi"/>
          <w:lang w:val="fr-FR"/>
        </w:rPr>
        <w:t xml:space="preserve">es causes pourraient être adressées avec des investissements dans les capacités de l’équipe du projet de la part de l’agence exécutrice, autant en termes de ressources humaines à support du projet que de révision de processus </w:t>
      </w:r>
      <w:r>
        <w:rPr>
          <w:rFonts w:cstheme="minorHAnsi"/>
          <w:lang w:val="fr-FR"/>
        </w:rPr>
        <w:t>et des capacités opérationnelles</w:t>
      </w:r>
      <w:r w:rsidR="00ED079D">
        <w:rPr>
          <w:rFonts w:cstheme="minorHAnsi"/>
          <w:lang w:val="fr-FR"/>
        </w:rPr>
        <w:t xml:space="preserve"> </w:t>
      </w:r>
      <w:r>
        <w:rPr>
          <w:rFonts w:cstheme="minorHAnsi"/>
          <w:lang w:val="fr-FR"/>
        </w:rPr>
        <w:t>de</w:t>
      </w:r>
      <w:r w:rsidR="00ED079D">
        <w:rPr>
          <w:rFonts w:cstheme="minorHAnsi"/>
          <w:lang w:val="fr-FR"/>
        </w:rPr>
        <w:t xml:space="preserve"> mobilisation efficiente des ressources. De l’autre côté, le décaissement de la deuxième tranche du financement est essentiel à garantir la continuation des activités et à soutenir l’élan crée par les résultats achevés jusqu’ici. </w:t>
      </w:r>
    </w:p>
    <w:tbl>
      <w:tblPr>
        <w:tblStyle w:val="TableGrid"/>
        <w:tblW w:w="0" w:type="auto"/>
        <w:shd w:val="clear" w:color="auto" w:fill="D9E2F3" w:themeFill="accent1" w:themeFillTint="33"/>
        <w:tblLook w:val="04A0" w:firstRow="1" w:lastRow="0" w:firstColumn="1" w:lastColumn="0" w:noHBand="0" w:noVBand="1"/>
      </w:tblPr>
      <w:tblGrid>
        <w:gridCol w:w="9628"/>
      </w:tblGrid>
      <w:tr w:rsidR="00F721F0" w:rsidRPr="00F721F0" w14:paraId="0C9AFCE7" w14:textId="77777777" w:rsidTr="00F721F0">
        <w:tc>
          <w:tcPr>
            <w:tcW w:w="9628" w:type="dxa"/>
            <w:shd w:val="clear" w:color="auto" w:fill="D9E2F3" w:themeFill="accent1" w:themeFillTint="33"/>
          </w:tcPr>
          <w:p w14:paraId="2A39F5E4" w14:textId="5A21D9ED" w:rsidR="00F721F0" w:rsidRPr="00F721F0" w:rsidRDefault="00F721F0" w:rsidP="00EC3C80">
            <w:pPr>
              <w:jc w:val="both"/>
              <w:rPr>
                <w:rFonts w:cstheme="minorHAnsi"/>
                <w:lang w:val="fr-FR"/>
              </w:rPr>
            </w:pPr>
            <w:r w:rsidRPr="00F721F0">
              <w:rPr>
                <w:rFonts w:cstheme="minorHAnsi"/>
                <w:lang w:val="fr-FR"/>
              </w:rPr>
              <w:t xml:space="preserve">C) </w:t>
            </w:r>
            <w:r w:rsidRPr="00F721F0">
              <w:rPr>
                <w:rFonts w:asciiTheme="majorHAnsi" w:hAnsiTheme="majorHAnsi" w:cstheme="minorHAnsi"/>
                <w:b/>
                <w:bCs/>
                <w:lang w:val="fr-FR"/>
              </w:rPr>
              <w:t>Facteurs de succès et risques </w:t>
            </w:r>
          </w:p>
        </w:tc>
      </w:tr>
    </w:tbl>
    <w:p w14:paraId="55894E21" w14:textId="77777777" w:rsidR="00F721F0" w:rsidRDefault="00F721F0" w:rsidP="00FE7546">
      <w:pPr>
        <w:spacing w:line="240" w:lineRule="auto"/>
        <w:jc w:val="both"/>
        <w:rPr>
          <w:rFonts w:cstheme="minorHAnsi"/>
          <w:lang w:val="fr-FR"/>
        </w:rPr>
      </w:pPr>
    </w:p>
    <w:p w14:paraId="5613ADAA" w14:textId="45CDB947" w:rsidR="00687486" w:rsidRDefault="00687486" w:rsidP="003B1D1E">
      <w:pPr>
        <w:ind w:firstLine="720"/>
        <w:jc w:val="both"/>
        <w:rPr>
          <w:rFonts w:cstheme="minorHAnsi"/>
          <w:lang w:val="fr-FR"/>
        </w:rPr>
      </w:pPr>
      <w:r>
        <w:rPr>
          <w:rFonts w:cstheme="minorHAnsi"/>
          <w:lang w:val="fr-FR"/>
        </w:rPr>
        <w:t>1</w:t>
      </w:r>
      <w:r w:rsidR="003B1D1E">
        <w:rPr>
          <w:rFonts w:cstheme="minorHAnsi"/>
          <w:lang w:val="fr-FR"/>
        </w:rPr>
        <w:t>3</w:t>
      </w:r>
      <w:r>
        <w:rPr>
          <w:rFonts w:cstheme="minorHAnsi"/>
          <w:lang w:val="fr-FR"/>
        </w:rPr>
        <w:t xml:space="preserve">. </w:t>
      </w:r>
      <w:r w:rsidRPr="00680084">
        <w:rPr>
          <w:rFonts w:cstheme="minorHAnsi"/>
          <w:b/>
          <w:bCs/>
          <w:lang w:val="fr-FR"/>
        </w:rPr>
        <w:t>Besoin du changement</w:t>
      </w:r>
      <w:r>
        <w:rPr>
          <w:rFonts w:cstheme="minorHAnsi"/>
          <w:lang w:val="fr-FR"/>
        </w:rPr>
        <w:t xml:space="preserve"> : Le PARAT est réussi à construire dans le temps un sens d’urgence sur la réforme de l’AT, aperçu par toutes les parties </w:t>
      </w:r>
      <w:r w:rsidR="00F90B43">
        <w:rPr>
          <w:rFonts w:cstheme="minorHAnsi"/>
          <w:lang w:val="fr-FR"/>
        </w:rPr>
        <w:t>consultés</w:t>
      </w:r>
      <w:r>
        <w:rPr>
          <w:rFonts w:cstheme="minorHAnsi"/>
          <w:lang w:val="fr-FR"/>
        </w:rPr>
        <w:t xml:space="preserve"> (Gouvernement, MINAT, </w:t>
      </w:r>
      <w:proofErr w:type="spellStart"/>
      <w:r>
        <w:rPr>
          <w:rFonts w:cstheme="minorHAnsi"/>
          <w:lang w:val="fr-FR"/>
        </w:rPr>
        <w:t>ONGs</w:t>
      </w:r>
      <w:proofErr w:type="spellEnd"/>
      <w:r>
        <w:rPr>
          <w:rFonts w:cstheme="minorHAnsi"/>
          <w:lang w:val="fr-FR"/>
        </w:rPr>
        <w:t>, Organisations Internationales, Partenaires).</w:t>
      </w:r>
    </w:p>
    <w:p w14:paraId="4BFA42ED" w14:textId="34D05FAC" w:rsidR="00687486" w:rsidRDefault="003B1D1E" w:rsidP="003B1D1E">
      <w:pPr>
        <w:ind w:firstLine="720"/>
        <w:jc w:val="both"/>
        <w:rPr>
          <w:rFonts w:cstheme="minorHAnsi"/>
          <w:lang w:val="fr-FR"/>
        </w:rPr>
      </w:pPr>
      <w:r>
        <w:rPr>
          <w:rFonts w:cstheme="minorHAnsi"/>
          <w:lang w:val="fr-FR"/>
        </w:rPr>
        <w:lastRenderedPageBreak/>
        <w:t>14</w:t>
      </w:r>
      <w:r w:rsidR="00687486">
        <w:rPr>
          <w:rFonts w:cstheme="minorHAnsi"/>
          <w:lang w:val="fr-FR"/>
        </w:rPr>
        <w:t xml:space="preserve">. Mais, le programme </w:t>
      </w:r>
      <w:r w:rsidR="00B215E4">
        <w:rPr>
          <w:rFonts w:cstheme="minorHAnsi"/>
          <w:lang w:val="fr-FR"/>
        </w:rPr>
        <w:t xml:space="preserve">devrait renforcer le </w:t>
      </w:r>
      <w:r w:rsidR="00687486" w:rsidRPr="00C8295E">
        <w:rPr>
          <w:rFonts w:cstheme="minorHAnsi"/>
          <w:b/>
          <w:bCs/>
          <w:lang w:val="fr-FR"/>
        </w:rPr>
        <w:t>consensus interne pour le changement</w:t>
      </w:r>
      <w:r w:rsidR="00687486">
        <w:rPr>
          <w:rFonts w:cstheme="minorHAnsi"/>
          <w:b/>
          <w:bCs/>
          <w:lang w:val="fr-FR"/>
        </w:rPr>
        <w:t> </w:t>
      </w:r>
      <w:r w:rsidR="00687486" w:rsidRPr="00C8295E">
        <w:rPr>
          <w:rFonts w:cstheme="minorHAnsi"/>
          <w:lang w:val="fr-FR"/>
        </w:rPr>
        <w:t>:</w:t>
      </w:r>
      <w:r w:rsidR="00687486">
        <w:rPr>
          <w:rFonts w:cstheme="minorHAnsi"/>
          <w:lang w:val="fr-FR"/>
        </w:rPr>
        <w:t xml:space="preserve"> les départements du MINAT et les nouvelles unités crées de support (CAT et ONAT) ont été engagés en silos dans les activités du programme, ce qui a alimenté aussi des conflits à l’interne du MINAT.</w:t>
      </w:r>
    </w:p>
    <w:p w14:paraId="5AE654B7" w14:textId="39CC9D1F" w:rsidR="00687486" w:rsidRDefault="003B1D1E" w:rsidP="003B1D1E">
      <w:pPr>
        <w:ind w:firstLine="720"/>
        <w:jc w:val="both"/>
        <w:rPr>
          <w:rFonts w:cstheme="minorHAnsi"/>
          <w:lang w:val="fr-FR"/>
        </w:rPr>
      </w:pPr>
      <w:r>
        <w:rPr>
          <w:rFonts w:cstheme="minorHAnsi"/>
          <w:lang w:val="fr-FR"/>
        </w:rPr>
        <w:t>15</w:t>
      </w:r>
      <w:r w:rsidR="00687486">
        <w:rPr>
          <w:rFonts w:cstheme="minorHAnsi"/>
          <w:lang w:val="fr-FR"/>
        </w:rPr>
        <w:t xml:space="preserve">. </w:t>
      </w:r>
      <w:r w:rsidR="00687486" w:rsidRPr="00C8295E">
        <w:rPr>
          <w:rFonts w:cstheme="minorHAnsi"/>
          <w:b/>
          <w:bCs/>
          <w:lang w:val="fr-FR"/>
        </w:rPr>
        <w:t>La vision du changement</w:t>
      </w:r>
      <w:r w:rsidR="00687486">
        <w:rPr>
          <w:rFonts w:cstheme="minorHAnsi"/>
          <w:lang w:val="fr-FR"/>
        </w:rPr>
        <w:t xml:space="preserve"> </w:t>
      </w:r>
      <w:r w:rsidR="00687486" w:rsidRPr="006B329B">
        <w:rPr>
          <w:rFonts w:cstheme="minorHAnsi"/>
          <w:b/>
          <w:bCs/>
          <w:lang w:val="fr-FR"/>
        </w:rPr>
        <w:t>linéaire a été modifié pour répondre aux oppositions de la société civile </w:t>
      </w:r>
      <w:r w:rsidR="00687486">
        <w:rPr>
          <w:rFonts w:cstheme="minorHAnsi"/>
          <w:lang w:val="fr-FR"/>
        </w:rPr>
        <w:t xml:space="preserve">: face aux blocages constitués par l’opposition de la société civile à la politique et à la loi de l’AT deux processus différents ont été adoptés. Le premier, pour la politique, a poursuit la vision linéaire sans écouter les oppositions de la société civile et résultant dans une politique adopté par le gouvernement mais pas appuyée dans sa vision par les organisations de la société civile. Au contraire pour l’avant-projet de loi, avec le changement de la leadership du MINAT, on a adopté une vision plus adaptive qui a permis au nouvel ministre et aux organisations de la société civile de </w:t>
      </w:r>
      <w:r w:rsidR="008E7268">
        <w:rPr>
          <w:rFonts w:cstheme="minorHAnsi"/>
          <w:lang w:val="fr-FR"/>
        </w:rPr>
        <w:t>rouvrir</w:t>
      </w:r>
      <w:r w:rsidR="00687486">
        <w:rPr>
          <w:rFonts w:cstheme="minorHAnsi"/>
          <w:lang w:val="fr-FR"/>
        </w:rPr>
        <w:t xml:space="preserve"> le dialogue sur le projet et de trouver un accord.</w:t>
      </w:r>
    </w:p>
    <w:p w14:paraId="514CC96B" w14:textId="26802D96" w:rsidR="00687486" w:rsidRDefault="003B1D1E" w:rsidP="003B1D1E">
      <w:pPr>
        <w:ind w:firstLine="720"/>
        <w:jc w:val="both"/>
        <w:rPr>
          <w:rFonts w:cstheme="minorHAnsi"/>
          <w:lang w:val="fr-FR"/>
        </w:rPr>
      </w:pPr>
      <w:r>
        <w:rPr>
          <w:rFonts w:cstheme="minorHAnsi"/>
          <w:lang w:val="fr-FR"/>
        </w:rPr>
        <w:t>16</w:t>
      </w:r>
      <w:r w:rsidR="00687486">
        <w:rPr>
          <w:rFonts w:cstheme="minorHAnsi"/>
          <w:lang w:val="fr-FR"/>
        </w:rPr>
        <w:t xml:space="preserve">. </w:t>
      </w:r>
      <w:r w:rsidR="00F10EA5">
        <w:rPr>
          <w:rFonts w:cstheme="minorHAnsi"/>
          <w:lang w:val="fr-FR"/>
        </w:rPr>
        <w:t>L</w:t>
      </w:r>
      <w:r w:rsidR="00687486">
        <w:rPr>
          <w:rFonts w:cstheme="minorHAnsi"/>
          <w:lang w:val="fr-FR"/>
        </w:rPr>
        <w:t xml:space="preserve">a </w:t>
      </w:r>
      <w:r w:rsidR="00687486" w:rsidRPr="00C8295E">
        <w:rPr>
          <w:rFonts w:cstheme="minorHAnsi"/>
          <w:b/>
          <w:bCs/>
          <w:lang w:val="fr-FR"/>
        </w:rPr>
        <w:t>stratégie d</w:t>
      </w:r>
      <w:r w:rsidR="00687486">
        <w:rPr>
          <w:rFonts w:cstheme="minorHAnsi"/>
          <w:b/>
          <w:bCs/>
          <w:lang w:val="fr-FR"/>
        </w:rPr>
        <w:t>e gestion du</w:t>
      </w:r>
      <w:r w:rsidR="00687486" w:rsidRPr="00C8295E">
        <w:rPr>
          <w:rFonts w:cstheme="minorHAnsi"/>
          <w:b/>
          <w:bCs/>
          <w:lang w:val="fr-FR"/>
        </w:rPr>
        <w:t xml:space="preserve"> changement</w:t>
      </w:r>
      <w:r w:rsidR="00687486">
        <w:rPr>
          <w:rFonts w:cstheme="minorHAnsi"/>
          <w:lang w:val="fr-FR"/>
        </w:rPr>
        <w:t xml:space="preserve"> du programme a été réorientée sur des résultats à court-terme pour faire face aux contraintes budgétaires et aux retards accumulés dans la mobilisation des ressources : la politique et la loi ont été produites sans résoudre les problèmes du manque de gouvernance et coordination intersectorielle, du manque des données sectoriels pour orienter les affectations </w:t>
      </w:r>
      <w:r w:rsidR="00F10EA5">
        <w:rPr>
          <w:rFonts w:cstheme="minorHAnsi"/>
          <w:lang w:val="fr-FR"/>
        </w:rPr>
        <w:t xml:space="preserve">et </w:t>
      </w:r>
      <w:r w:rsidR="00687486">
        <w:rPr>
          <w:rFonts w:cstheme="minorHAnsi"/>
          <w:lang w:val="fr-FR"/>
        </w:rPr>
        <w:t>du manque des capacités du MINAT de réaliser la réforme, tant au niveau centrale qu</w:t>
      </w:r>
      <w:r w:rsidR="00F10EA5">
        <w:rPr>
          <w:rFonts w:cstheme="minorHAnsi"/>
          <w:lang w:val="fr-FR"/>
        </w:rPr>
        <w:t xml:space="preserve">’au niveau </w:t>
      </w:r>
      <w:r w:rsidR="00687486">
        <w:rPr>
          <w:rFonts w:cstheme="minorHAnsi"/>
          <w:lang w:val="fr-FR"/>
        </w:rPr>
        <w:t>provinciale.</w:t>
      </w:r>
    </w:p>
    <w:p w14:paraId="09D7FF04" w14:textId="5BC4A8E8" w:rsidR="00687486" w:rsidRDefault="003B1D1E" w:rsidP="003B1D1E">
      <w:pPr>
        <w:ind w:firstLine="720"/>
        <w:jc w:val="both"/>
        <w:rPr>
          <w:rFonts w:cstheme="minorHAnsi"/>
          <w:lang w:val="fr-FR"/>
        </w:rPr>
      </w:pPr>
      <w:r>
        <w:rPr>
          <w:rFonts w:cstheme="minorHAnsi"/>
          <w:lang w:val="fr-FR"/>
        </w:rPr>
        <w:t>17</w:t>
      </w:r>
      <w:r w:rsidR="00687486">
        <w:rPr>
          <w:rFonts w:cstheme="minorHAnsi"/>
          <w:lang w:val="fr-FR"/>
        </w:rPr>
        <w:t>. Après avoir créé un sens d’urgence sur le problème du manque d’une réforme de l’AT, le programme n’a pas opérationnalisé une stratégie de</w:t>
      </w:r>
      <w:r w:rsidR="00687486" w:rsidRPr="006B329B">
        <w:rPr>
          <w:rFonts w:cstheme="minorHAnsi"/>
          <w:b/>
          <w:bCs/>
          <w:lang w:val="fr-FR"/>
        </w:rPr>
        <w:t xml:space="preserve"> communication</w:t>
      </w:r>
      <w:r w:rsidR="00687486">
        <w:rPr>
          <w:rFonts w:cstheme="minorHAnsi"/>
          <w:lang w:val="fr-FR"/>
        </w:rPr>
        <w:t xml:space="preserve"> à soutien de la réforme : le partage des informations a été déficitaire tant avec les bailleurs qu’avec la société civile</w:t>
      </w:r>
      <w:r w:rsidR="00F90B43">
        <w:rPr>
          <w:rFonts w:cstheme="minorHAnsi"/>
          <w:lang w:val="fr-FR"/>
        </w:rPr>
        <w:t xml:space="preserve">, surtout </w:t>
      </w:r>
      <w:r w:rsidR="00687486">
        <w:rPr>
          <w:rFonts w:cstheme="minorHAnsi"/>
          <w:lang w:val="fr-FR"/>
        </w:rPr>
        <w:t>à cause du manque d</w:t>
      </w:r>
      <w:r w:rsidR="00F10EA5">
        <w:rPr>
          <w:rFonts w:cstheme="minorHAnsi"/>
          <w:lang w:val="fr-FR"/>
        </w:rPr>
        <w:t xml:space="preserve">’un plan et </w:t>
      </w:r>
      <w:r w:rsidR="00847B21">
        <w:rPr>
          <w:rFonts w:cstheme="minorHAnsi"/>
          <w:lang w:val="fr-FR"/>
        </w:rPr>
        <w:t>des ressources pour la communication de la part du projet</w:t>
      </w:r>
      <w:r w:rsidR="00687486">
        <w:rPr>
          <w:rFonts w:cstheme="minorHAnsi"/>
          <w:lang w:val="fr-FR"/>
        </w:rPr>
        <w:t xml:space="preserve">. </w:t>
      </w:r>
    </w:p>
    <w:p w14:paraId="3E5EFA92" w14:textId="0791E900" w:rsidR="00687486" w:rsidRDefault="003B1D1E" w:rsidP="003B1D1E">
      <w:pPr>
        <w:ind w:firstLine="720"/>
        <w:jc w:val="both"/>
        <w:rPr>
          <w:rFonts w:cstheme="minorHAnsi"/>
          <w:lang w:val="fr-FR"/>
        </w:rPr>
      </w:pPr>
      <w:r>
        <w:rPr>
          <w:rFonts w:cstheme="minorHAnsi"/>
          <w:lang w:val="fr-FR"/>
        </w:rPr>
        <w:t>18</w:t>
      </w:r>
      <w:r w:rsidR="00687486">
        <w:rPr>
          <w:rFonts w:cstheme="minorHAnsi"/>
          <w:lang w:val="fr-FR"/>
        </w:rPr>
        <w:t xml:space="preserve">. La volonté politique de réaliser la réforme est alimentée par </w:t>
      </w:r>
      <w:r w:rsidR="00687486" w:rsidRPr="00004DD0">
        <w:rPr>
          <w:rFonts w:cstheme="minorHAnsi"/>
          <w:b/>
          <w:bCs/>
          <w:lang w:val="fr-FR"/>
        </w:rPr>
        <w:t>l’engagement de la nouvelle leadership</w:t>
      </w:r>
      <w:r w:rsidR="00687486">
        <w:rPr>
          <w:rFonts w:cstheme="minorHAnsi"/>
          <w:lang w:val="fr-FR"/>
        </w:rPr>
        <w:t xml:space="preserve"> du MINAT</w:t>
      </w:r>
      <w:r w:rsidR="00F90B43">
        <w:rPr>
          <w:rFonts w:cstheme="minorHAnsi"/>
          <w:lang w:val="fr-FR"/>
        </w:rPr>
        <w:t>,</w:t>
      </w:r>
      <w:r w:rsidR="00687486">
        <w:rPr>
          <w:rFonts w:cstheme="minorHAnsi"/>
          <w:lang w:val="fr-FR"/>
        </w:rPr>
        <w:t xml:space="preserve"> qui a joué un rôle déterminant dans le dialogue avec la société civile et </w:t>
      </w:r>
      <w:r w:rsidR="00F90B43">
        <w:rPr>
          <w:rFonts w:cstheme="minorHAnsi"/>
          <w:lang w:val="fr-FR"/>
        </w:rPr>
        <w:t>dans le</w:t>
      </w:r>
      <w:r w:rsidR="00687486">
        <w:rPr>
          <w:rFonts w:cstheme="minorHAnsi"/>
          <w:lang w:val="fr-FR"/>
        </w:rPr>
        <w:t xml:space="preserve"> soutien aux initiatives de renforcement des capacités techniques de l’administration de l’AT.</w:t>
      </w:r>
    </w:p>
    <w:p w14:paraId="5CBF7CC4" w14:textId="0D04AC90" w:rsidR="00687486" w:rsidRDefault="003B1D1E" w:rsidP="003B1D1E">
      <w:pPr>
        <w:ind w:firstLine="720"/>
        <w:jc w:val="both"/>
        <w:rPr>
          <w:rFonts w:cstheme="minorHAnsi"/>
          <w:lang w:val="fr-FR"/>
        </w:rPr>
      </w:pPr>
      <w:r>
        <w:rPr>
          <w:rFonts w:cstheme="minorHAnsi"/>
          <w:lang w:val="fr-FR"/>
        </w:rPr>
        <w:t>19</w:t>
      </w:r>
      <w:r w:rsidR="00687486">
        <w:rPr>
          <w:rFonts w:cstheme="minorHAnsi"/>
          <w:lang w:val="fr-FR"/>
        </w:rPr>
        <w:t xml:space="preserve">. </w:t>
      </w:r>
      <w:r w:rsidR="00847B21">
        <w:rPr>
          <w:rFonts w:cstheme="minorHAnsi"/>
          <w:lang w:val="fr-FR"/>
        </w:rPr>
        <w:t>Toutefois,</w:t>
      </w:r>
      <w:r w:rsidR="00687486">
        <w:rPr>
          <w:rFonts w:cstheme="minorHAnsi"/>
          <w:lang w:val="fr-FR"/>
        </w:rPr>
        <w:t xml:space="preserve"> une </w:t>
      </w:r>
      <w:r w:rsidR="00687486" w:rsidRPr="00004DD0">
        <w:rPr>
          <w:rFonts w:cstheme="minorHAnsi"/>
          <w:b/>
          <w:bCs/>
          <w:lang w:val="fr-FR"/>
        </w:rPr>
        <w:t>coalition guide</w:t>
      </w:r>
      <w:r w:rsidR="00687486">
        <w:rPr>
          <w:rFonts w:cstheme="minorHAnsi"/>
          <w:lang w:val="fr-FR"/>
        </w:rPr>
        <w:t xml:space="preserve"> avec les autres secteurs n’a pas été formée ou institutionnalisée : en effet, l’une des préoccupations majeures à ce moment est l’absence d’un organe de coordination interministérielle (le COPIRAT est dès 2018 sous forme de décret en attente d’approbation) et l’opérationnalisation des groupes thématiques qui ont besoin de ressources pour commencer</w:t>
      </w:r>
      <w:r w:rsidR="00847B21">
        <w:rPr>
          <w:rFonts w:cstheme="minorHAnsi"/>
          <w:lang w:val="fr-FR"/>
        </w:rPr>
        <w:t xml:space="preserve"> à travailler</w:t>
      </w:r>
      <w:r w:rsidR="00687486">
        <w:rPr>
          <w:rFonts w:cstheme="minorHAnsi"/>
          <w:lang w:val="fr-FR"/>
        </w:rPr>
        <w:t>.</w:t>
      </w:r>
    </w:p>
    <w:p w14:paraId="39226137" w14:textId="1F1AB24F" w:rsidR="00687486" w:rsidRDefault="003B1D1E" w:rsidP="003B1D1E">
      <w:pPr>
        <w:ind w:firstLine="720"/>
        <w:jc w:val="both"/>
        <w:rPr>
          <w:rFonts w:cstheme="minorHAnsi"/>
          <w:lang w:val="fr-FR"/>
        </w:rPr>
      </w:pPr>
      <w:r>
        <w:rPr>
          <w:rFonts w:cstheme="minorHAnsi"/>
          <w:lang w:val="fr-FR"/>
        </w:rPr>
        <w:t>20</w:t>
      </w:r>
      <w:r w:rsidR="00687486">
        <w:rPr>
          <w:rFonts w:cstheme="minorHAnsi"/>
          <w:lang w:val="fr-FR"/>
        </w:rPr>
        <w:t xml:space="preserve">. Le problème du manque des </w:t>
      </w:r>
      <w:r w:rsidR="00687486" w:rsidRPr="00004DD0">
        <w:rPr>
          <w:rFonts w:cstheme="minorHAnsi"/>
          <w:b/>
          <w:bCs/>
          <w:lang w:val="fr-FR"/>
        </w:rPr>
        <w:t>ressources</w:t>
      </w:r>
      <w:r w:rsidR="00687486">
        <w:rPr>
          <w:rFonts w:cstheme="minorHAnsi"/>
          <w:lang w:val="fr-FR"/>
        </w:rPr>
        <w:t xml:space="preserve"> (financières et humaines) est la cause principale des inefficiences du PARAT et doit être adressé pour garantir le futur du programme et la pérennisation de ses résultats.</w:t>
      </w:r>
      <w:r w:rsidR="00847B21">
        <w:rPr>
          <w:rFonts w:cstheme="minorHAnsi"/>
          <w:lang w:val="fr-FR"/>
        </w:rPr>
        <w:t xml:space="preserve"> Il faudrait doter l’équipe du programme de l’expertise technique nécessaire à garantir la bonne coordination et le contrôle qualité des produits et de l’autre côté il faut que </w:t>
      </w:r>
      <w:r w:rsidR="00F90B43">
        <w:rPr>
          <w:rFonts w:cstheme="minorHAnsi"/>
          <w:lang w:val="fr-FR"/>
        </w:rPr>
        <w:t>le</w:t>
      </w:r>
      <w:r w:rsidR="00847B21">
        <w:rPr>
          <w:rFonts w:cstheme="minorHAnsi"/>
          <w:lang w:val="fr-FR"/>
        </w:rPr>
        <w:t xml:space="preserve"> programme dispose des financements dans des délais prévisibles et alignés à la progression des activités.</w:t>
      </w:r>
    </w:p>
    <w:p w14:paraId="60EAC790" w14:textId="6C5A67EA" w:rsidR="007A42DE" w:rsidRDefault="003B1D1E" w:rsidP="0055171F">
      <w:pPr>
        <w:ind w:firstLine="720"/>
        <w:jc w:val="both"/>
        <w:rPr>
          <w:rFonts w:cstheme="minorHAnsi"/>
          <w:lang w:val="fr-FR"/>
        </w:rPr>
      </w:pPr>
      <w:r>
        <w:rPr>
          <w:rFonts w:cstheme="minorHAnsi"/>
          <w:lang w:val="fr-FR"/>
        </w:rPr>
        <w:t>21</w:t>
      </w:r>
      <w:r w:rsidR="00687486">
        <w:rPr>
          <w:rFonts w:cstheme="minorHAnsi"/>
          <w:lang w:val="fr-FR"/>
        </w:rPr>
        <w:t xml:space="preserve">. </w:t>
      </w:r>
      <w:r w:rsidR="00847B21">
        <w:rPr>
          <w:rFonts w:cstheme="minorHAnsi"/>
          <w:lang w:val="fr-FR"/>
        </w:rPr>
        <w:t>Pour le futur de la réforme</w:t>
      </w:r>
      <w:r w:rsidR="00F90B43">
        <w:rPr>
          <w:rFonts w:cstheme="minorHAnsi"/>
          <w:lang w:val="fr-FR"/>
        </w:rPr>
        <w:t>,</w:t>
      </w:r>
      <w:r w:rsidR="00847B21">
        <w:rPr>
          <w:rFonts w:cstheme="minorHAnsi"/>
          <w:lang w:val="fr-FR"/>
        </w:rPr>
        <w:t xml:space="preserve"> il faudrait poursuivre </w:t>
      </w:r>
      <w:r w:rsidR="00687486">
        <w:rPr>
          <w:rFonts w:cstheme="minorHAnsi"/>
          <w:lang w:val="fr-FR"/>
        </w:rPr>
        <w:t xml:space="preserve">un </w:t>
      </w:r>
      <w:r w:rsidR="00687486" w:rsidRPr="00A70D91">
        <w:rPr>
          <w:rFonts w:cstheme="minorHAnsi"/>
          <w:b/>
          <w:bCs/>
          <w:lang w:val="fr-FR"/>
        </w:rPr>
        <w:t>changement compréhensif</w:t>
      </w:r>
      <w:r w:rsidR="00687486">
        <w:rPr>
          <w:rFonts w:cstheme="minorHAnsi"/>
          <w:lang w:val="fr-FR"/>
        </w:rPr>
        <w:t xml:space="preserve"> en mesure d’intégrer le niveau central avec le niveau périphérique</w:t>
      </w:r>
      <w:r w:rsidR="00847B21">
        <w:rPr>
          <w:rFonts w:cstheme="minorHAnsi"/>
          <w:lang w:val="fr-FR"/>
        </w:rPr>
        <w:t>,</w:t>
      </w:r>
      <w:r w:rsidR="00687486">
        <w:rPr>
          <w:rFonts w:cstheme="minorHAnsi"/>
          <w:lang w:val="fr-FR"/>
        </w:rPr>
        <w:t xml:space="preserve"> et concentrer </w:t>
      </w:r>
      <w:r w:rsidR="00847B21">
        <w:rPr>
          <w:rFonts w:cstheme="minorHAnsi"/>
          <w:lang w:val="fr-FR"/>
        </w:rPr>
        <w:t xml:space="preserve">donc </w:t>
      </w:r>
      <w:r w:rsidR="00687486">
        <w:rPr>
          <w:rFonts w:cstheme="minorHAnsi"/>
          <w:lang w:val="fr-FR"/>
        </w:rPr>
        <w:t>les ressources sur le pilotage des produits dans le PIREDD avant d’avancer avec les prochaines étapes de la réforme (implémentation+ suivi et évaluation).</w:t>
      </w:r>
      <w:r w:rsidR="00847B21">
        <w:rPr>
          <w:rFonts w:cstheme="minorHAnsi"/>
          <w:lang w:val="fr-FR"/>
        </w:rPr>
        <w:t xml:space="preserve"> </w:t>
      </w:r>
      <w:r w:rsidR="00687486">
        <w:rPr>
          <w:rFonts w:cstheme="minorHAnsi"/>
          <w:lang w:val="fr-FR"/>
        </w:rPr>
        <w:t xml:space="preserve">La mise en place des </w:t>
      </w:r>
      <w:r w:rsidR="00687486" w:rsidRPr="00A70D91">
        <w:rPr>
          <w:rFonts w:cstheme="minorHAnsi"/>
          <w:b/>
          <w:bCs/>
          <w:lang w:val="fr-FR"/>
        </w:rPr>
        <w:t>mécanismes de suivi et évaluation</w:t>
      </w:r>
      <w:r w:rsidR="00687486">
        <w:rPr>
          <w:rFonts w:cstheme="minorHAnsi"/>
          <w:lang w:val="fr-FR"/>
        </w:rPr>
        <w:t xml:space="preserve"> de la réforme, avec l’appui des organismes techniques comme l’ONAT et le repère et la</w:t>
      </w:r>
      <w:r w:rsidR="00847B21">
        <w:rPr>
          <w:rFonts w:cstheme="minorHAnsi"/>
          <w:lang w:val="fr-FR"/>
        </w:rPr>
        <w:t xml:space="preserve"> collection</w:t>
      </w:r>
      <w:r w:rsidR="00687486">
        <w:rPr>
          <w:rFonts w:cstheme="minorHAnsi"/>
          <w:lang w:val="fr-FR"/>
        </w:rPr>
        <w:t xml:space="preserve"> des données de base pour </w:t>
      </w:r>
      <w:r w:rsidR="00F90B43">
        <w:rPr>
          <w:rFonts w:cstheme="minorHAnsi"/>
          <w:lang w:val="fr-FR"/>
        </w:rPr>
        <w:t>bien appliquer</w:t>
      </w:r>
      <w:r w:rsidR="00687486">
        <w:rPr>
          <w:rFonts w:cstheme="minorHAnsi"/>
          <w:lang w:val="fr-FR"/>
        </w:rPr>
        <w:t xml:space="preserve"> la réforme dans le vaste territoire de la RDC est l</w:t>
      </w:r>
      <w:r w:rsidR="00847B21">
        <w:rPr>
          <w:rFonts w:cstheme="minorHAnsi"/>
          <w:lang w:val="fr-FR"/>
        </w:rPr>
        <w:t>a deuxième</w:t>
      </w:r>
      <w:r w:rsidR="00687486">
        <w:rPr>
          <w:rFonts w:cstheme="minorHAnsi"/>
          <w:lang w:val="fr-FR"/>
        </w:rPr>
        <w:t xml:space="preserve"> priorité à adresser avant de procéder avec l’implémentation de la politique et de la loi</w:t>
      </w:r>
      <w:r w:rsidR="00F90B43">
        <w:rPr>
          <w:rFonts w:cstheme="minorHAnsi"/>
          <w:lang w:val="fr-FR"/>
        </w:rPr>
        <w:t>.</w:t>
      </w:r>
    </w:p>
    <w:p w14:paraId="7C750B40" w14:textId="111FB4D8" w:rsidR="00566167" w:rsidRPr="00566167" w:rsidRDefault="00566167" w:rsidP="00566167">
      <w:pPr>
        <w:jc w:val="center"/>
        <w:rPr>
          <w:rFonts w:cstheme="minorHAnsi"/>
          <w:lang w:val="fr-FR"/>
        </w:rPr>
      </w:pPr>
      <w:r>
        <w:rPr>
          <w:b/>
          <w:bCs/>
          <w:sz w:val="28"/>
          <w:szCs w:val="28"/>
          <w:lang w:val="fr-FR"/>
        </w:rPr>
        <w:t>Tableau synoptique des r</w:t>
      </w:r>
      <w:r w:rsidR="008A7A5B" w:rsidRPr="00566167">
        <w:rPr>
          <w:b/>
          <w:bCs/>
          <w:sz w:val="28"/>
          <w:szCs w:val="28"/>
          <w:lang w:val="fr-FR"/>
        </w:rPr>
        <w:t>ecommandations</w:t>
      </w:r>
    </w:p>
    <w:tbl>
      <w:tblPr>
        <w:tblStyle w:val="TableGrid"/>
        <w:tblW w:w="0" w:type="auto"/>
        <w:tblLook w:val="04A0" w:firstRow="1" w:lastRow="0" w:firstColumn="1" w:lastColumn="0" w:noHBand="0" w:noVBand="1"/>
      </w:tblPr>
      <w:tblGrid>
        <w:gridCol w:w="1344"/>
        <w:gridCol w:w="2313"/>
        <w:gridCol w:w="991"/>
        <w:gridCol w:w="1181"/>
        <w:gridCol w:w="2360"/>
        <w:gridCol w:w="1439"/>
      </w:tblGrid>
      <w:tr w:rsidR="00D864DE" w14:paraId="04DEF911" w14:textId="77777777" w:rsidTr="00BA5929">
        <w:tc>
          <w:tcPr>
            <w:tcW w:w="1128" w:type="dxa"/>
          </w:tcPr>
          <w:p w14:paraId="1E7300E2" w14:textId="4A7314E7" w:rsidR="008A7A5B" w:rsidRPr="00930A27" w:rsidRDefault="008A7A5B" w:rsidP="00566167">
            <w:pPr>
              <w:pStyle w:val="Title"/>
              <w:jc w:val="center"/>
              <w:rPr>
                <w:b/>
                <w:bCs/>
                <w:sz w:val="22"/>
                <w:szCs w:val="22"/>
                <w:lang w:val="fr-FR"/>
              </w:rPr>
            </w:pPr>
            <w:r w:rsidRPr="00930A27">
              <w:rPr>
                <w:b/>
                <w:bCs/>
                <w:sz w:val="22"/>
                <w:szCs w:val="22"/>
                <w:lang w:val="fr-FR"/>
              </w:rPr>
              <w:t>Axes</w:t>
            </w:r>
          </w:p>
        </w:tc>
        <w:tc>
          <w:tcPr>
            <w:tcW w:w="2975" w:type="dxa"/>
          </w:tcPr>
          <w:p w14:paraId="3CF5A416" w14:textId="723520BA" w:rsidR="008A7A5B" w:rsidRPr="00566167" w:rsidRDefault="008A7A5B" w:rsidP="008A7A5B">
            <w:pPr>
              <w:pStyle w:val="Title"/>
              <w:jc w:val="center"/>
              <w:rPr>
                <w:b/>
                <w:bCs/>
                <w:sz w:val="22"/>
                <w:szCs w:val="22"/>
                <w:lang w:val="fr-FR"/>
              </w:rPr>
            </w:pPr>
            <w:r w:rsidRPr="00566167">
              <w:rPr>
                <w:b/>
                <w:bCs/>
                <w:sz w:val="22"/>
                <w:szCs w:val="22"/>
                <w:lang w:val="fr-FR"/>
              </w:rPr>
              <w:t>Recommandation</w:t>
            </w:r>
          </w:p>
        </w:tc>
        <w:tc>
          <w:tcPr>
            <w:tcW w:w="1187" w:type="dxa"/>
          </w:tcPr>
          <w:p w14:paraId="36A4AC7F" w14:textId="38BE429F" w:rsidR="008A7A5B" w:rsidRPr="00566167" w:rsidRDefault="00566167" w:rsidP="00BA5929">
            <w:pPr>
              <w:pStyle w:val="Title"/>
              <w:jc w:val="center"/>
              <w:rPr>
                <w:b/>
                <w:bCs/>
                <w:sz w:val="22"/>
                <w:szCs w:val="22"/>
                <w:lang w:val="fr-FR"/>
              </w:rPr>
            </w:pPr>
            <w:r w:rsidRPr="00566167">
              <w:rPr>
                <w:b/>
                <w:bCs/>
                <w:sz w:val="22"/>
                <w:szCs w:val="22"/>
                <w:lang w:val="fr-FR"/>
              </w:rPr>
              <w:t>Priorité</w:t>
            </w:r>
          </w:p>
        </w:tc>
        <w:tc>
          <w:tcPr>
            <w:tcW w:w="1084" w:type="dxa"/>
            <w:vAlign w:val="center"/>
          </w:tcPr>
          <w:p w14:paraId="667A4912" w14:textId="6CFF0F24" w:rsidR="008A7A5B" w:rsidRPr="00566167" w:rsidRDefault="00566167" w:rsidP="00566167">
            <w:pPr>
              <w:pStyle w:val="Title"/>
              <w:jc w:val="center"/>
              <w:rPr>
                <w:b/>
                <w:bCs/>
                <w:sz w:val="22"/>
                <w:szCs w:val="22"/>
                <w:lang w:val="fr-FR"/>
              </w:rPr>
            </w:pPr>
            <w:r w:rsidRPr="00566167">
              <w:rPr>
                <w:b/>
                <w:bCs/>
                <w:sz w:val="22"/>
                <w:szCs w:val="22"/>
                <w:lang w:val="fr-FR"/>
              </w:rPr>
              <w:t>Entité responsable</w:t>
            </w:r>
          </w:p>
        </w:tc>
        <w:tc>
          <w:tcPr>
            <w:tcW w:w="1781" w:type="dxa"/>
            <w:vAlign w:val="center"/>
          </w:tcPr>
          <w:p w14:paraId="7C521592" w14:textId="0CB2424E" w:rsidR="008A7A5B" w:rsidRPr="00566167" w:rsidRDefault="00566167" w:rsidP="00566167">
            <w:pPr>
              <w:pStyle w:val="Title"/>
              <w:jc w:val="center"/>
              <w:rPr>
                <w:b/>
                <w:bCs/>
                <w:sz w:val="22"/>
                <w:szCs w:val="22"/>
                <w:lang w:val="fr-FR"/>
              </w:rPr>
            </w:pPr>
            <w:r w:rsidRPr="00566167">
              <w:rPr>
                <w:b/>
                <w:bCs/>
                <w:sz w:val="22"/>
                <w:szCs w:val="22"/>
                <w:lang w:val="fr-FR"/>
              </w:rPr>
              <w:t>Partie(s) à consulter</w:t>
            </w:r>
          </w:p>
        </w:tc>
        <w:tc>
          <w:tcPr>
            <w:tcW w:w="1473" w:type="dxa"/>
            <w:vAlign w:val="center"/>
          </w:tcPr>
          <w:p w14:paraId="741280AA" w14:textId="2FADF7F7" w:rsidR="008A7A5B" w:rsidRPr="00566167" w:rsidRDefault="00566167" w:rsidP="00566167">
            <w:pPr>
              <w:pStyle w:val="Title"/>
              <w:jc w:val="center"/>
              <w:rPr>
                <w:b/>
                <w:bCs/>
                <w:sz w:val="22"/>
                <w:szCs w:val="22"/>
                <w:lang w:val="fr-FR"/>
              </w:rPr>
            </w:pPr>
            <w:r w:rsidRPr="00566167">
              <w:rPr>
                <w:b/>
                <w:bCs/>
                <w:sz w:val="22"/>
                <w:szCs w:val="22"/>
                <w:lang w:val="fr-FR"/>
              </w:rPr>
              <w:t>Partie(s) à informer</w:t>
            </w:r>
          </w:p>
        </w:tc>
      </w:tr>
      <w:tr w:rsidR="00D864DE" w14:paraId="5084C055" w14:textId="77777777" w:rsidTr="00BA5929">
        <w:tc>
          <w:tcPr>
            <w:tcW w:w="1128" w:type="dxa"/>
            <w:vAlign w:val="center"/>
          </w:tcPr>
          <w:p w14:paraId="7905A5AA" w14:textId="6E0D4530" w:rsidR="008A7A5B" w:rsidRPr="00930A27" w:rsidRDefault="00566167" w:rsidP="00566167">
            <w:pPr>
              <w:pStyle w:val="Title"/>
              <w:jc w:val="center"/>
              <w:rPr>
                <w:sz w:val="22"/>
                <w:szCs w:val="22"/>
                <w:lang w:val="fr-FR"/>
              </w:rPr>
            </w:pPr>
            <w:r w:rsidRPr="00930A27">
              <w:rPr>
                <w:sz w:val="22"/>
                <w:szCs w:val="22"/>
                <w:lang w:val="fr-FR"/>
              </w:rPr>
              <w:t>Stratégique</w:t>
            </w:r>
          </w:p>
        </w:tc>
        <w:tc>
          <w:tcPr>
            <w:tcW w:w="2975" w:type="dxa"/>
          </w:tcPr>
          <w:p w14:paraId="68B15634" w14:textId="2D63086B" w:rsidR="008A7A5B" w:rsidRPr="00BA5929" w:rsidRDefault="00566167" w:rsidP="00BA5929">
            <w:pPr>
              <w:jc w:val="both"/>
              <w:rPr>
                <w:rFonts w:asciiTheme="majorHAnsi" w:eastAsiaTheme="majorEastAsia" w:hAnsiTheme="majorHAnsi" w:cstheme="majorBidi"/>
                <w:spacing w:val="-10"/>
                <w:kern w:val="28"/>
                <w:lang w:val="fr-FR"/>
              </w:rPr>
            </w:pPr>
            <w:r w:rsidRPr="00BA5929">
              <w:rPr>
                <w:rFonts w:asciiTheme="majorHAnsi" w:eastAsiaTheme="majorEastAsia" w:hAnsiTheme="majorHAnsi" w:cstheme="majorBidi"/>
                <w:spacing w:val="-10"/>
                <w:kern w:val="28"/>
                <w:lang w:val="fr-FR"/>
              </w:rPr>
              <w:t xml:space="preserve">1. Faire une meilleure </w:t>
            </w:r>
            <w:r w:rsidRPr="00930A27">
              <w:rPr>
                <w:rFonts w:asciiTheme="majorHAnsi" w:eastAsiaTheme="majorEastAsia" w:hAnsiTheme="majorHAnsi" w:cstheme="majorBidi"/>
                <w:b/>
                <w:bCs/>
                <w:spacing w:val="-10"/>
                <w:kern w:val="28"/>
                <w:lang w:val="fr-FR"/>
              </w:rPr>
              <w:t xml:space="preserve">articulation de la politique avec les programmes sur </w:t>
            </w:r>
            <w:r w:rsidRPr="00930A27">
              <w:rPr>
                <w:rFonts w:asciiTheme="majorHAnsi" w:eastAsiaTheme="majorEastAsia" w:hAnsiTheme="majorHAnsi" w:cstheme="majorBidi"/>
                <w:b/>
                <w:bCs/>
                <w:spacing w:val="-10"/>
                <w:kern w:val="28"/>
                <w:lang w:val="fr-FR"/>
              </w:rPr>
              <w:lastRenderedPageBreak/>
              <w:t>le terrain</w:t>
            </w:r>
            <w:r w:rsidRPr="00BA5929">
              <w:rPr>
                <w:rFonts w:asciiTheme="majorHAnsi" w:eastAsiaTheme="majorEastAsia" w:hAnsiTheme="majorHAnsi" w:cstheme="majorBidi"/>
                <w:spacing w:val="-10"/>
                <w:kern w:val="28"/>
                <w:lang w:val="fr-FR"/>
              </w:rPr>
              <w:t xml:space="preserve"> et relier les standards nationaux avec la mise en œuvre dans le territoire. </w:t>
            </w:r>
          </w:p>
        </w:tc>
        <w:tc>
          <w:tcPr>
            <w:tcW w:w="1187" w:type="dxa"/>
            <w:vAlign w:val="center"/>
          </w:tcPr>
          <w:p w14:paraId="7644F502" w14:textId="40AEF085" w:rsidR="00566167" w:rsidRPr="00566167" w:rsidRDefault="007507AC" w:rsidP="007507AC">
            <w:pPr>
              <w:pStyle w:val="Title"/>
              <w:jc w:val="center"/>
              <w:rPr>
                <w:lang w:val="fr-FR"/>
              </w:rPr>
            </w:pPr>
            <w:r w:rsidRPr="007507AC">
              <w:rPr>
                <w:sz w:val="22"/>
                <w:szCs w:val="22"/>
                <w:lang w:val="fr-FR"/>
              </w:rPr>
              <w:lastRenderedPageBreak/>
              <w:t>Court terme</w:t>
            </w:r>
          </w:p>
        </w:tc>
        <w:tc>
          <w:tcPr>
            <w:tcW w:w="1084" w:type="dxa"/>
          </w:tcPr>
          <w:p w14:paraId="4E78520D" w14:textId="2735DF56" w:rsidR="008A7A5B" w:rsidRPr="008A7A5B" w:rsidRDefault="00566167" w:rsidP="00BA5929">
            <w:pPr>
              <w:pStyle w:val="Title"/>
              <w:jc w:val="center"/>
              <w:rPr>
                <w:sz w:val="22"/>
                <w:szCs w:val="22"/>
                <w:lang w:val="fr-FR"/>
              </w:rPr>
            </w:pPr>
            <w:r>
              <w:rPr>
                <w:sz w:val="22"/>
                <w:szCs w:val="22"/>
                <w:lang w:val="fr-FR"/>
              </w:rPr>
              <w:t>PNUD</w:t>
            </w:r>
            <w:r w:rsidR="00BA5929">
              <w:rPr>
                <w:sz w:val="22"/>
                <w:szCs w:val="22"/>
                <w:lang w:val="fr-FR"/>
              </w:rPr>
              <w:t xml:space="preserve"> + firmes</w:t>
            </w:r>
          </w:p>
        </w:tc>
        <w:tc>
          <w:tcPr>
            <w:tcW w:w="1781" w:type="dxa"/>
          </w:tcPr>
          <w:p w14:paraId="78F08E2B" w14:textId="0B594C0C" w:rsidR="008A7A5B" w:rsidRPr="008A7A5B" w:rsidRDefault="00566167" w:rsidP="00BA5929">
            <w:pPr>
              <w:pStyle w:val="Title"/>
              <w:jc w:val="center"/>
              <w:rPr>
                <w:sz w:val="22"/>
                <w:szCs w:val="22"/>
                <w:lang w:val="fr-FR"/>
              </w:rPr>
            </w:pPr>
            <w:proofErr w:type="spellStart"/>
            <w:r>
              <w:rPr>
                <w:sz w:val="22"/>
                <w:szCs w:val="22"/>
                <w:lang w:val="fr-FR"/>
              </w:rPr>
              <w:t>ONGs</w:t>
            </w:r>
            <w:proofErr w:type="spellEnd"/>
            <w:r>
              <w:rPr>
                <w:sz w:val="22"/>
                <w:szCs w:val="22"/>
                <w:lang w:val="fr-FR"/>
              </w:rPr>
              <w:t xml:space="preserve"> nationales et locales, ministères sectoriels sur le terrain, entités provinciales</w:t>
            </w:r>
          </w:p>
        </w:tc>
        <w:tc>
          <w:tcPr>
            <w:tcW w:w="1473" w:type="dxa"/>
            <w:vAlign w:val="center"/>
          </w:tcPr>
          <w:p w14:paraId="3F8AF278" w14:textId="3138B05B" w:rsidR="008A7A5B" w:rsidRPr="00566167" w:rsidRDefault="00566167" w:rsidP="00566167">
            <w:pPr>
              <w:pStyle w:val="Title"/>
              <w:jc w:val="center"/>
              <w:rPr>
                <w:sz w:val="22"/>
                <w:szCs w:val="22"/>
                <w:lang w:val="fr-FR"/>
              </w:rPr>
            </w:pPr>
            <w:r>
              <w:rPr>
                <w:sz w:val="22"/>
                <w:szCs w:val="22"/>
                <w:lang w:val="fr-FR"/>
              </w:rPr>
              <w:t xml:space="preserve">FONAREDD, Organisations Internationales </w:t>
            </w:r>
            <w:r>
              <w:rPr>
                <w:sz w:val="22"/>
                <w:szCs w:val="22"/>
                <w:lang w:val="fr-FR"/>
              </w:rPr>
              <w:lastRenderedPageBreak/>
              <w:t>qui gèrent les autres programmes sectoriels, CAFI</w:t>
            </w:r>
          </w:p>
        </w:tc>
      </w:tr>
      <w:tr w:rsidR="00D864DE" w14:paraId="6F233D96" w14:textId="77777777" w:rsidTr="00BA5929">
        <w:tc>
          <w:tcPr>
            <w:tcW w:w="1128" w:type="dxa"/>
            <w:vAlign w:val="center"/>
          </w:tcPr>
          <w:p w14:paraId="0FD35573" w14:textId="5C997E1E" w:rsidR="008A7A5B" w:rsidRPr="00930A27" w:rsidRDefault="00BA5929" w:rsidP="00566167">
            <w:pPr>
              <w:pStyle w:val="Title"/>
              <w:jc w:val="center"/>
              <w:rPr>
                <w:sz w:val="22"/>
                <w:szCs w:val="22"/>
                <w:lang w:val="fr-FR"/>
              </w:rPr>
            </w:pPr>
            <w:r w:rsidRPr="00930A27">
              <w:rPr>
                <w:sz w:val="22"/>
                <w:szCs w:val="22"/>
                <w:lang w:val="fr-FR"/>
              </w:rPr>
              <w:lastRenderedPageBreak/>
              <w:t>Stratégique</w:t>
            </w:r>
          </w:p>
        </w:tc>
        <w:tc>
          <w:tcPr>
            <w:tcW w:w="2975" w:type="dxa"/>
          </w:tcPr>
          <w:p w14:paraId="3981C4B7" w14:textId="0025E960" w:rsidR="008A7A5B" w:rsidRPr="00566167" w:rsidRDefault="00566167" w:rsidP="000B22E7">
            <w:pPr>
              <w:pStyle w:val="Title"/>
              <w:rPr>
                <w:sz w:val="22"/>
                <w:szCs w:val="22"/>
                <w:lang w:val="fr-FR"/>
              </w:rPr>
            </w:pPr>
            <w:r w:rsidRPr="00BA5929">
              <w:rPr>
                <w:sz w:val="22"/>
                <w:szCs w:val="22"/>
                <w:lang w:val="fr-FR"/>
              </w:rPr>
              <w:t>2.</w:t>
            </w:r>
            <w:r>
              <w:rPr>
                <w:sz w:val="22"/>
                <w:szCs w:val="22"/>
                <w:lang w:val="fr-FR"/>
              </w:rPr>
              <w:t xml:space="preserve"> </w:t>
            </w:r>
            <w:r w:rsidRPr="00BA5929">
              <w:rPr>
                <w:sz w:val="22"/>
                <w:szCs w:val="22"/>
                <w:lang w:val="fr-FR"/>
              </w:rPr>
              <w:t xml:space="preserve">Promouvoir </w:t>
            </w:r>
            <w:r w:rsidRPr="00930A27">
              <w:rPr>
                <w:b/>
                <w:bCs/>
                <w:sz w:val="22"/>
                <w:szCs w:val="22"/>
                <w:lang w:val="fr-FR"/>
              </w:rPr>
              <w:t>l’appropriation de la réforme</w:t>
            </w:r>
            <w:r w:rsidRPr="00BA5929">
              <w:rPr>
                <w:sz w:val="22"/>
                <w:szCs w:val="22"/>
                <w:lang w:val="fr-FR"/>
              </w:rPr>
              <w:t xml:space="preserve"> </w:t>
            </w:r>
            <w:r w:rsidR="00930A27">
              <w:rPr>
                <w:sz w:val="22"/>
                <w:szCs w:val="22"/>
                <w:lang w:val="fr-FR"/>
              </w:rPr>
              <w:t xml:space="preserve">par les </w:t>
            </w:r>
            <w:r w:rsidRPr="00BA5929">
              <w:rPr>
                <w:sz w:val="22"/>
                <w:szCs w:val="22"/>
                <w:lang w:val="fr-FR"/>
              </w:rPr>
              <w:t xml:space="preserve">communautés locales et </w:t>
            </w:r>
            <w:r w:rsidR="00930A27">
              <w:rPr>
                <w:sz w:val="22"/>
                <w:szCs w:val="22"/>
                <w:lang w:val="fr-FR"/>
              </w:rPr>
              <w:t>l</w:t>
            </w:r>
            <w:r w:rsidRPr="00BA5929">
              <w:rPr>
                <w:sz w:val="22"/>
                <w:szCs w:val="22"/>
                <w:lang w:val="fr-FR"/>
              </w:rPr>
              <w:t xml:space="preserve">es peuples autochtones </w:t>
            </w:r>
          </w:p>
        </w:tc>
        <w:tc>
          <w:tcPr>
            <w:tcW w:w="1187" w:type="dxa"/>
            <w:vAlign w:val="center"/>
          </w:tcPr>
          <w:p w14:paraId="42647334" w14:textId="56DD55F9" w:rsidR="008A7A5B" w:rsidRPr="008A7A5B" w:rsidRDefault="007507AC" w:rsidP="00BA5929">
            <w:pPr>
              <w:pStyle w:val="Title"/>
              <w:jc w:val="center"/>
              <w:rPr>
                <w:sz w:val="22"/>
                <w:szCs w:val="22"/>
                <w:lang w:val="fr-FR"/>
              </w:rPr>
            </w:pPr>
            <w:r>
              <w:rPr>
                <w:sz w:val="22"/>
                <w:szCs w:val="22"/>
                <w:lang w:val="fr-FR"/>
              </w:rPr>
              <w:t>Court terme</w:t>
            </w:r>
          </w:p>
        </w:tc>
        <w:tc>
          <w:tcPr>
            <w:tcW w:w="1084" w:type="dxa"/>
          </w:tcPr>
          <w:p w14:paraId="22A459C0" w14:textId="3532F9A1" w:rsidR="008A7A5B" w:rsidRPr="008A7A5B" w:rsidRDefault="00BA5929" w:rsidP="00BA5929">
            <w:pPr>
              <w:pStyle w:val="Title"/>
              <w:jc w:val="center"/>
              <w:rPr>
                <w:sz w:val="22"/>
                <w:szCs w:val="22"/>
                <w:lang w:val="fr-FR"/>
              </w:rPr>
            </w:pPr>
            <w:r>
              <w:rPr>
                <w:sz w:val="22"/>
                <w:szCs w:val="22"/>
                <w:lang w:val="fr-FR"/>
              </w:rPr>
              <w:t>PNUD + firmes</w:t>
            </w:r>
          </w:p>
        </w:tc>
        <w:tc>
          <w:tcPr>
            <w:tcW w:w="1781" w:type="dxa"/>
          </w:tcPr>
          <w:p w14:paraId="1613D5A6" w14:textId="77777777" w:rsidR="008A7A5B" w:rsidRPr="008A7A5B" w:rsidRDefault="008A7A5B" w:rsidP="00BA5929">
            <w:pPr>
              <w:pStyle w:val="Title"/>
              <w:jc w:val="center"/>
              <w:rPr>
                <w:sz w:val="22"/>
                <w:szCs w:val="22"/>
                <w:lang w:val="fr-FR"/>
              </w:rPr>
            </w:pPr>
          </w:p>
        </w:tc>
        <w:tc>
          <w:tcPr>
            <w:tcW w:w="1473" w:type="dxa"/>
          </w:tcPr>
          <w:p w14:paraId="11F7EBF1" w14:textId="4B290B77" w:rsidR="008A7A5B" w:rsidRDefault="00BA5929" w:rsidP="00BA5929">
            <w:pPr>
              <w:pStyle w:val="Title"/>
              <w:jc w:val="center"/>
              <w:rPr>
                <w:lang w:val="fr-FR"/>
              </w:rPr>
            </w:pPr>
            <w:r>
              <w:rPr>
                <w:sz w:val="22"/>
                <w:szCs w:val="22"/>
                <w:lang w:val="fr-FR"/>
              </w:rPr>
              <w:t>FONAREDD, CAFI</w:t>
            </w:r>
          </w:p>
        </w:tc>
      </w:tr>
      <w:tr w:rsidR="00D864DE" w14:paraId="0F11C968" w14:textId="77777777" w:rsidTr="00BA5929">
        <w:tc>
          <w:tcPr>
            <w:tcW w:w="1128" w:type="dxa"/>
            <w:vAlign w:val="center"/>
          </w:tcPr>
          <w:p w14:paraId="35FE96CF" w14:textId="3F8644B3" w:rsidR="008A7A5B" w:rsidRPr="00930A27" w:rsidRDefault="00BA5929" w:rsidP="00566167">
            <w:pPr>
              <w:pStyle w:val="Title"/>
              <w:jc w:val="center"/>
              <w:rPr>
                <w:sz w:val="22"/>
                <w:szCs w:val="22"/>
                <w:lang w:val="fr-FR"/>
              </w:rPr>
            </w:pPr>
            <w:r w:rsidRPr="00930A27">
              <w:rPr>
                <w:sz w:val="22"/>
                <w:szCs w:val="22"/>
                <w:lang w:val="fr-FR"/>
              </w:rPr>
              <w:t>Stratégique</w:t>
            </w:r>
          </w:p>
        </w:tc>
        <w:tc>
          <w:tcPr>
            <w:tcW w:w="2975" w:type="dxa"/>
          </w:tcPr>
          <w:p w14:paraId="02EC4BA9" w14:textId="5D78A523" w:rsidR="008A7A5B" w:rsidRPr="008A7A5B" w:rsidRDefault="00BA5929" w:rsidP="000B22E7">
            <w:pPr>
              <w:pStyle w:val="Title"/>
              <w:rPr>
                <w:sz w:val="22"/>
                <w:szCs w:val="22"/>
                <w:lang w:val="fr-FR"/>
              </w:rPr>
            </w:pPr>
            <w:r w:rsidRPr="00BA5929">
              <w:rPr>
                <w:sz w:val="22"/>
                <w:szCs w:val="22"/>
                <w:lang w:val="fr-FR"/>
              </w:rPr>
              <w:t>3.</w:t>
            </w:r>
            <w:r>
              <w:rPr>
                <w:sz w:val="22"/>
                <w:szCs w:val="22"/>
                <w:lang w:val="fr-FR"/>
              </w:rPr>
              <w:t xml:space="preserve"> </w:t>
            </w:r>
            <w:r w:rsidRPr="00BA5929">
              <w:rPr>
                <w:sz w:val="22"/>
                <w:szCs w:val="22"/>
                <w:lang w:val="fr-FR"/>
              </w:rPr>
              <w:t xml:space="preserve">Accélérer le processus de </w:t>
            </w:r>
            <w:r w:rsidRPr="00930A27">
              <w:rPr>
                <w:b/>
                <w:bCs/>
                <w:sz w:val="22"/>
                <w:szCs w:val="22"/>
                <w:lang w:val="fr-FR"/>
              </w:rPr>
              <w:t>renforcement des capacités de l’AT</w:t>
            </w:r>
            <w:r w:rsidRPr="00BA5929">
              <w:rPr>
                <w:sz w:val="22"/>
                <w:szCs w:val="22"/>
                <w:lang w:val="fr-FR"/>
              </w:rPr>
              <w:t xml:space="preserve"> pour favoriser l’appropriation de la réforme par l’administration et réduire les conflits potentiels à l’intérieur du MINAT.</w:t>
            </w:r>
          </w:p>
        </w:tc>
        <w:tc>
          <w:tcPr>
            <w:tcW w:w="1187" w:type="dxa"/>
            <w:vAlign w:val="center"/>
          </w:tcPr>
          <w:p w14:paraId="3E1F384F" w14:textId="3EBB7E3C" w:rsidR="008A7A5B" w:rsidRPr="008A7A5B" w:rsidRDefault="007507AC" w:rsidP="00BA5929">
            <w:pPr>
              <w:pStyle w:val="Title"/>
              <w:jc w:val="center"/>
              <w:rPr>
                <w:sz w:val="22"/>
                <w:szCs w:val="22"/>
                <w:lang w:val="fr-FR"/>
              </w:rPr>
            </w:pPr>
            <w:r>
              <w:rPr>
                <w:sz w:val="22"/>
                <w:szCs w:val="22"/>
                <w:lang w:val="fr-FR"/>
              </w:rPr>
              <w:t>Court terme</w:t>
            </w:r>
          </w:p>
        </w:tc>
        <w:tc>
          <w:tcPr>
            <w:tcW w:w="1084" w:type="dxa"/>
          </w:tcPr>
          <w:p w14:paraId="4EC00518" w14:textId="7F9F6C54" w:rsidR="008A7A5B" w:rsidRPr="008A7A5B" w:rsidRDefault="00BA5929" w:rsidP="00BA5929">
            <w:pPr>
              <w:pStyle w:val="Title"/>
              <w:jc w:val="center"/>
              <w:rPr>
                <w:sz w:val="22"/>
                <w:szCs w:val="22"/>
                <w:lang w:val="fr-FR"/>
              </w:rPr>
            </w:pPr>
            <w:r>
              <w:rPr>
                <w:sz w:val="22"/>
                <w:szCs w:val="22"/>
                <w:lang w:val="fr-FR"/>
              </w:rPr>
              <w:t>PNUD + firmes</w:t>
            </w:r>
          </w:p>
        </w:tc>
        <w:tc>
          <w:tcPr>
            <w:tcW w:w="1781" w:type="dxa"/>
          </w:tcPr>
          <w:p w14:paraId="379044C2" w14:textId="0EB1B897" w:rsidR="008A7A5B" w:rsidRPr="008A7A5B" w:rsidRDefault="00BA5929" w:rsidP="00BA5929">
            <w:pPr>
              <w:pStyle w:val="Title"/>
              <w:jc w:val="center"/>
              <w:rPr>
                <w:sz w:val="22"/>
                <w:szCs w:val="22"/>
                <w:lang w:val="fr-FR"/>
              </w:rPr>
            </w:pPr>
            <w:r>
              <w:rPr>
                <w:sz w:val="22"/>
                <w:szCs w:val="22"/>
                <w:lang w:val="fr-FR"/>
              </w:rPr>
              <w:t>SG, CAT, ONAT</w:t>
            </w:r>
          </w:p>
        </w:tc>
        <w:tc>
          <w:tcPr>
            <w:tcW w:w="1473" w:type="dxa"/>
          </w:tcPr>
          <w:p w14:paraId="34AA948E" w14:textId="30CD20A5" w:rsidR="008A7A5B" w:rsidRPr="00BA5929" w:rsidRDefault="00BA5929" w:rsidP="00BA5929">
            <w:pPr>
              <w:pStyle w:val="Title"/>
              <w:jc w:val="center"/>
              <w:rPr>
                <w:sz w:val="22"/>
                <w:szCs w:val="22"/>
                <w:lang w:val="fr-FR"/>
              </w:rPr>
            </w:pPr>
            <w:r>
              <w:rPr>
                <w:sz w:val="22"/>
                <w:szCs w:val="22"/>
                <w:lang w:val="fr-FR"/>
              </w:rPr>
              <w:t>FONAREDD, CAFI</w:t>
            </w:r>
          </w:p>
        </w:tc>
      </w:tr>
      <w:tr w:rsidR="00D864DE" w14:paraId="20F53054" w14:textId="77777777" w:rsidTr="00D864DE">
        <w:tc>
          <w:tcPr>
            <w:tcW w:w="1128" w:type="dxa"/>
            <w:vAlign w:val="center"/>
          </w:tcPr>
          <w:p w14:paraId="386848A3" w14:textId="76505859" w:rsidR="008A7A5B" w:rsidRPr="00930A27" w:rsidRDefault="007507AC" w:rsidP="00566167">
            <w:pPr>
              <w:pStyle w:val="Title"/>
              <w:jc w:val="center"/>
              <w:rPr>
                <w:sz w:val="22"/>
                <w:szCs w:val="22"/>
                <w:lang w:val="fr-FR"/>
              </w:rPr>
            </w:pPr>
            <w:r w:rsidRPr="00930A27">
              <w:rPr>
                <w:sz w:val="22"/>
                <w:szCs w:val="22"/>
                <w:lang w:val="fr-FR"/>
              </w:rPr>
              <w:t>Engagement</w:t>
            </w:r>
          </w:p>
        </w:tc>
        <w:tc>
          <w:tcPr>
            <w:tcW w:w="2975" w:type="dxa"/>
          </w:tcPr>
          <w:p w14:paraId="13B7755A" w14:textId="5B7EE18E" w:rsidR="008A7A5B" w:rsidRPr="008A7A5B" w:rsidRDefault="007507AC" w:rsidP="000B22E7">
            <w:pPr>
              <w:pStyle w:val="Title"/>
              <w:rPr>
                <w:sz w:val="22"/>
                <w:szCs w:val="22"/>
                <w:lang w:val="fr-FR"/>
              </w:rPr>
            </w:pPr>
            <w:r w:rsidRPr="007507AC">
              <w:rPr>
                <w:sz w:val="22"/>
                <w:szCs w:val="22"/>
                <w:lang w:val="fr-FR"/>
              </w:rPr>
              <w:t>4.</w:t>
            </w:r>
            <w:r>
              <w:rPr>
                <w:sz w:val="22"/>
                <w:szCs w:val="22"/>
                <w:lang w:val="fr-FR"/>
              </w:rPr>
              <w:t xml:space="preserve"> </w:t>
            </w:r>
            <w:r w:rsidRPr="007507AC">
              <w:rPr>
                <w:sz w:val="22"/>
                <w:szCs w:val="22"/>
                <w:lang w:val="fr-FR"/>
              </w:rPr>
              <w:t xml:space="preserve">Bâtir une </w:t>
            </w:r>
            <w:r w:rsidRPr="00930A27">
              <w:rPr>
                <w:b/>
                <w:bCs/>
                <w:sz w:val="22"/>
                <w:szCs w:val="22"/>
                <w:lang w:val="fr-FR"/>
              </w:rPr>
              <w:t>forte coalition à soutien de la réforme</w:t>
            </w:r>
            <w:r w:rsidRPr="007507AC">
              <w:rPr>
                <w:sz w:val="22"/>
                <w:szCs w:val="22"/>
                <w:lang w:val="fr-FR"/>
              </w:rPr>
              <w:t xml:space="preserve"> à l’interne du gouvernement et avec la société civile.</w:t>
            </w:r>
          </w:p>
        </w:tc>
        <w:tc>
          <w:tcPr>
            <w:tcW w:w="1187" w:type="dxa"/>
            <w:vAlign w:val="center"/>
          </w:tcPr>
          <w:p w14:paraId="001DB2E6" w14:textId="4133F557" w:rsidR="008A7A5B" w:rsidRPr="008A7A5B" w:rsidRDefault="007507AC" w:rsidP="00BA5929">
            <w:pPr>
              <w:pStyle w:val="Title"/>
              <w:jc w:val="center"/>
              <w:rPr>
                <w:sz w:val="22"/>
                <w:szCs w:val="22"/>
                <w:lang w:val="fr-FR"/>
              </w:rPr>
            </w:pPr>
            <w:r>
              <w:rPr>
                <w:sz w:val="22"/>
                <w:szCs w:val="22"/>
                <w:lang w:val="fr-FR"/>
              </w:rPr>
              <w:t>Moyen terme</w:t>
            </w:r>
          </w:p>
        </w:tc>
        <w:tc>
          <w:tcPr>
            <w:tcW w:w="1084" w:type="dxa"/>
            <w:vAlign w:val="center"/>
          </w:tcPr>
          <w:p w14:paraId="0E64D3AF" w14:textId="6E09FCA5" w:rsidR="008A7A5B" w:rsidRPr="008A7A5B" w:rsidRDefault="007507AC" w:rsidP="00566167">
            <w:pPr>
              <w:pStyle w:val="Title"/>
              <w:jc w:val="center"/>
              <w:rPr>
                <w:sz w:val="22"/>
                <w:szCs w:val="22"/>
                <w:lang w:val="fr-FR"/>
              </w:rPr>
            </w:pPr>
            <w:r>
              <w:rPr>
                <w:sz w:val="22"/>
                <w:szCs w:val="22"/>
                <w:lang w:val="fr-FR"/>
              </w:rPr>
              <w:t>MINAT + PNUD</w:t>
            </w:r>
          </w:p>
        </w:tc>
        <w:tc>
          <w:tcPr>
            <w:tcW w:w="1781" w:type="dxa"/>
            <w:vAlign w:val="center"/>
          </w:tcPr>
          <w:p w14:paraId="4D19A7E8" w14:textId="74327DEC" w:rsidR="008A7A5B" w:rsidRPr="008A7A5B" w:rsidRDefault="00D864DE" w:rsidP="00566167">
            <w:pPr>
              <w:pStyle w:val="Title"/>
              <w:jc w:val="center"/>
              <w:rPr>
                <w:sz w:val="22"/>
                <w:szCs w:val="22"/>
                <w:lang w:val="fr-FR"/>
              </w:rPr>
            </w:pPr>
            <w:r>
              <w:rPr>
                <w:sz w:val="22"/>
                <w:szCs w:val="22"/>
                <w:lang w:val="fr-FR"/>
              </w:rPr>
              <w:t>C</w:t>
            </w:r>
            <w:r w:rsidRPr="00D864DE">
              <w:rPr>
                <w:sz w:val="22"/>
                <w:szCs w:val="22"/>
                <w:lang w:val="fr-FR"/>
              </w:rPr>
              <w:t xml:space="preserve">hefs des communautés locales, ministères sectoriels à niveau </w:t>
            </w:r>
            <w:r>
              <w:rPr>
                <w:sz w:val="22"/>
                <w:szCs w:val="22"/>
                <w:lang w:val="fr-FR"/>
              </w:rPr>
              <w:t>centrale/</w:t>
            </w:r>
            <w:r w:rsidRPr="00D864DE">
              <w:rPr>
                <w:sz w:val="22"/>
                <w:szCs w:val="22"/>
                <w:lang w:val="fr-FR"/>
              </w:rPr>
              <w:t>provinciale/locale, assemblées provinciales</w:t>
            </w:r>
            <w:r>
              <w:rPr>
                <w:sz w:val="22"/>
                <w:szCs w:val="22"/>
                <w:lang w:val="fr-FR"/>
              </w:rPr>
              <w:t xml:space="preserve">, </w:t>
            </w:r>
            <w:proofErr w:type="spellStart"/>
            <w:r>
              <w:rPr>
                <w:sz w:val="22"/>
                <w:szCs w:val="22"/>
                <w:lang w:val="fr-FR"/>
              </w:rPr>
              <w:t>ONGs</w:t>
            </w:r>
            <w:proofErr w:type="spellEnd"/>
            <w:r>
              <w:rPr>
                <w:sz w:val="22"/>
                <w:szCs w:val="22"/>
                <w:lang w:val="fr-FR"/>
              </w:rPr>
              <w:t xml:space="preserve"> </w:t>
            </w:r>
          </w:p>
        </w:tc>
        <w:tc>
          <w:tcPr>
            <w:tcW w:w="1473" w:type="dxa"/>
          </w:tcPr>
          <w:p w14:paraId="6C4B547D" w14:textId="7A51340F" w:rsidR="008A7A5B" w:rsidRDefault="00D864DE" w:rsidP="00D864DE">
            <w:pPr>
              <w:pStyle w:val="Title"/>
              <w:jc w:val="center"/>
              <w:rPr>
                <w:lang w:val="fr-FR"/>
              </w:rPr>
            </w:pPr>
            <w:r>
              <w:rPr>
                <w:sz w:val="22"/>
                <w:szCs w:val="22"/>
                <w:lang w:val="fr-FR"/>
              </w:rPr>
              <w:t>FONAREDD, CAFI</w:t>
            </w:r>
          </w:p>
        </w:tc>
      </w:tr>
      <w:tr w:rsidR="00D864DE" w14:paraId="6B54CB11" w14:textId="77777777" w:rsidTr="00BA5929">
        <w:tc>
          <w:tcPr>
            <w:tcW w:w="1128" w:type="dxa"/>
            <w:vAlign w:val="center"/>
          </w:tcPr>
          <w:p w14:paraId="794BD629" w14:textId="5CA859CE" w:rsidR="008A7A5B" w:rsidRPr="00930A27" w:rsidRDefault="007507AC" w:rsidP="00566167">
            <w:pPr>
              <w:pStyle w:val="Title"/>
              <w:jc w:val="center"/>
              <w:rPr>
                <w:sz w:val="22"/>
                <w:szCs w:val="22"/>
                <w:lang w:val="fr-FR"/>
              </w:rPr>
            </w:pPr>
            <w:r w:rsidRPr="00930A27">
              <w:rPr>
                <w:sz w:val="22"/>
                <w:szCs w:val="22"/>
                <w:lang w:val="fr-FR"/>
              </w:rPr>
              <w:t>Engagement</w:t>
            </w:r>
          </w:p>
        </w:tc>
        <w:tc>
          <w:tcPr>
            <w:tcW w:w="2975" w:type="dxa"/>
          </w:tcPr>
          <w:p w14:paraId="6D63E651" w14:textId="144E8611" w:rsidR="008A7A5B" w:rsidRPr="008A7A5B" w:rsidRDefault="007507AC" w:rsidP="000B22E7">
            <w:pPr>
              <w:pStyle w:val="Title"/>
              <w:rPr>
                <w:sz w:val="22"/>
                <w:szCs w:val="22"/>
                <w:lang w:val="fr-FR"/>
              </w:rPr>
            </w:pPr>
            <w:r w:rsidRPr="007507AC">
              <w:rPr>
                <w:sz w:val="22"/>
                <w:szCs w:val="22"/>
                <w:lang w:val="fr-FR"/>
              </w:rPr>
              <w:t>5.</w:t>
            </w:r>
            <w:r>
              <w:rPr>
                <w:sz w:val="22"/>
                <w:szCs w:val="22"/>
                <w:lang w:val="fr-FR"/>
              </w:rPr>
              <w:t xml:space="preserve"> </w:t>
            </w:r>
            <w:r w:rsidRPr="007507AC">
              <w:rPr>
                <w:sz w:val="22"/>
                <w:szCs w:val="22"/>
                <w:lang w:val="fr-FR"/>
              </w:rPr>
              <w:t xml:space="preserve">Créer un </w:t>
            </w:r>
            <w:r w:rsidRPr="00930A27">
              <w:rPr>
                <w:b/>
                <w:bCs/>
                <w:sz w:val="22"/>
                <w:szCs w:val="22"/>
                <w:lang w:val="fr-FR"/>
              </w:rPr>
              <w:t>système de gouvernance</w:t>
            </w:r>
            <w:r w:rsidRPr="007507AC">
              <w:rPr>
                <w:sz w:val="22"/>
                <w:szCs w:val="22"/>
                <w:lang w:val="fr-FR"/>
              </w:rPr>
              <w:t xml:space="preserve"> de la réforme</w:t>
            </w:r>
          </w:p>
        </w:tc>
        <w:tc>
          <w:tcPr>
            <w:tcW w:w="1187" w:type="dxa"/>
            <w:vAlign w:val="center"/>
          </w:tcPr>
          <w:p w14:paraId="2C87A258" w14:textId="4A7E1EA4" w:rsidR="008A7A5B" w:rsidRPr="008A7A5B" w:rsidRDefault="007507AC" w:rsidP="00BA5929">
            <w:pPr>
              <w:pStyle w:val="Title"/>
              <w:jc w:val="center"/>
              <w:rPr>
                <w:sz w:val="22"/>
                <w:szCs w:val="22"/>
                <w:lang w:val="fr-FR"/>
              </w:rPr>
            </w:pPr>
            <w:r>
              <w:rPr>
                <w:sz w:val="22"/>
                <w:szCs w:val="22"/>
                <w:lang w:val="fr-FR"/>
              </w:rPr>
              <w:t>Court terme</w:t>
            </w:r>
          </w:p>
        </w:tc>
        <w:tc>
          <w:tcPr>
            <w:tcW w:w="1084" w:type="dxa"/>
            <w:vAlign w:val="center"/>
          </w:tcPr>
          <w:p w14:paraId="6A6BD99E" w14:textId="51C7755E" w:rsidR="008A7A5B" w:rsidRPr="008A7A5B" w:rsidRDefault="007507AC" w:rsidP="00566167">
            <w:pPr>
              <w:pStyle w:val="Title"/>
              <w:jc w:val="center"/>
              <w:rPr>
                <w:sz w:val="22"/>
                <w:szCs w:val="22"/>
                <w:lang w:val="fr-FR"/>
              </w:rPr>
            </w:pPr>
            <w:r>
              <w:rPr>
                <w:sz w:val="22"/>
                <w:szCs w:val="22"/>
                <w:lang w:val="fr-FR"/>
              </w:rPr>
              <w:t>MINAT</w:t>
            </w:r>
          </w:p>
        </w:tc>
        <w:tc>
          <w:tcPr>
            <w:tcW w:w="1781" w:type="dxa"/>
            <w:vAlign w:val="center"/>
          </w:tcPr>
          <w:p w14:paraId="46885F76" w14:textId="6042FA67" w:rsidR="008A7A5B" w:rsidRPr="008A7A5B" w:rsidRDefault="00D864DE" w:rsidP="00566167">
            <w:pPr>
              <w:pStyle w:val="Title"/>
              <w:jc w:val="center"/>
              <w:rPr>
                <w:sz w:val="22"/>
                <w:szCs w:val="22"/>
                <w:lang w:val="fr-FR"/>
              </w:rPr>
            </w:pPr>
            <w:r>
              <w:rPr>
                <w:sz w:val="22"/>
                <w:szCs w:val="22"/>
                <w:lang w:val="fr-FR"/>
              </w:rPr>
              <w:t>Ministères sectoriels</w:t>
            </w:r>
          </w:p>
        </w:tc>
        <w:tc>
          <w:tcPr>
            <w:tcW w:w="1473" w:type="dxa"/>
            <w:vAlign w:val="center"/>
          </w:tcPr>
          <w:p w14:paraId="78C2FC45" w14:textId="7A5F2249" w:rsidR="008A7A5B" w:rsidRDefault="00D864DE" w:rsidP="00566167">
            <w:pPr>
              <w:pStyle w:val="Title"/>
              <w:jc w:val="center"/>
              <w:rPr>
                <w:lang w:val="fr-FR"/>
              </w:rPr>
            </w:pPr>
            <w:r>
              <w:rPr>
                <w:sz w:val="22"/>
                <w:szCs w:val="22"/>
                <w:lang w:val="fr-FR"/>
              </w:rPr>
              <w:t>PNUD, FONAREDD, CAFI</w:t>
            </w:r>
          </w:p>
        </w:tc>
      </w:tr>
      <w:tr w:rsidR="00D864DE" w14:paraId="1D2831D0" w14:textId="77777777" w:rsidTr="00930A27">
        <w:tc>
          <w:tcPr>
            <w:tcW w:w="1128" w:type="dxa"/>
            <w:vAlign w:val="center"/>
          </w:tcPr>
          <w:p w14:paraId="2EFF2983" w14:textId="3BE2C670" w:rsidR="008A7A5B" w:rsidRPr="00930A27" w:rsidRDefault="00930A27" w:rsidP="00566167">
            <w:pPr>
              <w:pStyle w:val="Title"/>
              <w:jc w:val="center"/>
              <w:rPr>
                <w:sz w:val="22"/>
                <w:szCs w:val="22"/>
                <w:lang w:val="fr-FR"/>
              </w:rPr>
            </w:pPr>
            <w:r w:rsidRPr="00930A27">
              <w:rPr>
                <w:sz w:val="22"/>
                <w:szCs w:val="22"/>
                <w:lang w:val="fr-FR"/>
              </w:rPr>
              <w:t>Ressources</w:t>
            </w:r>
          </w:p>
        </w:tc>
        <w:tc>
          <w:tcPr>
            <w:tcW w:w="2975" w:type="dxa"/>
          </w:tcPr>
          <w:p w14:paraId="0DE85472" w14:textId="6E16B681" w:rsidR="008A7A5B" w:rsidRPr="008A7A5B" w:rsidRDefault="00930A27" w:rsidP="000B22E7">
            <w:pPr>
              <w:pStyle w:val="Title"/>
              <w:rPr>
                <w:sz w:val="22"/>
                <w:szCs w:val="22"/>
                <w:lang w:val="fr-FR"/>
              </w:rPr>
            </w:pPr>
            <w:r w:rsidRPr="00930A27">
              <w:rPr>
                <w:sz w:val="22"/>
                <w:szCs w:val="22"/>
                <w:lang w:val="fr-FR"/>
              </w:rPr>
              <w:t>6.</w:t>
            </w:r>
            <w:r>
              <w:rPr>
                <w:sz w:val="22"/>
                <w:szCs w:val="22"/>
                <w:lang w:val="fr-FR"/>
              </w:rPr>
              <w:t xml:space="preserve"> </w:t>
            </w:r>
            <w:r w:rsidRPr="00930A27">
              <w:rPr>
                <w:sz w:val="22"/>
                <w:szCs w:val="22"/>
                <w:lang w:val="fr-FR"/>
              </w:rPr>
              <w:t xml:space="preserve">Assurer des </w:t>
            </w:r>
            <w:r w:rsidRPr="00930A27">
              <w:rPr>
                <w:b/>
                <w:bCs/>
                <w:sz w:val="22"/>
                <w:szCs w:val="22"/>
                <w:lang w:val="fr-FR"/>
              </w:rPr>
              <w:t xml:space="preserve">ressources financières dans des délais prévisibles, alignées à la progression des activités </w:t>
            </w:r>
            <w:r w:rsidRPr="00930A27">
              <w:rPr>
                <w:sz w:val="22"/>
                <w:szCs w:val="22"/>
                <w:lang w:val="fr-FR"/>
              </w:rPr>
              <w:t>du programme et en mesure de couvrir l’échelle d’action envisagée et la modalité participative.</w:t>
            </w:r>
          </w:p>
        </w:tc>
        <w:tc>
          <w:tcPr>
            <w:tcW w:w="1187" w:type="dxa"/>
            <w:vAlign w:val="center"/>
          </w:tcPr>
          <w:p w14:paraId="24FC4254" w14:textId="091CA3FD" w:rsidR="008A7A5B" w:rsidRPr="008A7A5B" w:rsidRDefault="00930A27" w:rsidP="00BA5929">
            <w:pPr>
              <w:pStyle w:val="Title"/>
              <w:jc w:val="center"/>
              <w:rPr>
                <w:sz w:val="22"/>
                <w:szCs w:val="22"/>
                <w:lang w:val="fr-FR"/>
              </w:rPr>
            </w:pPr>
            <w:r>
              <w:rPr>
                <w:sz w:val="22"/>
                <w:szCs w:val="22"/>
                <w:lang w:val="fr-FR"/>
              </w:rPr>
              <w:t>Court terme</w:t>
            </w:r>
          </w:p>
        </w:tc>
        <w:tc>
          <w:tcPr>
            <w:tcW w:w="1084" w:type="dxa"/>
            <w:vAlign w:val="center"/>
          </w:tcPr>
          <w:p w14:paraId="7C894ABB" w14:textId="7DFB3061" w:rsidR="008A7A5B" w:rsidRPr="008A7A5B" w:rsidRDefault="00930A27" w:rsidP="00566167">
            <w:pPr>
              <w:pStyle w:val="Title"/>
              <w:jc w:val="center"/>
              <w:rPr>
                <w:sz w:val="22"/>
                <w:szCs w:val="22"/>
                <w:lang w:val="fr-FR"/>
              </w:rPr>
            </w:pPr>
            <w:r>
              <w:rPr>
                <w:sz w:val="22"/>
                <w:szCs w:val="22"/>
                <w:lang w:val="fr-FR"/>
              </w:rPr>
              <w:t>CAFI</w:t>
            </w:r>
          </w:p>
        </w:tc>
        <w:tc>
          <w:tcPr>
            <w:tcW w:w="1781" w:type="dxa"/>
          </w:tcPr>
          <w:p w14:paraId="3A04ED4E" w14:textId="5CF1EE6C" w:rsidR="008A7A5B" w:rsidRPr="008A7A5B" w:rsidRDefault="00930A27" w:rsidP="00930A27">
            <w:pPr>
              <w:pStyle w:val="Title"/>
              <w:jc w:val="center"/>
              <w:rPr>
                <w:sz w:val="22"/>
                <w:szCs w:val="22"/>
                <w:lang w:val="fr-FR"/>
              </w:rPr>
            </w:pPr>
            <w:r>
              <w:rPr>
                <w:sz w:val="22"/>
                <w:szCs w:val="22"/>
                <w:lang w:val="fr-FR"/>
              </w:rPr>
              <w:t>PNUD et FONAREDD</w:t>
            </w:r>
          </w:p>
        </w:tc>
        <w:tc>
          <w:tcPr>
            <w:tcW w:w="1473" w:type="dxa"/>
          </w:tcPr>
          <w:p w14:paraId="6A10AF76" w14:textId="474E9F9C" w:rsidR="008A7A5B" w:rsidRDefault="00930A27" w:rsidP="00930A27">
            <w:pPr>
              <w:pStyle w:val="Title"/>
              <w:jc w:val="center"/>
              <w:rPr>
                <w:lang w:val="fr-FR"/>
              </w:rPr>
            </w:pPr>
            <w:r w:rsidRPr="00930A27">
              <w:rPr>
                <w:sz w:val="22"/>
                <w:szCs w:val="22"/>
                <w:lang w:val="fr-FR"/>
              </w:rPr>
              <w:t>MINAT</w:t>
            </w:r>
          </w:p>
        </w:tc>
      </w:tr>
      <w:tr w:rsidR="00D864DE" w14:paraId="755A7270" w14:textId="77777777" w:rsidTr="00930A27">
        <w:tc>
          <w:tcPr>
            <w:tcW w:w="1128" w:type="dxa"/>
            <w:vAlign w:val="center"/>
          </w:tcPr>
          <w:p w14:paraId="2A0BBA47" w14:textId="7AE729D1" w:rsidR="008A7A5B" w:rsidRPr="00930A27" w:rsidRDefault="00930A27" w:rsidP="00566167">
            <w:pPr>
              <w:pStyle w:val="Title"/>
              <w:jc w:val="center"/>
              <w:rPr>
                <w:sz w:val="22"/>
                <w:szCs w:val="22"/>
                <w:lang w:val="fr-FR"/>
              </w:rPr>
            </w:pPr>
            <w:r w:rsidRPr="00930A27">
              <w:rPr>
                <w:sz w:val="22"/>
                <w:szCs w:val="22"/>
                <w:lang w:val="fr-FR"/>
              </w:rPr>
              <w:t>Apprentissage adaptif</w:t>
            </w:r>
          </w:p>
        </w:tc>
        <w:tc>
          <w:tcPr>
            <w:tcW w:w="2975" w:type="dxa"/>
          </w:tcPr>
          <w:p w14:paraId="1EF5F4BC" w14:textId="32BFB586" w:rsidR="008A7A5B" w:rsidRPr="008A7A5B" w:rsidRDefault="00930A27" w:rsidP="000B22E7">
            <w:pPr>
              <w:pStyle w:val="Title"/>
              <w:rPr>
                <w:sz w:val="22"/>
                <w:szCs w:val="22"/>
                <w:lang w:val="fr-FR"/>
              </w:rPr>
            </w:pPr>
            <w:r w:rsidRPr="00930A27">
              <w:rPr>
                <w:sz w:val="22"/>
                <w:szCs w:val="22"/>
                <w:lang w:val="fr-FR"/>
              </w:rPr>
              <w:t>7.</w:t>
            </w:r>
            <w:r>
              <w:rPr>
                <w:sz w:val="22"/>
                <w:szCs w:val="22"/>
                <w:lang w:val="fr-FR"/>
              </w:rPr>
              <w:t xml:space="preserve"> </w:t>
            </w:r>
            <w:r w:rsidRPr="00930A27">
              <w:rPr>
                <w:sz w:val="22"/>
                <w:szCs w:val="22"/>
                <w:lang w:val="fr-FR"/>
              </w:rPr>
              <w:t xml:space="preserve">Finaliser et opérationnaliser le </w:t>
            </w:r>
            <w:r w:rsidRPr="00930A27">
              <w:rPr>
                <w:b/>
                <w:bCs/>
                <w:sz w:val="22"/>
                <w:szCs w:val="22"/>
                <w:lang w:val="fr-FR"/>
              </w:rPr>
              <w:t>système de suivi et évaluation de la réforme</w:t>
            </w:r>
          </w:p>
        </w:tc>
        <w:tc>
          <w:tcPr>
            <w:tcW w:w="1187" w:type="dxa"/>
            <w:vAlign w:val="center"/>
          </w:tcPr>
          <w:p w14:paraId="5CBA99F3" w14:textId="4A94B283" w:rsidR="008A7A5B" w:rsidRPr="008A7A5B" w:rsidRDefault="00930A27" w:rsidP="00BA5929">
            <w:pPr>
              <w:pStyle w:val="Title"/>
              <w:jc w:val="center"/>
              <w:rPr>
                <w:sz w:val="22"/>
                <w:szCs w:val="22"/>
                <w:lang w:val="fr-FR"/>
              </w:rPr>
            </w:pPr>
            <w:r>
              <w:rPr>
                <w:sz w:val="22"/>
                <w:szCs w:val="22"/>
                <w:lang w:val="fr-FR"/>
              </w:rPr>
              <w:t>Moyen terme</w:t>
            </w:r>
          </w:p>
        </w:tc>
        <w:tc>
          <w:tcPr>
            <w:tcW w:w="1084" w:type="dxa"/>
            <w:vAlign w:val="center"/>
          </w:tcPr>
          <w:p w14:paraId="7DB0EE51" w14:textId="18C85518" w:rsidR="008A7A5B" w:rsidRPr="008A7A5B" w:rsidRDefault="00930A27" w:rsidP="00566167">
            <w:pPr>
              <w:pStyle w:val="Title"/>
              <w:jc w:val="center"/>
              <w:rPr>
                <w:sz w:val="22"/>
                <w:szCs w:val="22"/>
                <w:lang w:val="fr-FR"/>
              </w:rPr>
            </w:pPr>
            <w:r>
              <w:rPr>
                <w:sz w:val="22"/>
                <w:szCs w:val="22"/>
                <w:lang w:val="fr-FR"/>
              </w:rPr>
              <w:t>PNUD+ ONAT</w:t>
            </w:r>
          </w:p>
        </w:tc>
        <w:tc>
          <w:tcPr>
            <w:tcW w:w="1781" w:type="dxa"/>
          </w:tcPr>
          <w:p w14:paraId="07B3A0FA" w14:textId="3D558F60" w:rsidR="008A7A5B" w:rsidRPr="008A7A5B" w:rsidRDefault="00930A27" w:rsidP="00930A27">
            <w:pPr>
              <w:pStyle w:val="Title"/>
              <w:jc w:val="center"/>
              <w:rPr>
                <w:sz w:val="22"/>
                <w:szCs w:val="22"/>
                <w:lang w:val="fr-FR"/>
              </w:rPr>
            </w:pPr>
            <w:r>
              <w:rPr>
                <w:sz w:val="22"/>
                <w:szCs w:val="22"/>
                <w:lang w:val="fr-FR"/>
              </w:rPr>
              <w:t>SG, CAT</w:t>
            </w:r>
          </w:p>
        </w:tc>
        <w:tc>
          <w:tcPr>
            <w:tcW w:w="1473" w:type="dxa"/>
          </w:tcPr>
          <w:p w14:paraId="11333A90" w14:textId="07283F2E" w:rsidR="008A7A5B" w:rsidRDefault="00930A27" w:rsidP="00930A27">
            <w:pPr>
              <w:pStyle w:val="Title"/>
              <w:jc w:val="center"/>
              <w:rPr>
                <w:lang w:val="fr-FR"/>
              </w:rPr>
            </w:pPr>
            <w:r>
              <w:rPr>
                <w:sz w:val="22"/>
                <w:szCs w:val="22"/>
                <w:lang w:val="fr-FR"/>
              </w:rPr>
              <w:t>FONAREDD, CAFI</w:t>
            </w:r>
          </w:p>
        </w:tc>
      </w:tr>
      <w:tr w:rsidR="00930A27" w14:paraId="7FC03976" w14:textId="77777777" w:rsidTr="00930A27">
        <w:tc>
          <w:tcPr>
            <w:tcW w:w="1128" w:type="dxa"/>
            <w:vAlign w:val="center"/>
          </w:tcPr>
          <w:p w14:paraId="63AA0744" w14:textId="0A97AF50" w:rsidR="00930A27" w:rsidRPr="00930A27" w:rsidRDefault="00930A27" w:rsidP="00566167">
            <w:pPr>
              <w:pStyle w:val="Title"/>
              <w:jc w:val="center"/>
              <w:rPr>
                <w:sz w:val="22"/>
                <w:szCs w:val="22"/>
                <w:lang w:val="fr-FR"/>
              </w:rPr>
            </w:pPr>
            <w:r w:rsidRPr="00930A27">
              <w:rPr>
                <w:sz w:val="22"/>
                <w:szCs w:val="22"/>
                <w:lang w:val="fr-FR"/>
              </w:rPr>
              <w:t>Apprentissage adaptif</w:t>
            </w:r>
          </w:p>
        </w:tc>
        <w:tc>
          <w:tcPr>
            <w:tcW w:w="2975" w:type="dxa"/>
          </w:tcPr>
          <w:p w14:paraId="0CE5B82A" w14:textId="1D0969E8" w:rsidR="00930A27" w:rsidRPr="00930A27" w:rsidRDefault="00930A27" w:rsidP="000B22E7">
            <w:pPr>
              <w:pStyle w:val="Title"/>
              <w:rPr>
                <w:sz w:val="22"/>
                <w:szCs w:val="22"/>
                <w:lang w:val="fr-FR"/>
              </w:rPr>
            </w:pPr>
            <w:r w:rsidRPr="00930A27">
              <w:rPr>
                <w:sz w:val="22"/>
                <w:szCs w:val="22"/>
                <w:lang w:val="fr-FR"/>
              </w:rPr>
              <w:t>8.</w:t>
            </w:r>
            <w:r>
              <w:rPr>
                <w:sz w:val="22"/>
                <w:szCs w:val="22"/>
                <w:lang w:val="fr-FR"/>
              </w:rPr>
              <w:t xml:space="preserve"> </w:t>
            </w:r>
            <w:r w:rsidRPr="00930A27">
              <w:rPr>
                <w:b/>
                <w:bCs/>
                <w:sz w:val="22"/>
                <w:szCs w:val="22"/>
                <w:lang w:val="fr-FR"/>
              </w:rPr>
              <w:t>Renforcer le système de gestion des risques</w:t>
            </w:r>
            <w:r w:rsidRPr="00930A27">
              <w:rPr>
                <w:sz w:val="22"/>
                <w:szCs w:val="22"/>
                <w:lang w:val="fr-FR"/>
              </w:rPr>
              <w:t xml:space="preserve"> du programme et se focaliser sur la prévention proactive.</w:t>
            </w:r>
          </w:p>
        </w:tc>
        <w:tc>
          <w:tcPr>
            <w:tcW w:w="1187" w:type="dxa"/>
            <w:vAlign w:val="center"/>
          </w:tcPr>
          <w:p w14:paraId="63D6CB6B" w14:textId="1F976B66" w:rsidR="00930A27" w:rsidRDefault="00930A27" w:rsidP="00BA5929">
            <w:pPr>
              <w:pStyle w:val="Title"/>
              <w:jc w:val="center"/>
              <w:rPr>
                <w:sz w:val="22"/>
                <w:szCs w:val="22"/>
                <w:lang w:val="fr-FR"/>
              </w:rPr>
            </w:pPr>
            <w:r>
              <w:rPr>
                <w:sz w:val="22"/>
                <w:szCs w:val="22"/>
                <w:lang w:val="fr-FR"/>
              </w:rPr>
              <w:t>Moyen terme</w:t>
            </w:r>
          </w:p>
        </w:tc>
        <w:tc>
          <w:tcPr>
            <w:tcW w:w="1084" w:type="dxa"/>
            <w:vAlign w:val="center"/>
          </w:tcPr>
          <w:p w14:paraId="4246AF7F" w14:textId="7F3B2F69" w:rsidR="00930A27" w:rsidRDefault="00930A27" w:rsidP="00566167">
            <w:pPr>
              <w:pStyle w:val="Title"/>
              <w:jc w:val="center"/>
              <w:rPr>
                <w:sz w:val="22"/>
                <w:szCs w:val="22"/>
                <w:lang w:val="fr-FR"/>
              </w:rPr>
            </w:pPr>
            <w:r>
              <w:rPr>
                <w:sz w:val="22"/>
                <w:szCs w:val="22"/>
                <w:lang w:val="fr-FR"/>
              </w:rPr>
              <w:t>PNUD</w:t>
            </w:r>
          </w:p>
        </w:tc>
        <w:tc>
          <w:tcPr>
            <w:tcW w:w="1781" w:type="dxa"/>
          </w:tcPr>
          <w:p w14:paraId="2CC77CFF" w14:textId="3A552B02" w:rsidR="00930A27" w:rsidRDefault="00930A27" w:rsidP="00930A27">
            <w:pPr>
              <w:pStyle w:val="Title"/>
              <w:jc w:val="center"/>
              <w:rPr>
                <w:sz w:val="22"/>
                <w:szCs w:val="22"/>
                <w:lang w:val="fr-FR"/>
              </w:rPr>
            </w:pPr>
            <w:r>
              <w:rPr>
                <w:sz w:val="22"/>
                <w:szCs w:val="22"/>
                <w:lang w:val="fr-FR"/>
              </w:rPr>
              <w:t>FONAREDD, MINAT</w:t>
            </w:r>
          </w:p>
        </w:tc>
        <w:tc>
          <w:tcPr>
            <w:tcW w:w="1473" w:type="dxa"/>
          </w:tcPr>
          <w:p w14:paraId="7C12FEA7" w14:textId="020AC632" w:rsidR="00930A27" w:rsidRDefault="00930A27" w:rsidP="00930A27">
            <w:pPr>
              <w:pStyle w:val="Title"/>
              <w:jc w:val="center"/>
              <w:rPr>
                <w:sz w:val="22"/>
                <w:szCs w:val="22"/>
                <w:lang w:val="fr-FR"/>
              </w:rPr>
            </w:pPr>
            <w:r>
              <w:rPr>
                <w:sz w:val="22"/>
                <w:szCs w:val="22"/>
                <w:lang w:val="fr-FR"/>
              </w:rPr>
              <w:t>CAFI</w:t>
            </w:r>
          </w:p>
        </w:tc>
      </w:tr>
    </w:tbl>
    <w:p w14:paraId="67A8395A" w14:textId="77777777" w:rsidR="006965E2" w:rsidRDefault="006965E2" w:rsidP="000B22E7">
      <w:pPr>
        <w:pStyle w:val="Title"/>
        <w:rPr>
          <w:sz w:val="22"/>
          <w:szCs w:val="22"/>
          <w:lang w:val="fr-FR"/>
        </w:rPr>
      </w:pPr>
    </w:p>
    <w:p w14:paraId="229C9705" w14:textId="5AAAA3CF" w:rsidR="007A42DE" w:rsidRPr="005E1A30" w:rsidRDefault="006965E2" w:rsidP="005E1A30">
      <w:pPr>
        <w:pStyle w:val="Title"/>
        <w:jc w:val="center"/>
        <w:rPr>
          <w:sz w:val="20"/>
          <w:szCs w:val="20"/>
          <w:lang w:val="fr-FR"/>
        </w:rPr>
      </w:pPr>
      <w:r w:rsidRPr="005E1A30">
        <w:rPr>
          <w:sz w:val="20"/>
          <w:szCs w:val="20"/>
          <w:lang w:val="fr-FR"/>
        </w:rPr>
        <w:t>N.B. Les recommandations avec l</w:t>
      </w:r>
      <w:r w:rsidR="005E1A30">
        <w:rPr>
          <w:sz w:val="20"/>
          <w:szCs w:val="20"/>
          <w:lang w:val="fr-FR"/>
        </w:rPr>
        <w:t>es</w:t>
      </w:r>
      <w:r w:rsidRPr="005E1A30">
        <w:rPr>
          <w:sz w:val="20"/>
          <w:szCs w:val="20"/>
          <w:lang w:val="fr-FR"/>
        </w:rPr>
        <w:t xml:space="preserve"> modalité</w:t>
      </w:r>
      <w:r w:rsidR="005E1A30">
        <w:rPr>
          <w:sz w:val="20"/>
          <w:szCs w:val="20"/>
          <w:lang w:val="fr-FR"/>
        </w:rPr>
        <w:t>s</w:t>
      </w:r>
      <w:r w:rsidRPr="005E1A30">
        <w:rPr>
          <w:sz w:val="20"/>
          <w:szCs w:val="20"/>
          <w:lang w:val="fr-FR"/>
        </w:rPr>
        <w:t xml:space="preserve"> suggérée</w:t>
      </w:r>
      <w:r w:rsidR="005E1A30">
        <w:rPr>
          <w:sz w:val="20"/>
          <w:szCs w:val="20"/>
          <w:lang w:val="fr-FR"/>
        </w:rPr>
        <w:t>s</w:t>
      </w:r>
      <w:r w:rsidRPr="005E1A30">
        <w:rPr>
          <w:sz w:val="20"/>
          <w:szCs w:val="20"/>
          <w:lang w:val="fr-FR"/>
        </w:rPr>
        <w:t xml:space="preserve"> pour leur réalisation sont explicitées </w:t>
      </w:r>
      <w:r w:rsidR="005E1A30" w:rsidRPr="005E1A30">
        <w:rPr>
          <w:sz w:val="20"/>
          <w:szCs w:val="20"/>
          <w:lang w:val="fr-FR"/>
        </w:rPr>
        <w:t>narrativement dans le Chapitre VI du rapport d’évaluation.</w:t>
      </w:r>
    </w:p>
    <w:sectPr w:rsidR="007A42DE" w:rsidRPr="005E1A30" w:rsidSect="00113B65">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318E" w14:textId="77777777" w:rsidR="00C91C04" w:rsidRDefault="00C91C04" w:rsidP="005A0343">
      <w:pPr>
        <w:spacing w:after="0" w:line="240" w:lineRule="auto"/>
      </w:pPr>
      <w:r>
        <w:separator/>
      </w:r>
    </w:p>
  </w:endnote>
  <w:endnote w:type="continuationSeparator" w:id="0">
    <w:p w14:paraId="5DA6F47A" w14:textId="77777777" w:rsidR="00C91C04" w:rsidRDefault="00C91C04" w:rsidP="005A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㔲뫝簀ͦ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0345" w14:textId="77777777" w:rsidR="00C91C04" w:rsidRDefault="00C91C04" w:rsidP="005A0343">
      <w:pPr>
        <w:spacing w:after="0" w:line="240" w:lineRule="auto"/>
      </w:pPr>
      <w:r>
        <w:separator/>
      </w:r>
    </w:p>
  </w:footnote>
  <w:footnote w:type="continuationSeparator" w:id="0">
    <w:p w14:paraId="2BE0F551" w14:textId="77777777" w:rsidR="00C91C04" w:rsidRDefault="00C91C04" w:rsidP="005A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7F8"/>
    <w:multiLevelType w:val="hybridMultilevel"/>
    <w:tmpl w:val="6E7C0906"/>
    <w:lvl w:ilvl="0" w:tplc="BC8A6E9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4973AA6"/>
    <w:multiLevelType w:val="hybridMultilevel"/>
    <w:tmpl w:val="4FB8B9F2"/>
    <w:lvl w:ilvl="0" w:tplc="49F00B8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395C"/>
    <w:multiLevelType w:val="hybridMultilevel"/>
    <w:tmpl w:val="C3820944"/>
    <w:lvl w:ilvl="0" w:tplc="0410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810DC"/>
    <w:multiLevelType w:val="hybridMultilevel"/>
    <w:tmpl w:val="938CDBB2"/>
    <w:lvl w:ilvl="0" w:tplc="0410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971E5"/>
    <w:multiLevelType w:val="hybridMultilevel"/>
    <w:tmpl w:val="C7F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A7541"/>
    <w:multiLevelType w:val="hybridMultilevel"/>
    <w:tmpl w:val="11B49B1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6" w15:restartNumberingAfterBreak="0">
    <w:nsid w:val="112314B2"/>
    <w:multiLevelType w:val="hybridMultilevel"/>
    <w:tmpl w:val="7002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1568F"/>
    <w:multiLevelType w:val="hybridMultilevel"/>
    <w:tmpl w:val="0C4E8628"/>
    <w:lvl w:ilvl="0" w:tplc="6694B204">
      <w:start w:val="1"/>
      <w:numFmt w:val="bullet"/>
      <w:lvlText w:val="-"/>
      <w:lvlJc w:val="left"/>
      <w:pPr>
        <w:ind w:left="284" w:hanging="284"/>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A0928"/>
    <w:multiLevelType w:val="hybridMultilevel"/>
    <w:tmpl w:val="F544EC58"/>
    <w:lvl w:ilvl="0" w:tplc="0410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02433"/>
    <w:multiLevelType w:val="hybridMultilevel"/>
    <w:tmpl w:val="ED2E8804"/>
    <w:lvl w:ilvl="0" w:tplc="6694B204">
      <w:start w:val="1"/>
      <w:numFmt w:val="bullet"/>
      <w:lvlText w:val="-"/>
      <w:lvlJc w:val="left"/>
      <w:pPr>
        <w:ind w:left="284" w:hanging="284"/>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6627D"/>
    <w:multiLevelType w:val="hybridMultilevel"/>
    <w:tmpl w:val="36A4B460"/>
    <w:lvl w:ilvl="0" w:tplc="49F00B8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418E3"/>
    <w:multiLevelType w:val="hybridMultilevel"/>
    <w:tmpl w:val="EFC86FFE"/>
    <w:lvl w:ilvl="0" w:tplc="6694B204">
      <w:start w:val="1"/>
      <w:numFmt w:val="bullet"/>
      <w:lvlText w:val="-"/>
      <w:lvlJc w:val="left"/>
      <w:pPr>
        <w:ind w:left="284" w:hanging="284"/>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308DE"/>
    <w:multiLevelType w:val="hybridMultilevel"/>
    <w:tmpl w:val="E13C733C"/>
    <w:lvl w:ilvl="0" w:tplc="FD18404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25EDB"/>
    <w:multiLevelType w:val="hybridMultilevel"/>
    <w:tmpl w:val="607C1492"/>
    <w:lvl w:ilvl="0" w:tplc="E4E01A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F7E68"/>
    <w:multiLevelType w:val="hybridMultilevel"/>
    <w:tmpl w:val="42CCF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9A2DB6"/>
    <w:multiLevelType w:val="hybridMultilevel"/>
    <w:tmpl w:val="D7B61CAE"/>
    <w:lvl w:ilvl="0" w:tplc="8008229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50C79"/>
    <w:multiLevelType w:val="hybridMultilevel"/>
    <w:tmpl w:val="40F432E8"/>
    <w:lvl w:ilvl="0" w:tplc="49F00B8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52FF9"/>
    <w:multiLevelType w:val="hybridMultilevel"/>
    <w:tmpl w:val="51BE7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0C0874"/>
    <w:multiLevelType w:val="hybridMultilevel"/>
    <w:tmpl w:val="D5FA769C"/>
    <w:lvl w:ilvl="0" w:tplc="B03A58B2">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3B5E40"/>
    <w:multiLevelType w:val="multilevel"/>
    <w:tmpl w:val="BA32CA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1FF5407"/>
    <w:multiLevelType w:val="hybridMultilevel"/>
    <w:tmpl w:val="BAFA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261ED"/>
    <w:multiLevelType w:val="hybridMultilevel"/>
    <w:tmpl w:val="35B0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96D61"/>
    <w:multiLevelType w:val="hybridMultilevel"/>
    <w:tmpl w:val="5052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16BC1"/>
    <w:multiLevelType w:val="hybridMultilevel"/>
    <w:tmpl w:val="11EE1B42"/>
    <w:lvl w:ilvl="0" w:tplc="FD18404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55710"/>
    <w:multiLevelType w:val="hybridMultilevel"/>
    <w:tmpl w:val="D4067A24"/>
    <w:lvl w:ilvl="0" w:tplc="0410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316DF"/>
    <w:multiLevelType w:val="hybridMultilevel"/>
    <w:tmpl w:val="184A42F8"/>
    <w:lvl w:ilvl="0" w:tplc="49F00B86">
      <w:start w:val="1"/>
      <w:numFmt w:val="bullet"/>
      <w:lvlText w:val="-"/>
      <w:lvlJc w:val="left"/>
      <w:pPr>
        <w:ind w:left="284" w:hanging="284"/>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43558"/>
    <w:multiLevelType w:val="hybridMultilevel"/>
    <w:tmpl w:val="52260CC0"/>
    <w:lvl w:ilvl="0" w:tplc="6694B204">
      <w:start w:val="1"/>
      <w:numFmt w:val="bullet"/>
      <w:lvlText w:val="-"/>
      <w:lvlJc w:val="left"/>
      <w:pPr>
        <w:ind w:left="284" w:hanging="284"/>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A60AD"/>
    <w:multiLevelType w:val="hybridMultilevel"/>
    <w:tmpl w:val="257C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AF7663"/>
    <w:multiLevelType w:val="hybridMultilevel"/>
    <w:tmpl w:val="2E3C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7612B"/>
    <w:multiLevelType w:val="hybridMultilevel"/>
    <w:tmpl w:val="080AB9D8"/>
    <w:lvl w:ilvl="0" w:tplc="668EE69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D5F2E"/>
    <w:multiLevelType w:val="hybridMultilevel"/>
    <w:tmpl w:val="F3687186"/>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DB7D66"/>
    <w:multiLevelType w:val="hybridMultilevel"/>
    <w:tmpl w:val="F3687186"/>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AA000E"/>
    <w:multiLevelType w:val="multilevel"/>
    <w:tmpl w:val="89DAF4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B035350"/>
    <w:multiLevelType w:val="hybridMultilevel"/>
    <w:tmpl w:val="97B229B6"/>
    <w:lvl w:ilvl="0" w:tplc="0410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8C651E"/>
    <w:multiLevelType w:val="hybridMultilevel"/>
    <w:tmpl w:val="FE6044D2"/>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EA3AD3"/>
    <w:multiLevelType w:val="hybridMultilevel"/>
    <w:tmpl w:val="DB46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0759E"/>
    <w:multiLevelType w:val="hybridMultilevel"/>
    <w:tmpl w:val="24C89802"/>
    <w:lvl w:ilvl="0" w:tplc="0052B68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A0F2B"/>
    <w:multiLevelType w:val="hybridMultilevel"/>
    <w:tmpl w:val="2232248C"/>
    <w:lvl w:ilvl="0" w:tplc="49F00B8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FB7410"/>
    <w:multiLevelType w:val="hybridMultilevel"/>
    <w:tmpl w:val="D700C89A"/>
    <w:lvl w:ilvl="0" w:tplc="DB70E7F8">
      <w:start w:val="1"/>
      <w:numFmt w:val="bullet"/>
      <w:lvlText w:val="-"/>
      <w:lvlJc w:val="left"/>
      <w:pPr>
        <w:ind w:left="284" w:hanging="284"/>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0A2010"/>
    <w:multiLevelType w:val="hybridMultilevel"/>
    <w:tmpl w:val="92FEBEC0"/>
    <w:lvl w:ilvl="0" w:tplc="69B6DF50">
      <w:start w:val="1"/>
      <w:numFmt w:val="bullet"/>
      <w:lvlText w:val="-"/>
      <w:lvlJc w:val="left"/>
      <w:pPr>
        <w:ind w:left="284" w:hanging="284"/>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9116C2"/>
    <w:multiLevelType w:val="hybridMultilevel"/>
    <w:tmpl w:val="6704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622877"/>
    <w:multiLevelType w:val="hybridMultilevel"/>
    <w:tmpl w:val="3FC030A0"/>
    <w:lvl w:ilvl="0" w:tplc="18CE04C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6659F"/>
    <w:multiLevelType w:val="hybridMultilevel"/>
    <w:tmpl w:val="B566A1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0B71B1"/>
    <w:multiLevelType w:val="hybridMultilevel"/>
    <w:tmpl w:val="B436EED6"/>
    <w:lvl w:ilvl="0" w:tplc="49F00B8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36328"/>
    <w:multiLevelType w:val="hybridMultilevel"/>
    <w:tmpl w:val="A3022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9"/>
  </w:num>
  <w:num w:numId="3">
    <w:abstractNumId w:val="2"/>
  </w:num>
  <w:num w:numId="4">
    <w:abstractNumId w:val="25"/>
  </w:num>
  <w:num w:numId="5">
    <w:abstractNumId w:val="0"/>
  </w:num>
  <w:num w:numId="6">
    <w:abstractNumId w:val="15"/>
  </w:num>
  <w:num w:numId="7">
    <w:abstractNumId w:val="41"/>
  </w:num>
  <w:num w:numId="8">
    <w:abstractNumId w:val="9"/>
  </w:num>
  <w:num w:numId="9">
    <w:abstractNumId w:val="26"/>
  </w:num>
  <w:num w:numId="10">
    <w:abstractNumId w:val="11"/>
  </w:num>
  <w:num w:numId="11">
    <w:abstractNumId w:val="33"/>
  </w:num>
  <w:num w:numId="12">
    <w:abstractNumId w:val="7"/>
  </w:num>
  <w:num w:numId="13">
    <w:abstractNumId w:val="36"/>
  </w:num>
  <w:num w:numId="14">
    <w:abstractNumId w:val="39"/>
  </w:num>
  <w:num w:numId="15">
    <w:abstractNumId w:val="24"/>
  </w:num>
  <w:num w:numId="16">
    <w:abstractNumId w:val="29"/>
  </w:num>
  <w:num w:numId="17">
    <w:abstractNumId w:val="38"/>
  </w:num>
  <w:num w:numId="18">
    <w:abstractNumId w:val="13"/>
  </w:num>
  <w:num w:numId="19">
    <w:abstractNumId w:val="3"/>
  </w:num>
  <w:num w:numId="20">
    <w:abstractNumId w:val="12"/>
  </w:num>
  <w:num w:numId="21">
    <w:abstractNumId w:val="23"/>
  </w:num>
  <w:num w:numId="22">
    <w:abstractNumId w:val="34"/>
  </w:num>
  <w:num w:numId="23">
    <w:abstractNumId w:val="30"/>
  </w:num>
  <w:num w:numId="24">
    <w:abstractNumId w:val="31"/>
  </w:num>
  <w:num w:numId="25">
    <w:abstractNumId w:val="32"/>
  </w:num>
  <w:num w:numId="26">
    <w:abstractNumId w:val="5"/>
  </w:num>
  <w:num w:numId="27">
    <w:abstractNumId w:val="14"/>
  </w:num>
  <w:num w:numId="28">
    <w:abstractNumId w:val="4"/>
  </w:num>
  <w:num w:numId="29">
    <w:abstractNumId w:val="21"/>
  </w:num>
  <w:num w:numId="30">
    <w:abstractNumId w:val="22"/>
  </w:num>
  <w:num w:numId="31">
    <w:abstractNumId w:val="28"/>
  </w:num>
  <w:num w:numId="32">
    <w:abstractNumId w:val="6"/>
  </w:num>
  <w:num w:numId="33">
    <w:abstractNumId w:val="27"/>
  </w:num>
  <w:num w:numId="34">
    <w:abstractNumId w:val="40"/>
  </w:num>
  <w:num w:numId="35">
    <w:abstractNumId w:val="17"/>
  </w:num>
  <w:num w:numId="36">
    <w:abstractNumId w:val="44"/>
  </w:num>
  <w:num w:numId="37">
    <w:abstractNumId w:val="43"/>
  </w:num>
  <w:num w:numId="38">
    <w:abstractNumId w:val="16"/>
  </w:num>
  <w:num w:numId="39">
    <w:abstractNumId w:val="1"/>
  </w:num>
  <w:num w:numId="40">
    <w:abstractNumId w:val="37"/>
  </w:num>
  <w:num w:numId="41">
    <w:abstractNumId w:val="10"/>
  </w:num>
  <w:num w:numId="42">
    <w:abstractNumId w:val="20"/>
  </w:num>
  <w:num w:numId="43">
    <w:abstractNumId w:val="18"/>
  </w:num>
  <w:num w:numId="44">
    <w:abstractNumId w:val="35"/>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06"/>
    <w:rsid w:val="0000009A"/>
    <w:rsid w:val="00000FFF"/>
    <w:rsid w:val="0000140F"/>
    <w:rsid w:val="0000203E"/>
    <w:rsid w:val="00002741"/>
    <w:rsid w:val="000027BF"/>
    <w:rsid w:val="000029AC"/>
    <w:rsid w:val="00003126"/>
    <w:rsid w:val="00003269"/>
    <w:rsid w:val="000034BA"/>
    <w:rsid w:val="000036FC"/>
    <w:rsid w:val="0000402A"/>
    <w:rsid w:val="0000463C"/>
    <w:rsid w:val="00004C69"/>
    <w:rsid w:val="00004DD0"/>
    <w:rsid w:val="00005AA9"/>
    <w:rsid w:val="0000697F"/>
    <w:rsid w:val="00006BCD"/>
    <w:rsid w:val="00007190"/>
    <w:rsid w:val="000077AA"/>
    <w:rsid w:val="00007FA6"/>
    <w:rsid w:val="000108BD"/>
    <w:rsid w:val="00010EE7"/>
    <w:rsid w:val="00011455"/>
    <w:rsid w:val="0001636A"/>
    <w:rsid w:val="00016557"/>
    <w:rsid w:val="0001758F"/>
    <w:rsid w:val="00020DC2"/>
    <w:rsid w:val="0002319C"/>
    <w:rsid w:val="000231A5"/>
    <w:rsid w:val="00023CA6"/>
    <w:rsid w:val="00023CF7"/>
    <w:rsid w:val="0002517A"/>
    <w:rsid w:val="00026101"/>
    <w:rsid w:val="00027C4D"/>
    <w:rsid w:val="000305BC"/>
    <w:rsid w:val="0003065D"/>
    <w:rsid w:val="00031316"/>
    <w:rsid w:val="00031DDB"/>
    <w:rsid w:val="00031F71"/>
    <w:rsid w:val="000323DA"/>
    <w:rsid w:val="0003468A"/>
    <w:rsid w:val="00034FBB"/>
    <w:rsid w:val="00035CD5"/>
    <w:rsid w:val="000362FC"/>
    <w:rsid w:val="000363EC"/>
    <w:rsid w:val="00036415"/>
    <w:rsid w:val="000372B2"/>
    <w:rsid w:val="00037955"/>
    <w:rsid w:val="00040438"/>
    <w:rsid w:val="00040FF0"/>
    <w:rsid w:val="00041D15"/>
    <w:rsid w:val="00042059"/>
    <w:rsid w:val="0004228E"/>
    <w:rsid w:val="000424A2"/>
    <w:rsid w:val="00043844"/>
    <w:rsid w:val="00043F7B"/>
    <w:rsid w:val="000446D9"/>
    <w:rsid w:val="00044C01"/>
    <w:rsid w:val="00045BB3"/>
    <w:rsid w:val="00045EBD"/>
    <w:rsid w:val="00045F76"/>
    <w:rsid w:val="000462D8"/>
    <w:rsid w:val="00046609"/>
    <w:rsid w:val="0004685E"/>
    <w:rsid w:val="00046A45"/>
    <w:rsid w:val="00046CFF"/>
    <w:rsid w:val="00050451"/>
    <w:rsid w:val="00051D4A"/>
    <w:rsid w:val="0005357C"/>
    <w:rsid w:val="00054B44"/>
    <w:rsid w:val="00054E3C"/>
    <w:rsid w:val="00055175"/>
    <w:rsid w:val="0005517B"/>
    <w:rsid w:val="0005536B"/>
    <w:rsid w:val="000556F6"/>
    <w:rsid w:val="00055820"/>
    <w:rsid w:val="00055F8C"/>
    <w:rsid w:val="00056B19"/>
    <w:rsid w:val="00057A83"/>
    <w:rsid w:val="00057DF0"/>
    <w:rsid w:val="00060298"/>
    <w:rsid w:val="000606A4"/>
    <w:rsid w:val="0006398F"/>
    <w:rsid w:val="00064A82"/>
    <w:rsid w:val="00064FE9"/>
    <w:rsid w:val="0006694A"/>
    <w:rsid w:val="00066998"/>
    <w:rsid w:val="00067990"/>
    <w:rsid w:val="00070757"/>
    <w:rsid w:val="000710E3"/>
    <w:rsid w:val="000719A3"/>
    <w:rsid w:val="0007213C"/>
    <w:rsid w:val="00072759"/>
    <w:rsid w:val="000727DF"/>
    <w:rsid w:val="00072836"/>
    <w:rsid w:val="00072D70"/>
    <w:rsid w:val="00072EC4"/>
    <w:rsid w:val="000730D0"/>
    <w:rsid w:val="00073168"/>
    <w:rsid w:val="0007339F"/>
    <w:rsid w:val="00073606"/>
    <w:rsid w:val="00073ACB"/>
    <w:rsid w:val="00073E4D"/>
    <w:rsid w:val="00074EE8"/>
    <w:rsid w:val="00075CE8"/>
    <w:rsid w:val="00076BEB"/>
    <w:rsid w:val="0007728D"/>
    <w:rsid w:val="00080462"/>
    <w:rsid w:val="000807C0"/>
    <w:rsid w:val="0008116C"/>
    <w:rsid w:val="00081371"/>
    <w:rsid w:val="000817B2"/>
    <w:rsid w:val="000820B1"/>
    <w:rsid w:val="0008270C"/>
    <w:rsid w:val="00082A5D"/>
    <w:rsid w:val="00083119"/>
    <w:rsid w:val="000839AC"/>
    <w:rsid w:val="000844BD"/>
    <w:rsid w:val="000845B4"/>
    <w:rsid w:val="00084792"/>
    <w:rsid w:val="000848EE"/>
    <w:rsid w:val="000872D2"/>
    <w:rsid w:val="0008745A"/>
    <w:rsid w:val="000879BE"/>
    <w:rsid w:val="000904AF"/>
    <w:rsid w:val="000922B5"/>
    <w:rsid w:val="00094420"/>
    <w:rsid w:val="0009476B"/>
    <w:rsid w:val="00094FE0"/>
    <w:rsid w:val="0009550D"/>
    <w:rsid w:val="000964C6"/>
    <w:rsid w:val="00096D21"/>
    <w:rsid w:val="00097320"/>
    <w:rsid w:val="000A001D"/>
    <w:rsid w:val="000A0237"/>
    <w:rsid w:val="000A095C"/>
    <w:rsid w:val="000A0DA9"/>
    <w:rsid w:val="000A0E0A"/>
    <w:rsid w:val="000A247D"/>
    <w:rsid w:val="000A27B0"/>
    <w:rsid w:val="000A2FC3"/>
    <w:rsid w:val="000A3EF0"/>
    <w:rsid w:val="000A4BEC"/>
    <w:rsid w:val="000A50F3"/>
    <w:rsid w:val="000A5118"/>
    <w:rsid w:val="000A60D5"/>
    <w:rsid w:val="000A7249"/>
    <w:rsid w:val="000B0946"/>
    <w:rsid w:val="000B20BF"/>
    <w:rsid w:val="000B22E7"/>
    <w:rsid w:val="000B4A92"/>
    <w:rsid w:val="000B580D"/>
    <w:rsid w:val="000B6785"/>
    <w:rsid w:val="000B6F19"/>
    <w:rsid w:val="000B7432"/>
    <w:rsid w:val="000C0031"/>
    <w:rsid w:val="000C0644"/>
    <w:rsid w:val="000C0C0D"/>
    <w:rsid w:val="000C233B"/>
    <w:rsid w:val="000C320A"/>
    <w:rsid w:val="000C5521"/>
    <w:rsid w:val="000C5C21"/>
    <w:rsid w:val="000C5F6F"/>
    <w:rsid w:val="000C6545"/>
    <w:rsid w:val="000C6F2A"/>
    <w:rsid w:val="000C787A"/>
    <w:rsid w:val="000D0B64"/>
    <w:rsid w:val="000D0CFE"/>
    <w:rsid w:val="000D2054"/>
    <w:rsid w:val="000D205B"/>
    <w:rsid w:val="000D2EAD"/>
    <w:rsid w:val="000D3955"/>
    <w:rsid w:val="000D47BA"/>
    <w:rsid w:val="000D5016"/>
    <w:rsid w:val="000D6851"/>
    <w:rsid w:val="000D70AB"/>
    <w:rsid w:val="000E00D7"/>
    <w:rsid w:val="000E0253"/>
    <w:rsid w:val="000E0319"/>
    <w:rsid w:val="000E129D"/>
    <w:rsid w:val="000E18C4"/>
    <w:rsid w:val="000E1EB4"/>
    <w:rsid w:val="000E2DF3"/>
    <w:rsid w:val="000E33A2"/>
    <w:rsid w:val="000E4BF5"/>
    <w:rsid w:val="000E6708"/>
    <w:rsid w:val="000E6912"/>
    <w:rsid w:val="000F0644"/>
    <w:rsid w:val="000F0F49"/>
    <w:rsid w:val="000F22C9"/>
    <w:rsid w:val="000F3A82"/>
    <w:rsid w:val="000F3D09"/>
    <w:rsid w:val="000F414B"/>
    <w:rsid w:val="000F4878"/>
    <w:rsid w:val="000F4A39"/>
    <w:rsid w:val="000F4F11"/>
    <w:rsid w:val="000F5769"/>
    <w:rsid w:val="000F5D4E"/>
    <w:rsid w:val="000F743A"/>
    <w:rsid w:val="00100279"/>
    <w:rsid w:val="00101CBE"/>
    <w:rsid w:val="00102172"/>
    <w:rsid w:val="00103A87"/>
    <w:rsid w:val="0010478F"/>
    <w:rsid w:val="00104796"/>
    <w:rsid w:val="001055F2"/>
    <w:rsid w:val="001079C1"/>
    <w:rsid w:val="00107B24"/>
    <w:rsid w:val="00111373"/>
    <w:rsid w:val="001114EA"/>
    <w:rsid w:val="00111A36"/>
    <w:rsid w:val="001129B4"/>
    <w:rsid w:val="00112B98"/>
    <w:rsid w:val="00112F91"/>
    <w:rsid w:val="001135F2"/>
    <w:rsid w:val="00113A66"/>
    <w:rsid w:val="00113B65"/>
    <w:rsid w:val="001142AC"/>
    <w:rsid w:val="0011445D"/>
    <w:rsid w:val="00115260"/>
    <w:rsid w:val="00115CDE"/>
    <w:rsid w:val="00116348"/>
    <w:rsid w:val="00116703"/>
    <w:rsid w:val="00117014"/>
    <w:rsid w:val="00117CE2"/>
    <w:rsid w:val="00120614"/>
    <w:rsid w:val="0012078F"/>
    <w:rsid w:val="00121A98"/>
    <w:rsid w:val="00121FDB"/>
    <w:rsid w:val="0012217A"/>
    <w:rsid w:val="00122B5A"/>
    <w:rsid w:val="00123C0E"/>
    <w:rsid w:val="0012452F"/>
    <w:rsid w:val="00124D71"/>
    <w:rsid w:val="00125347"/>
    <w:rsid w:val="00125823"/>
    <w:rsid w:val="00125964"/>
    <w:rsid w:val="001268AA"/>
    <w:rsid w:val="00126F06"/>
    <w:rsid w:val="001271BE"/>
    <w:rsid w:val="00127BBD"/>
    <w:rsid w:val="00131A0F"/>
    <w:rsid w:val="001324F5"/>
    <w:rsid w:val="00133666"/>
    <w:rsid w:val="00133F36"/>
    <w:rsid w:val="00134C8D"/>
    <w:rsid w:val="00134CF2"/>
    <w:rsid w:val="00135217"/>
    <w:rsid w:val="00135340"/>
    <w:rsid w:val="0013568E"/>
    <w:rsid w:val="00137194"/>
    <w:rsid w:val="001406FC"/>
    <w:rsid w:val="00142F39"/>
    <w:rsid w:val="0014339F"/>
    <w:rsid w:val="00143BCC"/>
    <w:rsid w:val="00143CD7"/>
    <w:rsid w:val="00145C3B"/>
    <w:rsid w:val="0014620C"/>
    <w:rsid w:val="001463B7"/>
    <w:rsid w:val="00146D07"/>
    <w:rsid w:val="001514C9"/>
    <w:rsid w:val="0015273A"/>
    <w:rsid w:val="001527C3"/>
    <w:rsid w:val="00152B9C"/>
    <w:rsid w:val="00152C49"/>
    <w:rsid w:val="00154084"/>
    <w:rsid w:val="001567B0"/>
    <w:rsid w:val="00156A4A"/>
    <w:rsid w:val="00156A54"/>
    <w:rsid w:val="00157559"/>
    <w:rsid w:val="00160974"/>
    <w:rsid w:val="00160FFD"/>
    <w:rsid w:val="0016187D"/>
    <w:rsid w:val="00163731"/>
    <w:rsid w:val="00163961"/>
    <w:rsid w:val="00163DF2"/>
    <w:rsid w:val="001641A6"/>
    <w:rsid w:val="00164BE0"/>
    <w:rsid w:val="00164EBC"/>
    <w:rsid w:val="00165F77"/>
    <w:rsid w:val="001666C1"/>
    <w:rsid w:val="00167537"/>
    <w:rsid w:val="001675E3"/>
    <w:rsid w:val="00167F44"/>
    <w:rsid w:val="00170996"/>
    <w:rsid w:val="00170F53"/>
    <w:rsid w:val="00171C71"/>
    <w:rsid w:val="00171E73"/>
    <w:rsid w:val="00172864"/>
    <w:rsid w:val="00172D47"/>
    <w:rsid w:val="0017445C"/>
    <w:rsid w:val="001745D2"/>
    <w:rsid w:val="001748DD"/>
    <w:rsid w:val="00174E73"/>
    <w:rsid w:val="0017581B"/>
    <w:rsid w:val="00175AA3"/>
    <w:rsid w:val="00176629"/>
    <w:rsid w:val="00176CAE"/>
    <w:rsid w:val="00177365"/>
    <w:rsid w:val="001804A0"/>
    <w:rsid w:val="00180643"/>
    <w:rsid w:val="001809B9"/>
    <w:rsid w:val="00180E1A"/>
    <w:rsid w:val="00181478"/>
    <w:rsid w:val="001816EF"/>
    <w:rsid w:val="001834EA"/>
    <w:rsid w:val="00184C0F"/>
    <w:rsid w:val="0018505F"/>
    <w:rsid w:val="00185939"/>
    <w:rsid w:val="0018674C"/>
    <w:rsid w:val="00190C97"/>
    <w:rsid w:val="00190E9F"/>
    <w:rsid w:val="00191285"/>
    <w:rsid w:val="001924C5"/>
    <w:rsid w:val="00193249"/>
    <w:rsid w:val="001936DA"/>
    <w:rsid w:val="00194636"/>
    <w:rsid w:val="00194A01"/>
    <w:rsid w:val="00194CC9"/>
    <w:rsid w:val="00195065"/>
    <w:rsid w:val="00195F65"/>
    <w:rsid w:val="00196E0A"/>
    <w:rsid w:val="00196F5A"/>
    <w:rsid w:val="001973FC"/>
    <w:rsid w:val="00197BF1"/>
    <w:rsid w:val="00197F7A"/>
    <w:rsid w:val="001A0708"/>
    <w:rsid w:val="001A1AB3"/>
    <w:rsid w:val="001A1F8C"/>
    <w:rsid w:val="001A222E"/>
    <w:rsid w:val="001A31B7"/>
    <w:rsid w:val="001A631F"/>
    <w:rsid w:val="001A6D41"/>
    <w:rsid w:val="001A75B3"/>
    <w:rsid w:val="001A77D4"/>
    <w:rsid w:val="001B02B9"/>
    <w:rsid w:val="001B0474"/>
    <w:rsid w:val="001B0BC7"/>
    <w:rsid w:val="001B0D96"/>
    <w:rsid w:val="001B22B0"/>
    <w:rsid w:val="001B4314"/>
    <w:rsid w:val="001B4A76"/>
    <w:rsid w:val="001B51E5"/>
    <w:rsid w:val="001B5B2B"/>
    <w:rsid w:val="001B5BF5"/>
    <w:rsid w:val="001B62EC"/>
    <w:rsid w:val="001B6D2E"/>
    <w:rsid w:val="001C0B45"/>
    <w:rsid w:val="001C0D2B"/>
    <w:rsid w:val="001C1B8D"/>
    <w:rsid w:val="001C22C1"/>
    <w:rsid w:val="001C3032"/>
    <w:rsid w:val="001C405A"/>
    <w:rsid w:val="001C4B13"/>
    <w:rsid w:val="001C57ED"/>
    <w:rsid w:val="001C6564"/>
    <w:rsid w:val="001C6925"/>
    <w:rsid w:val="001C71AD"/>
    <w:rsid w:val="001C74A7"/>
    <w:rsid w:val="001D02F3"/>
    <w:rsid w:val="001D095F"/>
    <w:rsid w:val="001D09A1"/>
    <w:rsid w:val="001D3634"/>
    <w:rsid w:val="001D377D"/>
    <w:rsid w:val="001D3C59"/>
    <w:rsid w:val="001D3EC6"/>
    <w:rsid w:val="001D4216"/>
    <w:rsid w:val="001D4900"/>
    <w:rsid w:val="001D5025"/>
    <w:rsid w:val="001D60EB"/>
    <w:rsid w:val="001D65C8"/>
    <w:rsid w:val="001D6B89"/>
    <w:rsid w:val="001D75EA"/>
    <w:rsid w:val="001E04FC"/>
    <w:rsid w:val="001E0935"/>
    <w:rsid w:val="001E17C5"/>
    <w:rsid w:val="001E194F"/>
    <w:rsid w:val="001E2217"/>
    <w:rsid w:val="001E22CB"/>
    <w:rsid w:val="001E4CD2"/>
    <w:rsid w:val="001E5313"/>
    <w:rsid w:val="001E551D"/>
    <w:rsid w:val="001E5830"/>
    <w:rsid w:val="001E6751"/>
    <w:rsid w:val="001F15EE"/>
    <w:rsid w:val="001F2052"/>
    <w:rsid w:val="001F227C"/>
    <w:rsid w:val="001F25AD"/>
    <w:rsid w:val="001F31EB"/>
    <w:rsid w:val="001F3AE7"/>
    <w:rsid w:val="001F4781"/>
    <w:rsid w:val="001F5128"/>
    <w:rsid w:val="001F58DB"/>
    <w:rsid w:val="001F5BB1"/>
    <w:rsid w:val="001F5DB2"/>
    <w:rsid w:val="001F6242"/>
    <w:rsid w:val="001F7602"/>
    <w:rsid w:val="00200155"/>
    <w:rsid w:val="002004AD"/>
    <w:rsid w:val="002005D1"/>
    <w:rsid w:val="00200D7D"/>
    <w:rsid w:val="0020139A"/>
    <w:rsid w:val="00202578"/>
    <w:rsid w:val="00204917"/>
    <w:rsid w:val="00205A1A"/>
    <w:rsid w:val="00207691"/>
    <w:rsid w:val="00207D24"/>
    <w:rsid w:val="00210755"/>
    <w:rsid w:val="00210FBA"/>
    <w:rsid w:val="0021154A"/>
    <w:rsid w:val="0021193C"/>
    <w:rsid w:val="00212109"/>
    <w:rsid w:val="0021285D"/>
    <w:rsid w:val="002129AD"/>
    <w:rsid w:val="00212AEA"/>
    <w:rsid w:val="0021362A"/>
    <w:rsid w:val="00213DD5"/>
    <w:rsid w:val="0021419E"/>
    <w:rsid w:val="00215345"/>
    <w:rsid w:val="00215393"/>
    <w:rsid w:val="00216445"/>
    <w:rsid w:val="00220BD7"/>
    <w:rsid w:val="00221224"/>
    <w:rsid w:val="00221389"/>
    <w:rsid w:val="002215A2"/>
    <w:rsid w:val="00221622"/>
    <w:rsid w:val="00221783"/>
    <w:rsid w:val="002225AB"/>
    <w:rsid w:val="00222B81"/>
    <w:rsid w:val="00223C79"/>
    <w:rsid w:val="00223EAD"/>
    <w:rsid w:val="00224D4B"/>
    <w:rsid w:val="0022560A"/>
    <w:rsid w:val="00225EA8"/>
    <w:rsid w:val="00226D07"/>
    <w:rsid w:val="00227132"/>
    <w:rsid w:val="0022725B"/>
    <w:rsid w:val="00227A87"/>
    <w:rsid w:val="00232C18"/>
    <w:rsid w:val="00233C83"/>
    <w:rsid w:val="00233DDE"/>
    <w:rsid w:val="00235C94"/>
    <w:rsid w:val="00236527"/>
    <w:rsid w:val="00240065"/>
    <w:rsid w:val="002404B7"/>
    <w:rsid w:val="00240BF6"/>
    <w:rsid w:val="00243594"/>
    <w:rsid w:val="0024488D"/>
    <w:rsid w:val="00244F29"/>
    <w:rsid w:val="002461AA"/>
    <w:rsid w:val="002463B9"/>
    <w:rsid w:val="002466BA"/>
    <w:rsid w:val="00247048"/>
    <w:rsid w:val="00247306"/>
    <w:rsid w:val="00247E4A"/>
    <w:rsid w:val="002513E7"/>
    <w:rsid w:val="00251BFB"/>
    <w:rsid w:val="002530ED"/>
    <w:rsid w:val="002535D2"/>
    <w:rsid w:val="00255236"/>
    <w:rsid w:val="0025589C"/>
    <w:rsid w:val="00255EE6"/>
    <w:rsid w:val="00256CBE"/>
    <w:rsid w:val="0025739C"/>
    <w:rsid w:val="00257EA4"/>
    <w:rsid w:val="00260297"/>
    <w:rsid w:val="00260B61"/>
    <w:rsid w:val="00261136"/>
    <w:rsid w:val="00262263"/>
    <w:rsid w:val="0026332F"/>
    <w:rsid w:val="00263B12"/>
    <w:rsid w:val="002643D2"/>
    <w:rsid w:val="00264CDA"/>
    <w:rsid w:val="0026585D"/>
    <w:rsid w:val="00265E8D"/>
    <w:rsid w:val="002660CE"/>
    <w:rsid w:val="00266BC0"/>
    <w:rsid w:val="00266C34"/>
    <w:rsid w:val="002677E6"/>
    <w:rsid w:val="00270383"/>
    <w:rsid w:val="002707FF"/>
    <w:rsid w:val="002710BA"/>
    <w:rsid w:val="0027328C"/>
    <w:rsid w:val="002755E2"/>
    <w:rsid w:val="00276FC5"/>
    <w:rsid w:val="00276FE5"/>
    <w:rsid w:val="00280959"/>
    <w:rsid w:val="00281ACD"/>
    <w:rsid w:val="00281B6D"/>
    <w:rsid w:val="00281C8B"/>
    <w:rsid w:val="00282166"/>
    <w:rsid w:val="00282F03"/>
    <w:rsid w:val="002831CA"/>
    <w:rsid w:val="00283510"/>
    <w:rsid w:val="00283783"/>
    <w:rsid w:val="00284B14"/>
    <w:rsid w:val="00284E60"/>
    <w:rsid w:val="00285278"/>
    <w:rsid w:val="00286189"/>
    <w:rsid w:val="0028654C"/>
    <w:rsid w:val="0028691D"/>
    <w:rsid w:val="002875BA"/>
    <w:rsid w:val="00287B2B"/>
    <w:rsid w:val="00291AFE"/>
    <w:rsid w:val="002935A3"/>
    <w:rsid w:val="002937DA"/>
    <w:rsid w:val="00294C68"/>
    <w:rsid w:val="00295323"/>
    <w:rsid w:val="00297D28"/>
    <w:rsid w:val="002A11BF"/>
    <w:rsid w:val="002A1380"/>
    <w:rsid w:val="002A151B"/>
    <w:rsid w:val="002A1ECB"/>
    <w:rsid w:val="002A266F"/>
    <w:rsid w:val="002A333C"/>
    <w:rsid w:val="002A385F"/>
    <w:rsid w:val="002A4ED2"/>
    <w:rsid w:val="002A6E11"/>
    <w:rsid w:val="002A748A"/>
    <w:rsid w:val="002B0B12"/>
    <w:rsid w:val="002B28FF"/>
    <w:rsid w:val="002B2D96"/>
    <w:rsid w:val="002B47D2"/>
    <w:rsid w:val="002B4886"/>
    <w:rsid w:val="002B54F7"/>
    <w:rsid w:val="002B599E"/>
    <w:rsid w:val="002B6272"/>
    <w:rsid w:val="002B64A1"/>
    <w:rsid w:val="002B6881"/>
    <w:rsid w:val="002C0A92"/>
    <w:rsid w:val="002C0F90"/>
    <w:rsid w:val="002C155D"/>
    <w:rsid w:val="002C1D46"/>
    <w:rsid w:val="002C2C7A"/>
    <w:rsid w:val="002C30CE"/>
    <w:rsid w:val="002C413D"/>
    <w:rsid w:val="002C5844"/>
    <w:rsid w:val="002C5887"/>
    <w:rsid w:val="002C5CC4"/>
    <w:rsid w:val="002C60AD"/>
    <w:rsid w:val="002C627F"/>
    <w:rsid w:val="002C62A6"/>
    <w:rsid w:val="002C6ACF"/>
    <w:rsid w:val="002C73C3"/>
    <w:rsid w:val="002C7A07"/>
    <w:rsid w:val="002C7BAF"/>
    <w:rsid w:val="002D08B7"/>
    <w:rsid w:val="002D0959"/>
    <w:rsid w:val="002D0F3D"/>
    <w:rsid w:val="002D0FCD"/>
    <w:rsid w:val="002D0FE0"/>
    <w:rsid w:val="002D1315"/>
    <w:rsid w:val="002D5A17"/>
    <w:rsid w:val="002D5ED1"/>
    <w:rsid w:val="002D6586"/>
    <w:rsid w:val="002D6692"/>
    <w:rsid w:val="002D689B"/>
    <w:rsid w:val="002D7953"/>
    <w:rsid w:val="002D7B40"/>
    <w:rsid w:val="002E0366"/>
    <w:rsid w:val="002E065D"/>
    <w:rsid w:val="002E0B4E"/>
    <w:rsid w:val="002E1279"/>
    <w:rsid w:val="002E2079"/>
    <w:rsid w:val="002E2327"/>
    <w:rsid w:val="002E24D6"/>
    <w:rsid w:val="002E35CB"/>
    <w:rsid w:val="002E4BC3"/>
    <w:rsid w:val="002E6A34"/>
    <w:rsid w:val="002E6CC0"/>
    <w:rsid w:val="002E766A"/>
    <w:rsid w:val="002F0A90"/>
    <w:rsid w:val="002F11F1"/>
    <w:rsid w:val="002F127E"/>
    <w:rsid w:val="002F17D6"/>
    <w:rsid w:val="002F25DE"/>
    <w:rsid w:val="002F3B5A"/>
    <w:rsid w:val="002F3BCD"/>
    <w:rsid w:val="002F4685"/>
    <w:rsid w:val="002F4CFC"/>
    <w:rsid w:val="002F60B3"/>
    <w:rsid w:val="002F6166"/>
    <w:rsid w:val="002F64AF"/>
    <w:rsid w:val="002F7265"/>
    <w:rsid w:val="002F7EFB"/>
    <w:rsid w:val="00300203"/>
    <w:rsid w:val="00300309"/>
    <w:rsid w:val="003004B4"/>
    <w:rsid w:val="00301192"/>
    <w:rsid w:val="003032B7"/>
    <w:rsid w:val="00304111"/>
    <w:rsid w:val="00304201"/>
    <w:rsid w:val="00304DCB"/>
    <w:rsid w:val="003052D9"/>
    <w:rsid w:val="003053DB"/>
    <w:rsid w:val="003061F7"/>
    <w:rsid w:val="00306F8C"/>
    <w:rsid w:val="00307EE7"/>
    <w:rsid w:val="00310038"/>
    <w:rsid w:val="003106B0"/>
    <w:rsid w:val="00310A94"/>
    <w:rsid w:val="00311CAA"/>
    <w:rsid w:val="003134EC"/>
    <w:rsid w:val="00313E91"/>
    <w:rsid w:val="003142EF"/>
    <w:rsid w:val="00314813"/>
    <w:rsid w:val="003149FD"/>
    <w:rsid w:val="003153C8"/>
    <w:rsid w:val="003157FB"/>
    <w:rsid w:val="00315821"/>
    <w:rsid w:val="00317751"/>
    <w:rsid w:val="00321741"/>
    <w:rsid w:val="00322B62"/>
    <w:rsid w:val="00322E96"/>
    <w:rsid w:val="00323BC2"/>
    <w:rsid w:val="00324A5E"/>
    <w:rsid w:val="00324A78"/>
    <w:rsid w:val="00324ED1"/>
    <w:rsid w:val="00325D87"/>
    <w:rsid w:val="003262E4"/>
    <w:rsid w:val="0033007F"/>
    <w:rsid w:val="003318DB"/>
    <w:rsid w:val="00333584"/>
    <w:rsid w:val="00333D04"/>
    <w:rsid w:val="003341E7"/>
    <w:rsid w:val="00334C93"/>
    <w:rsid w:val="003367C6"/>
    <w:rsid w:val="00337F38"/>
    <w:rsid w:val="0034170A"/>
    <w:rsid w:val="00341B15"/>
    <w:rsid w:val="00342D60"/>
    <w:rsid w:val="00343DB4"/>
    <w:rsid w:val="003441FF"/>
    <w:rsid w:val="0034422D"/>
    <w:rsid w:val="0034431D"/>
    <w:rsid w:val="00344BB3"/>
    <w:rsid w:val="00344C05"/>
    <w:rsid w:val="003468C3"/>
    <w:rsid w:val="00346A0B"/>
    <w:rsid w:val="00347D03"/>
    <w:rsid w:val="00347E5D"/>
    <w:rsid w:val="00350763"/>
    <w:rsid w:val="00350EA9"/>
    <w:rsid w:val="00351136"/>
    <w:rsid w:val="00351389"/>
    <w:rsid w:val="00353262"/>
    <w:rsid w:val="0035330F"/>
    <w:rsid w:val="00353561"/>
    <w:rsid w:val="003561A6"/>
    <w:rsid w:val="003564A1"/>
    <w:rsid w:val="00356DED"/>
    <w:rsid w:val="00356F6E"/>
    <w:rsid w:val="00356FBE"/>
    <w:rsid w:val="0035713B"/>
    <w:rsid w:val="00357DE0"/>
    <w:rsid w:val="0036060B"/>
    <w:rsid w:val="00360C10"/>
    <w:rsid w:val="00361A39"/>
    <w:rsid w:val="00361DA0"/>
    <w:rsid w:val="003629B7"/>
    <w:rsid w:val="00362A27"/>
    <w:rsid w:val="00362F7B"/>
    <w:rsid w:val="00363A81"/>
    <w:rsid w:val="00363DF2"/>
    <w:rsid w:val="0036425B"/>
    <w:rsid w:val="003642C3"/>
    <w:rsid w:val="0036537F"/>
    <w:rsid w:val="00366287"/>
    <w:rsid w:val="003721FA"/>
    <w:rsid w:val="00372367"/>
    <w:rsid w:val="003733D7"/>
    <w:rsid w:val="00373704"/>
    <w:rsid w:val="00373AFE"/>
    <w:rsid w:val="00373B56"/>
    <w:rsid w:val="0037423A"/>
    <w:rsid w:val="003754C7"/>
    <w:rsid w:val="00375631"/>
    <w:rsid w:val="003756CB"/>
    <w:rsid w:val="00375A15"/>
    <w:rsid w:val="00375AA6"/>
    <w:rsid w:val="003772F2"/>
    <w:rsid w:val="00377579"/>
    <w:rsid w:val="003800D4"/>
    <w:rsid w:val="003802FF"/>
    <w:rsid w:val="003814A6"/>
    <w:rsid w:val="003816C5"/>
    <w:rsid w:val="0038358B"/>
    <w:rsid w:val="00383FFE"/>
    <w:rsid w:val="00384106"/>
    <w:rsid w:val="00384169"/>
    <w:rsid w:val="00384EEB"/>
    <w:rsid w:val="003867C0"/>
    <w:rsid w:val="00387146"/>
    <w:rsid w:val="003878F8"/>
    <w:rsid w:val="003879AC"/>
    <w:rsid w:val="00387C30"/>
    <w:rsid w:val="00390317"/>
    <w:rsid w:val="00390A48"/>
    <w:rsid w:val="00393663"/>
    <w:rsid w:val="00393EEA"/>
    <w:rsid w:val="003941C1"/>
    <w:rsid w:val="00395F34"/>
    <w:rsid w:val="00396E24"/>
    <w:rsid w:val="003974C5"/>
    <w:rsid w:val="003A0213"/>
    <w:rsid w:val="003A1BDE"/>
    <w:rsid w:val="003A20AF"/>
    <w:rsid w:val="003A25C3"/>
    <w:rsid w:val="003A3AA3"/>
    <w:rsid w:val="003A434E"/>
    <w:rsid w:val="003A44AD"/>
    <w:rsid w:val="003A4A9C"/>
    <w:rsid w:val="003A5622"/>
    <w:rsid w:val="003A6A2D"/>
    <w:rsid w:val="003A7103"/>
    <w:rsid w:val="003A74FE"/>
    <w:rsid w:val="003A7639"/>
    <w:rsid w:val="003B05DC"/>
    <w:rsid w:val="003B0648"/>
    <w:rsid w:val="003B072A"/>
    <w:rsid w:val="003B1D1E"/>
    <w:rsid w:val="003B282A"/>
    <w:rsid w:val="003B4112"/>
    <w:rsid w:val="003B43F6"/>
    <w:rsid w:val="003B47A4"/>
    <w:rsid w:val="003B6551"/>
    <w:rsid w:val="003B6624"/>
    <w:rsid w:val="003B67F9"/>
    <w:rsid w:val="003B78C4"/>
    <w:rsid w:val="003C05E3"/>
    <w:rsid w:val="003C08FD"/>
    <w:rsid w:val="003C0921"/>
    <w:rsid w:val="003C1211"/>
    <w:rsid w:val="003C28B8"/>
    <w:rsid w:val="003C2E7B"/>
    <w:rsid w:val="003C3289"/>
    <w:rsid w:val="003C403F"/>
    <w:rsid w:val="003C4B6B"/>
    <w:rsid w:val="003C6C26"/>
    <w:rsid w:val="003C6F76"/>
    <w:rsid w:val="003C7F95"/>
    <w:rsid w:val="003D0B71"/>
    <w:rsid w:val="003D18E7"/>
    <w:rsid w:val="003D1B56"/>
    <w:rsid w:val="003D1DFB"/>
    <w:rsid w:val="003D231E"/>
    <w:rsid w:val="003D3264"/>
    <w:rsid w:val="003D33F4"/>
    <w:rsid w:val="003D3776"/>
    <w:rsid w:val="003D4972"/>
    <w:rsid w:val="003D4CAA"/>
    <w:rsid w:val="003D5480"/>
    <w:rsid w:val="003D5C2B"/>
    <w:rsid w:val="003E0460"/>
    <w:rsid w:val="003E16E4"/>
    <w:rsid w:val="003E1BAF"/>
    <w:rsid w:val="003E311B"/>
    <w:rsid w:val="003E3952"/>
    <w:rsid w:val="003E3B77"/>
    <w:rsid w:val="003E3F7D"/>
    <w:rsid w:val="003E59AF"/>
    <w:rsid w:val="003E6997"/>
    <w:rsid w:val="003F00A4"/>
    <w:rsid w:val="003F0E01"/>
    <w:rsid w:val="003F1586"/>
    <w:rsid w:val="003F2AA8"/>
    <w:rsid w:val="003F2ABB"/>
    <w:rsid w:val="003F3866"/>
    <w:rsid w:val="003F3B8E"/>
    <w:rsid w:val="003F3DF8"/>
    <w:rsid w:val="003F4F82"/>
    <w:rsid w:val="003F5709"/>
    <w:rsid w:val="003F578C"/>
    <w:rsid w:val="003F5938"/>
    <w:rsid w:val="003F6CB1"/>
    <w:rsid w:val="003F7278"/>
    <w:rsid w:val="00400A5A"/>
    <w:rsid w:val="004011DB"/>
    <w:rsid w:val="00401C18"/>
    <w:rsid w:val="00401DC8"/>
    <w:rsid w:val="004038D0"/>
    <w:rsid w:val="004039A0"/>
    <w:rsid w:val="00405A06"/>
    <w:rsid w:val="00406310"/>
    <w:rsid w:val="00406F21"/>
    <w:rsid w:val="00407232"/>
    <w:rsid w:val="00407747"/>
    <w:rsid w:val="004100A7"/>
    <w:rsid w:val="00411F5B"/>
    <w:rsid w:val="00412A93"/>
    <w:rsid w:val="00414E88"/>
    <w:rsid w:val="0041542C"/>
    <w:rsid w:val="004162A1"/>
    <w:rsid w:val="00416930"/>
    <w:rsid w:val="0041728E"/>
    <w:rsid w:val="00417D78"/>
    <w:rsid w:val="004200BB"/>
    <w:rsid w:val="00420647"/>
    <w:rsid w:val="0042112D"/>
    <w:rsid w:val="0042167B"/>
    <w:rsid w:val="004245AA"/>
    <w:rsid w:val="004247B1"/>
    <w:rsid w:val="00425229"/>
    <w:rsid w:val="00425ECD"/>
    <w:rsid w:val="004260AB"/>
    <w:rsid w:val="004264F6"/>
    <w:rsid w:val="004268D9"/>
    <w:rsid w:val="00427368"/>
    <w:rsid w:val="004276E9"/>
    <w:rsid w:val="00430E43"/>
    <w:rsid w:val="0043168B"/>
    <w:rsid w:val="0043227E"/>
    <w:rsid w:val="00432C04"/>
    <w:rsid w:val="00432CBA"/>
    <w:rsid w:val="00433CF0"/>
    <w:rsid w:val="00435427"/>
    <w:rsid w:val="00435AAD"/>
    <w:rsid w:val="00436009"/>
    <w:rsid w:val="0043675E"/>
    <w:rsid w:val="00437206"/>
    <w:rsid w:val="004428E6"/>
    <w:rsid w:val="00445363"/>
    <w:rsid w:val="00446EF7"/>
    <w:rsid w:val="00450091"/>
    <w:rsid w:val="00450133"/>
    <w:rsid w:val="004507D7"/>
    <w:rsid w:val="00450848"/>
    <w:rsid w:val="00451011"/>
    <w:rsid w:val="00451260"/>
    <w:rsid w:val="00451652"/>
    <w:rsid w:val="00451E51"/>
    <w:rsid w:val="004521DF"/>
    <w:rsid w:val="0045281B"/>
    <w:rsid w:val="004529B9"/>
    <w:rsid w:val="00452B0C"/>
    <w:rsid w:val="00452C8D"/>
    <w:rsid w:val="00453372"/>
    <w:rsid w:val="0045406E"/>
    <w:rsid w:val="0045480C"/>
    <w:rsid w:val="00454FCE"/>
    <w:rsid w:val="0045573F"/>
    <w:rsid w:val="00456B1B"/>
    <w:rsid w:val="00456C97"/>
    <w:rsid w:val="00456E9E"/>
    <w:rsid w:val="004602E0"/>
    <w:rsid w:val="00462852"/>
    <w:rsid w:val="004630C6"/>
    <w:rsid w:val="0046341E"/>
    <w:rsid w:val="004637EA"/>
    <w:rsid w:val="0046456F"/>
    <w:rsid w:val="00464762"/>
    <w:rsid w:val="0046496B"/>
    <w:rsid w:val="004649BF"/>
    <w:rsid w:val="004655F6"/>
    <w:rsid w:val="004666E2"/>
    <w:rsid w:val="00466FCF"/>
    <w:rsid w:val="00467369"/>
    <w:rsid w:val="00467A4F"/>
    <w:rsid w:val="004723BC"/>
    <w:rsid w:val="00472FEA"/>
    <w:rsid w:val="00473CD3"/>
    <w:rsid w:val="00474985"/>
    <w:rsid w:val="004756EC"/>
    <w:rsid w:val="00476971"/>
    <w:rsid w:val="00476A2A"/>
    <w:rsid w:val="00480143"/>
    <w:rsid w:val="00480247"/>
    <w:rsid w:val="004815CD"/>
    <w:rsid w:val="00481762"/>
    <w:rsid w:val="00481D60"/>
    <w:rsid w:val="004822B7"/>
    <w:rsid w:val="004836D8"/>
    <w:rsid w:val="00483793"/>
    <w:rsid w:val="0048434F"/>
    <w:rsid w:val="004845A1"/>
    <w:rsid w:val="00484A14"/>
    <w:rsid w:val="0048652D"/>
    <w:rsid w:val="00487BC2"/>
    <w:rsid w:val="00490C86"/>
    <w:rsid w:val="00490DD7"/>
    <w:rsid w:val="004919D3"/>
    <w:rsid w:val="00491C3C"/>
    <w:rsid w:val="00491F7C"/>
    <w:rsid w:val="00492B9D"/>
    <w:rsid w:val="00492BB6"/>
    <w:rsid w:val="00493E61"/>
    <w:rsid w:val="0049480D"/>
    <w:rsid w:val="004949E1"/>
    <w:rsid w:val="00495017"/>
    <w:rsid w:val="00495E32"/>
    <w:rsid w:val="00497965"/>
    <w:rsid w:val="004A2143"/>
    <w:rsid w:val="004A3202"/>
    <w:rsid w:val="004A3AF0"/>
    <w:rsid w:val="004A4214"/>
    <w:rsid w:val="004A5191"/>
    <w:rsid w:val="004A5A13"/>
    <w:rsid w:val="004A5D40"/>
    <w:rsid w:val="004A6644"/>
    <w:rsid w:val="004A6C1B"/>
    <w:rsid w:val="004A79D8"/>
    <w:rsid w:val="004B0EAB"/>
    <w:rsid w:val="004B1F16"/>
    <w:rsid w:val="004B2301"/>
    <w:rsid w:val="004B2DCD"/>
    <w:rsid w:val="004B389D"/>
    <w:rsid w:val="004B5374"/>
    <w:rsid w:val="004B5576"/>
    <w:rsid w:val="004B6113"/>
    <w:rsid w:val="004B6B79"/>
    <w:rsid w:val="004B6F0C"/>
    <w:rsid w:val="004B71C8"/>
    <w:rsid w:val="004C1CF7"/>
    <w:rsid w:val="004C2E79"/>
    <w:rsid w:val="004C2F1E"/>
    <w:rsid w:val="004C53E4"/>
    <w:rsid w:val="004C6B00"/>
    <w:rsid w:val="004C7C42"/>
    <w:rsid w:val="004D0E00"/>
    <w:rsid w:val="004D297C"/>
    <w:rsid w:val="004D2A2E"/>
    <w:rsid w:val="004D31A4"/>
    <w:rsid w:val="004D378A"/>
    <w:rsid w:val="004D3C7F"/>
    <w:rsid w:val="004D44E3"/>
    <w:rsid w:val="004D484D"/>
    <w:rsid w:val="004D4C4D"/>
    <w:rsid w:val="004D51E1"/>
    <w:rsid w:val="004D52EB"/>
    <w:rsid w:val="004D5EC4"/>
    <w:rsid w:val="004D61DB"/>
    <w:rsid w:val="004D63EB"/>
    <w:rsid w:val="004D7458"/>
    <w:rsid w:val="004D7CD4"/>
    <w:rsid w:val="004D7E58"/>
    <w:rsid w:val="004E028B"/>
    <w:rsid w:val="004E098F"/>
    <w:rsid w:val="004E18DD"/>
    <w:rsid w:val="004E3187"/>
    <w:rsid w:val="004E4082"/>
    <w:rsid w:val="004E59C1"/>
    <w:rsid w:val="004E689E"/>
    <w:rsid w:val="004E7CDC"/>
    <w:rsid w:val="004F0A98"/>
    <w:rsid w:val="004F0D66"/>
    <w:rsid w:val="004F224E"/>
    <w:rsid w:val="004F24D6"/>
    <w:rsid w:val="004F3305"/>
    <w:rsid w:val="004F38CD"/>
    <w:rsid w:val="004F3E6A"/>
    <w:rsid w:val="004F5886"/>
    <w:rsid w:val="004F5A88"/>
    <w:rsid w:val="004F6B76"/>
    <w:rsid w:val="004F74DC"/>
    <w:rsid w:val="00502243"/>
    <w:rsid w:val="005026E3"/>
    <w:rsid w:val="005028D1"/>
    <w:rsid w:val="00502C52"/>
    <w:rsid w:val="00502CF3"/>
    <w:rsid w:val="005037D5"/>
    <w:rsid w:val="00503856"/>
    <w:rsid w:val="00503E18"/>
    <w:rsid w:val="0050402A"/>
    <w:rsid w:val="0050487A"/>
    <w:rsid w:val="005068EE"/>
    <w:rsid w:val="00507563"/>
    <w:rsid w:val="00510454"/>
    <w:rsid w:val="0051049A"/>
    <w:rsid w:val="00512B9D"/>
    <w:rsid w:val="00512BE2"/>
    <w:rsid w:val="00514318"/>
    <w:rsid w:val="0051436B"/>
    <w:rsid w:val="00515078"/>
    <w:rsid w:val="00515128"/>
    <w:rsid w:val="00517252"/>
    <w:rsid w:val="00517B27"/>
    <w:rsid w:val="00517E20"/>
    <w:rsid w:val="00517EE7"/>
    <w:rsid w:val="00520687"/>
    <w:rsid w:val="00520748"/>
    <w:rsid w:val="00521B25"/>
    <w:rsid w:val="00522B21"/>
    <w:rsid w:val="00524D45"/>
    <w:rsid w:val="0052511E"/>
    <w:rsid w:val="005253E8"/>
    <w:rsid w:val="00525C70"/>
    <w:rsid w:val="00525D15"/>
    <w:rsid w:val="00525DA0"/>
    <w:rsid w:val="00527323"/>
    <w:rsid w:val="005273A9"/>
    <w:rsid w:val="00527969"/>
    <w:rsid w:val="00527DA7"/>
    <w:rsid w:val="00530AC0"/>
    <w:rsid w:val="00530DD6"/>
    <w:rsid w:val="00531146"/>
    <w:rsid w:val="0053175D"/>
    <w:rsid w:val="00531C41"/>
    <w:rsid w:val="00532727"/>
    <w:rsid w:val="0053349B"/>
    <w:rsid w:val="00536002"/>
    <w:rsid w:val="00536D5A"/>
    <w:rsid w:val="00537C00"/>
    <w:rsid w:val="00541B2F"/>
    <w:rsid w:val="005426B8"/>
    <w:rsid w:val="00542955"/>
    <w:rsid w:val="00543855"/>
    <w:rsid w:val="00544575"/>
    <w:rsid w:val="005446D0"/>
    <w:rsid w:val="0054474B"/>
    <w:rsid w:val="005453D3"/>
    <w:rsid w:val="0054555F"/>
    <w:rsid w:val="005460CE"/>
    <w:rsid w:val="00546973"/>
    <w:rsid w:val="005471B8"/>
    <w:rsid w:val="00547D9C"/>
    <w:rsid w:val="00547EBF"/>
    <w:rsid w:val="00550899"/>
    <w:rsid w:val="005509B0"/>
    <w:rsid w:val="00550B52"/>
    <w:rsid w:val="0055171F"/>
    <w:rsid w:val="00553085"/>
    <w:rsid w:val="00553B79"/>
    <w:rsid w:val="00553E6E"/>
    <w:rsid w:val="0055408F"/>
    <w:rsid w:val="00554939"/>
    <w:rsid w:val="00554C8A"/>
    <w:rsid w:val="00554D57"/>
    <w:rsid w:val="0055507F"/>
    <w:rsid w:val="00555EB0"/>
    <w:rsid w:val="00555FF4"/>
    <w:rsid w:val="00556C4E"/>
    <w:rsid w:val="00557531"/>
    <w:rsid w:val="00560796"/>
    <w:rsid w:val="00560A0C"/>
    <w:rsid w:val="00561CE3"/>
    <w:rsid w:val="00564C83"/>
    <w:rsid w:val="00566167"/>
    <w:rsid w:val="005661C4"/>
    <w:rsid w:val="00566CC6"/>
    <w:rsid w:val="005677F4"/>
    <w:rsid w:val="005678AC"/>
    <w:rsid w:val="005704C4"/>
    <w:rsid w:val="005705B7"/>
    <w:rsid w:val="00571C43"/>
    <w:rsid w:val="00571D01"/>
    <w:rsid w:val="00571D91"/>
    <w:rsid w:val="00571F3C"/>
    <w:rsid w:val="005721B3"/>
    <w:rsid w:val="00572599"/>
    <w:rsid w:val="00574FF9"/>
    <w:rsid w:val="00575107"/>
    <w:rsid w:val="00575842"/>
    <w:rsid w:val="00576352"/>
    <w:rsid w:val="005767A4"/>
    <w:rsid w:val="00576C75"/>
    <w:rsid w:val="0058237B"/>
    <w:rsid w:val="00582F2E"/>
    <w:rsid w:val="005831CB"/>
    <w:rsid w:val="0058333B"/>
    <w:rsid w:val="00583ABF"/>
    <w:rsid w:val="00583E5F"/>
    <w:rsid w:val="00584445"/>
    <w:rsid w:val="00584BFB"/>
    <w:rsid w:val="00584EED"/>
    <w:rsid w:val="00585464"/>
    <w:rsid w:val="0058585A"/>
    <w:rsid w:val="00586D49"/>
    <w:rsid w:val="00587B3B"/>
    <w:rsid w:val="005914E0"/>
    <w:rsid w:val="005916FD"/>
    <w:rsid w:val="00591D6A"/>
    <w:rsid w:val="005932D2"/>
    <w:rsid w:val="0059381A"/>
    <w:rsid w:val="0059427C"/>
    <w:rsid w:val="005948EF"/>
    <w:rsid w:val="00594F2D"/>
    <w:rsid w:val="00595001"/>
    <w:rsid w:val="00595464"/>
    <w:rsid w:val="00595900"/>
    <w:rsid w:val="00595CA5"/>
    <w:rsid w:val="005A0343"/>
    <w:rsid w:val="005A056E"/>
    <w:rsid w:val="005A0A64"/>
    <w:rsid w:val="005A0DDD"/>
    <w:rsid w:val="005A1105"/>
    <w:rsid w:val="005A1712"/>
    <w:rsid w:val="005A1F4C"/>
    <w:rsid w:val="005A20CE"/>
    <w:rsid w:val="005A2C25"/>
    <w:rsid w:val="005A2DA7"/>
    <w:rsid w:val="005A5805"/>
    <w:rsid w:val="005A65EF"/>
    <w:rsid w:val="005A6DD8"/>
    <w:rsid w:val="005A7BA8"/>
    <w:rsid w:val="005A7E25"/>
    <w:rsid w:val="005B0DD8"/>
    <w:rsid w:val="005B1A56"/>
    <w:rsid w:val="005B2158"/>
    <w:rsid w:val="005B275E"/>
    <w:rsid w:val="005B3CB3"/>
    <w:rsid w:val="005B44F7"/>
    <w:rsid w:val="005B71D4"/>
    <w:rsid w:val="005B76D7"/>
    <w:rsid w:val="005B7D9C"/>
    <w:rsid w:val="005C326D"/>
    <w:rsid w:val="005C6B04"/>
    <w:rsid w:val="005D1501"/>
    <w:rsid w:val="005D25DB"/>
    <w:rsid w:val="005D2A02"/>
    <w:rsid w:val="005D2B84"/>
    <w:rsid w:val="005D2CD0"/>
    <w:rsid w:val="005D367A"/>
    <w:rsid w:val="005D36FF"/>
    <w:rsid w:val="005D3725"/>
    <w:rsid w:val="005D3B12"/>
    <w:rsid w:val="005D3C06"/>
    <w:rsid w:val="005D7B48"/>
    <w:rsid w:val="005D7D77"/>
    <w:rsid w:val="005E0870"/>
    <w:rsid w:val="005E1706"/>
    <w:rsid w:val="005E1A30"/>
    <w:rsid w:val="005E2BED"/>
    <w:rsid w:val="005E2C48"/>
    <w:rsid w:val="005E335E"/>
    <w:rsid w:val="005E3834"/>
    <w:rsid w:val="005E3B42"/>
    <w:rsid w:val="005E40D6"/>
    <w:rsid w:val="005E6228"/>
    <w:rsid w:val="005F0A8F"/>
    <w:rsid w:val="005F0D9B"/>
    <w:rsid w:val="005F12A0"/>
    <w:rsid w:val="005F1FF7"/>
    <w:rsid w:val="005F2972"/>
    <w:rsid w:val="005F2AFC"/>
    <w:rsid w:val="005F3311"/>
    <w:rsid w:val="005F39DB"/>
    <w:rsid w:val="005F3E07"/>
    <w:rsid w:val="005F3E52"/>
    <w:rsid w:val="005F3F7C"/>
    <w:rsid w:val="005F3FB8"/>
    <w:rsid w:val="005F445D"/>
    <w:rsid w:val="005F699C"/>
    <w:rsid w:val="005F6A51"/>
    <w:rsid w:val="005F6EF4"/>
    <w:rsid w:val="005F7035"/>
    <w:rsid w:val="005F7789"/>
    <w:rsid w:val="005F78D4"/>
    <w:rsid w:val="006007D0"/>
    <w:rsid w:val="0060161F"/>
    <w:rsid w:val="00601F9A"/>
    <w:rsid w:val="00602A38"/>
    <w:rsid w:val="006032A1"/>
    <w:rsid w:val="00603589"/>
    <w:rsid w:val="0060359F"/>
    <w:rsid w:val="006050C2"/>
    <w:rsid w:val="006057CA"/>
    <w:rsid w:val="0060604B"/>
    <w:rsid w:val="00607BE4"/>
    <w:rsid w:val="006104C1"/>
    <w:rsid w:val="00611569"/>
    <w:rsid w:val="00611754"/>
    <w:rsid w:val="00611EB7"/>
    <w:rsid w:val="00614A7A"/>
    <w:rsid w:val="00615195"/>
    <w:rsid w:val="00615D07"/>
    <w:rsid w:val="0061627F"/>
    <w:rsid w:val="00616290"/>
    <w:rsid w:val="00616919"/>
    <w:rsid w:val="00617BE2"/>
    <w:rsid w:val="00621951"/>
    <w:rsid w:val="006222D9"/>
    <w:rsid w:val="0062337A"/>
    <w:rsid w:val="0062358B"/>
    <w:rsid w:val="00623B13"/>
    <w:rsid w:val="00623E2F"/>
    <w:rsid w:val="0062406B"/>
    <w:rsid w:val="00624845"/>
    <w:rsid w:val="00624D50"/>
    <w:rsid w:val="00625672"/>
    <w:rsid w:val="006269E2"/>
    <w:rsid w:val="00626ADC"/>
    <w:rsid w:val="00626E8B"/>
    <w:rsid w:val="00627533"/>
    <w:rsid w:val="00627E0B"/>
    <w:rsid w:val="00630A67"/>
    <w:rsid w:val="00630BDE"/>
    <w:rsid w:val="00631A22"/>
    <w:rsid w:val="00632905"/>
    <w:rsid w:val="0063332B"/>
    <w:rsid w:val="00633631"/>
    <w:rsid w:val="006337D9"/>
    <w:rsid w:val="006342E1"/>
    <w:rsid w:val="006365DF"/>
    <w:rsid w:val="006366CB"/>
    <w:rsid w:val="00636BDF"/>
    <w:rsid w:val="00636ED1"/>
    <w:rsid w:val="006375F6"/>
    <w:rsid w:val="0064043A"/>
    <w:rsid w:val="006406D8"/>
    <w:rsid w:val="00640DC8"/>
    <w:rsid w:val="00641307"/>
    <w:rsid w:val="00642D15"/>
    <w:rsid w:val="0064308B"/>
    <w:rsid w:val="006433D1"/>
    <w:rsid w:val="00643E32"/>
    <w:rsid w:val="00644920"/>
    <w:rsid w:val="00645838"/>
    <w:rsid w:val="00646FA6"/>
    <w:rsid w:val="00650A25"/>
    <w:rsid w:val="00651C53"/>
    <w:rsid w:val="00652233"/>
    <w:rsid w:val="0065243F"/>
    <w:rsid w:val="00652A83"/>
    <w:rsid w:val="00653A84"/>
    <w:rsid w:val="006548FA"/>
    <w:rsid w:val="00654C05"/>
    <w:rsid w:val="00655827"/>
    <w:rsid w:val="00656E64"/>
    <w:rsid w:val="006574B6"/>
    <w:rsid w:val="00657CA8"/>
    <w:rsid w:val="00657FDE"/>
    <w:rsid w:val="006614F6"/>
    <w:rsid w:val="0066167B"/>
    <w:rsid w:val="006621E9"/>
    <w:rsid w:val="00662B0A"/>
    <w:rsid w:val="00662D48"/>
    <w:rsid w:val="00663782"/>
    <w:rsid w:val="00663B30"/>
    <w:rsid w:val="00664A0F"/>
    <w:rsid w:val="0066524F"/>
    <w:rsid w:val="00665BE7"/>
    <w:rsid w:val="006661CB"/>
    <w:rsid w:val="00666282"/>
    <w:rsid w:val="00666BC3"/>
    <w:rsid w:val="00667828"/>
    <w:rsid w:val="00670E98"/>
    <w:rsid w:val="00671DFE"/>
    <w:rsid w:val="00671EE8"/>
    <w:rsid w:val="00672E2D"/>
    <w:rsid w:val="00672EF5"/>
    <w:rsid w:val="00674265"/>
    <w:rsid w:val="00674FB5"/>
    <w:rsid w:val="006750A0"/>
    <w:rsid w:val="00675ABC"/>
    <w:rsid w:val="0067697C"/>
    <w:rsid w:val="00676A05"/>
    <w:rsid w:val="00676B34"/>
    <w:rsid w:val="00676CEA"/>
    <w:rsid w:val="00676E18"/>
    <w:rsid w:val="00676FDF"/>
    <w:rsid w:val="006771AB"/>
    <w:rsid w:val="006774A1"/>
    <w:rsid w:val="006778A5"/>
    <w:rsid w:val="00680084"/>
    <w:rsid w:val="006825A3"/>
    <w:rsid w:val="00682B9C"/>
    <w:rsid w:val="0068356C"/>
    <w:rsid w:val="00684492"/>
    <w:rsid w:val="00685F8A"/>
    <w:rsid w:val="0068686F"/>
    <w:rsid w:val="00687486"/>
    <w:rsid w:val="00687D34"/>
    <w:rsid w:val="00687E29"/>
    <w:rsid w:val="00690D4D"/>
    <w:rsid w:val="00690F40"/>
    <w:rsid w:val="00692645"/>
    <w:rsid w:val="00692981"/>
    <w:rsid w:val="00692B99"/>
    <w:rsid w:val="006932BA"/>
    <w:rsid w:val="0069350D"/>
    <w:rsid w:val="00693612"/>
    <w:rsid w:val="0069371F"/>
    <w:rsid w:val="00693B4D"/>
    <w:rsid w:val="006952D4"/>
    <w:rsid w:val="00695316"/>
    <w:rsid w:val="006954FE"/>
    <w:rsid w:val="00695813"/>
    <w:rsid w:val="0069599E"/>
    <w:rsid w:val="00695CFF"/>
    <w:rsid w:val="00696502"/>
    <w:rsid w:val="006965E2"/>
    <w:rsid w:val="00696C03"/>
    <w:rsid w:val="0069718D"/>
    <w:rsid w:val="006979A5"/>
    <w:rsid w:val="006A02C0"/>
    <w:rsid w:val="006A03CC"/>
    <w:rsid w:val="006A046E"/>
    <w:rsid w:val="006A1C5F"/>
    <w:rsid w:val="006A1E29"/>
    <w:rsid w:val="006A2728"/>
    <w:rsid w:val="006A2955"/>
    <w:rsid w:val="006A2D2B"/>
    <w:rsid w:val="006A4218"/>
    <w:rsid w:val="006A53AC"/>
    <w:rsid w:val="006A61B7"/>
    <w:rsid w:val="006A77E5"/>
    <w:rsid w:val="006A797F"/>
    <w:rsid w:val="006B1A65"/>
    <w:rsid w:val="006B1B4D"/>
    <w:rsid w:val="006B1C73"/>
    <w:rsid w:val="006B260B"/>
    <w:rsid w:val="006B3136"/>
    <w:rsid w:val="006B329B"/>
    <w:rsid w:val="006B3FBB"/>
    <w:rsid w:val="006B41F8"/>
    <w:rsid w:val="006B5633"/>
    <w:rsid w:val="006B5C9B"/>
    <w:rsid w:val="006B6A4C"/>
    <w:rsid w:val="006B6C81"/>
    <w:rsid w:val="006B73F4"/>
    <w:rsid w:val="006C0791"/>
    <w:rsid w:val="006C0CBC"/>
    <w:rsid w:val="006C1F55"/>
    <w:rsid w:val="006C3513"/>
    <w:rsid w:val="006C5A6A"/>
    <w:rsid w:val="006C633D"/>
    <w:rsid w:val="006C7172"/>
    <w:rsid w:val="006C791B"/>
    <w:rsid w:val="006D0A60"/>
    <w:rsid w:val="006D0E99"/>
    <w:rsid w:val="006D1808"/>
    <w:rsid w:val="006D1823"/>
    <w:rsid w:val="006D185B"/>
    <w:rsid w:val="006D1A2A"/>
    <w:rsid w:val="006D1B98"/>
    <w:rsid w:val="006D23BA"/>
    <w:rsid w:val="006D2A78"/>
    <w:rsid w:val="006D2EE4"/>
    <w:rsid w:val="006D3290"/>
    <w:rsid w:val="006D40E5"/>
    <w:rsid w:val="006D4730"/>
    <w:rsid w:val="006D5B15"/>
    <w:rsid w:val="006D5FB6"/>
    <w:rsid w:val="006D6940"/>
    <w:rsid w:val="006D7E13"/>
    <w:rsid w:val="006D7F66"/>
    <w:rsid w:val="006E0E50"/>
    <w:rsid w:val="006E0F54"/>
    <w:rsid w:val="006E316B"/>
    <w:rsid w:val="006E3871"/>
    <w:rsid w:val="006E3B85"/>
    <w:rsid w:val="006E4CAA"/>
    <w:rsid w:val="006E5709"/>
    <w:rsid w:val="006E5A3E"/>
    <w:rsid w:val="006E5A7C"/>
    <w:rsid w:val="006E5B0A"/>
    <w:rsid w:val="006E5F22"/>
    <w:rsid w:val="006F0CAB"/>
    <w:rsid w:val="006F1270"/>
    <w:rsid w:val="006F1BBC"/>
    <w:rsid w:val="006F2FFF"/>
    <w:rsid w:val="006F3BF3"/>
    <w:rsid w:val="006F3FD7"/>
    <w:rsid w:val="006F4767"/>
    <w:rsid w:val="006F4BBA"/>
    <w:rsid w:val="006F536D"/>
    <w:rsid w:val="006F5D82"/>
    <w:rsid w:val="006F683F"/>
    <w:rsid w:val="006F6E00"/>
    <w:rsid w:val="006F76FA"/>
    <w:rsid w:val="00700084"/>
    <w:rsid w:val="00700EBC"/>
    <w:rsid w:val="007017D2"/>
    <w:rsid w:val="007018BF"/>
    <w:rsid w:val="00702692"/>
    <w:rsid w:val="0070351E"/>
    <w:rsid w:val="00704A55"/>
    <w:rsid w:val="00705F8E"/>
    <w:rsid w:val="00707FF5"/>
    <w:rsid w:val="007111E0"/>
    <w:rsid w:val="0071162A"/>
    <w:rsid w:val="00712014"/>
    <w:rsid w:val="0071280E"/>
    <w:rsid w:val="00712CAD"/>
    <w:rsid w:val="00713178"/>
    <w:rsid w:val="00713934"/>
    <w:rsid w:val="00714647"/>
    <w:rsid w:val="0071479D"/>
    <w:rsid w:val="007151FC"/>
    <w:rsid w:val="00715DFE"/>
    <w:rsid w:val="00716911"/>
    <w:rsid w:val="00717957"/>
    <w:rsid w:val="00722F8F"/>
    <w:rsid w:val="00725078"/>
    <w:rsid w:val="007251CD"/>
    <w:rsid w:val="00725B86"/>
    <w:rsid w:val="00726D43"/>
    <w:rsid w:val="00730773"/>
    <w:rsid w:val="007323A0"/>
    <w:rsid w:val="00735923"/>
    <w:rsid w:val="00735B1B"/>
    <w:rsid w:val="007360A9"/>
    <w:rsid w:val="0073652C"/>
    <w:rsid w:val="00736A0B"/>
    <w:rsid w:val="00736C7A"/>
    <w:rsid w:val="007375B4"/>
    <w:rsid w:val="0073785B"/>
    <w:rsid w:val="007379CA"/>
    <w:rsid w:val="00737A0D"/>
    <w:rsid w:val="007403AB"/>
    <w:rsid w:val="007410CE"/>
    <w:rsid w:val="00742BFC"/>
    <w:rsid w:val="00744572"/>
    <w:rsid w:val="00744E08"/>
    <w:rsid w:val="007451F3"/>
    <w:rsid w:val="007452A2"/>
    <w:rsid w:val="007468B1"/>
    <w:rsid w:val="00747CE1"/>
    <w:rsid w:val="007507AC"/>
    <w:rsid w:val="007516EE"/>
    <w:rsid w:val="00751A53"/>
    <w:rsid w:val="007534F7"/>
    <w:rsid w:val="007542B9"/>
    <w:rsid w:val="00754F56"/>
    <w:rsid w:val="00755410"/>
    <w:rsid w:val="00755D61"/>
    <w:rsid w:val="00756004"/>
    <w:rsid w:val="00756966"/>
    <w:rsid w:val="00756ED3"/>
    <w:rsid w:val="00757047"/>
    <w:rsid w:val="00757C5E"/>
    <w:rsid w:val="00757E04"/>
    <w:rsid w:val="00762AF4"/>
    <w:rsid w:val="0076327F"/>
    <w:rsid w:val="00765644"/>
    <w:rsid w:val="00765E6E"/>
    <w:rsid w:val="00766AA9"/>
    <w:rsid w:val="007675F5"/>
    <w:rsid w:val="007701D9"/>
    <w:rsid w:val="00770F53"/>
    <w:rsid w:val="00771081"/>
    <w:rsid w:val="0077164A"/>
    <w:rsid w:val="007723F2"/>
    <w:rsid w:val="00772B79"/>
    <w:rsid w:val="0077301C"/>
    <w:rsid w:val="0077322C"/>
    <w:rsid w:val="007738CC"/>
    <w:rsid w:val="0077565E"/>
    <w:rsid w:val="00776396"/>
    <w:rsid w:val="00777924"/>
    <w:rsid w:val="00780229"/>
    <w:rsid w:val="007809C7"/>
    <w:rsid w:val="00780BB6"/>
    <w:rsid w:val="00782A80"/>
    <w:rsid w:val="007833BD"/>
    <w:rsid w:val="00783BBC"/>
    <w:rsid w:val="007844E1"/>
    <w:rsid w:val="007849B8"/>
    <w:rsid w:val="007850E1"/>
    <w:rsid w:val="0078519A"/>
    <w:rsid w:val="007852AC"/>
    <w:rsid w:val="007858E9"/>
    <w:rsid w:val="00786FA8"/>
    <w:rsid w:val="007904DC"/>
    <w:rsid w:val="00792046"/>
    <w:rsid w:val="00792081"/>
    <w:rsid w:val="00792861"/>
    <w:rsid w:val="00793C63"/>
    <w:rsid w:val="007953B4"/>
    <w:rsid w:val="007955B2"/>
    <w:rsid w:val="00796CF2"/>
    <w:rsid w:val="00796F66"/>
    <w:rsid w:val="007A08FF"/>
    <w:rsid w:val="007A0FFC"/>
    <w:rsid w:val="007A1272"/>
    <w:rsid w:val="007A38EA"/>
    <w:rsid w:val="007A3D22"/>
    <w:rsid w:val="007A42DE"/>
    <w:rsid w:val="007A4827"/>
    <w:rsid w:val="007A5F7A"/>
    <w:rsid w:val="007A62A7"/>
    <w:rsid w:val="007A77E0"/>
    <w:rsid w:val="007A7A4D"/>
    <w:rsid w:val="007B0B94"/>
    <w:rsid w:val="007B10F7"/>
    <w:rsid w:val="007B1907"/>
    <w:rsid w:val="007B2550"/>
    <w:rsid w:val="007B290F"/>
    <w:rsid w:val="007B3426"/>
    <w:rsid w:val="007B3C7B"/>
    <w:rsid w:val="007B43E3"/>
    <w:rsid w:val="007B44C8"/>
    <w:rsid w:val="007B4CF4"/>
    <w:rsid w:val="007B4D96"/>
    <w:rsid w:val="007B4E5D"/>
    <w:rsid w:val="007B5136"/>
    <w:rsid w:val="007B5430"/>
    <w:rsid w:val="007B6F56"/>
    <w:rsid w:val="007B7097"/>
    <w:rsid w:val="007B7389"/>
    <w:rsid w:val="007C003E"/>
    <w:rsid w:val="007C0C69"/>
    <w:rsid w:val="007C1F85"/>
    <w:rsid w:val="007C2D37"/>
    <w:rsid w:val="007C329B"/>
    <w:rsid w:val="007C330E"/>
    <w:rsid w:val="007C3343"/>
    <w:rsid w:val="007C506D"/>
    <w:rsid w:val="007C5A9A"/>
    <w:rsid w:val="007C6491"/>
    <w:rsid w:val="007C6596"/>
    <w:rsid w:val="007C7643"/>
    <w:rsid w:val="007D2A46"/>
    <w:rsid w:val="007D3EAD"/>
    <w:rsid w:val="007D4C81"/>
    <w:rsid w:val="007D51A1"/>
    <w:rsid w:val="007D5399"/>
    <w:rsid w:val="007D584B"/>
    <w:rsid w:val="007D5FA1"/>
    <w:rsid w:val="007D7AC6"/>
    <w:rsid w:val="007E05CE"/>
    <w:rsid w:val="007E081D"/>
    <w:rsid w:val="007E0FAB"/>
    <w:rsid w:val="007E2342"/>
    <w:rsid w:val="007E2921"/>
    <w:rsid w:val="007E2B4C"/>
    <w:rsid w:val="007E33AF"/>
    <w:rsid w:val="007E3778"/>
    <w:rsid w:val="007E55BD"/>
    <w:rsid w:val="007E57A1"/>
    <w:rsid w:val="007E599A"/>
    <w:rsid w:val="007E656D"/>
    <w:rsid w:val="007E660D"/>
    <w:rsid w:val="007E7B30"/>
    <w:rsid w:val="007E7BD8"/>
    <w:rsid w:val="007F037E"/>
    <w:rsid w:val="007F06AC"/>
    <w:rsid w:val="007F0772"/>
    <w:rsid w:val="007F07A2"/>
    <w:rsid w:val="007F0892"/>
    <w:rsid w:val="007F0AB8"/>
    <w:rsid w:val="007F193E"/>
    <w:rsid w:val="007F24CE"/>
    <w:rsid w:val="007F26D3"/>
    <w:rsid w:val="007F27EB"/>
    <w:rsid w:val="007F30B5"/>
    <w:rsid w:val="007F35BF"/>
    <w:rsid w:val="007F3FC4"/>
    <w:rsid w:val="007F3FD4"/>
    <w:rsid w:val="007F3FF5"/>
    <w:rsid w:val="007F53E8"/>
    <w:rsid w:val="007F550C"/>
    <w:rsid w:val="007F5E5F"/>
    <w:rsid w:val="007F60FD"/>
    <w:rsid w:val="007F6A80"/>
    <w:rsid w:val="007F7607"/>
    <w:rsid w:val="007F79C2"/>
    <w:rsid w:val="007F7FF6"/>
    <w:rsid w:val="00800ED7"/>
    <w:rsid w:val="00801D79"/>
    <w:rsid w:val="0080315F"/>
    <w:rsid w:val="0080348D"/>
    <w:rsid w:val="008038EC"/>
    <w:rsid w:val="0080411B"/>
    <w:rsid w:val="00804225"/>
    <w:rsid w:val="008043F0"/>
    <w:rsid w:val="00804E34"/>
    <w:rsid w:val="00804FF2"/>
    <w:rsid w:val="008062E1"/>
    <w:rsid w:val="00806647"/>
    <w:rsid w:val="008066E6"/>
    <w:rsid w:val="00806C63"/>
    <w:rsid w:val="008103AB"/>
    <w:rsid w:val="00810C6A"/>
    <w:rsid w:val="00811288"/>
    <w:rsid w:val="00811B41"/>
    <w:rsid w:val="00811C06"/>
    <w:rsid w:val="0081408B"/>
    <w:rsid w:val="008158C1"/>
    <w:rsid w:val="00816028"/>
    <w:rsid w:val="008162F9"/>
    <w:rsid w:val="00816664"/>
    <w:rsid w:val="00820163"/>
    <w:rsid w:val="008203EA"/>
    <w:rsid w:val="00820932"/>
    <w:rsid w:val="008210ED"/>
    <w:rsid w:val="00821A44"/>
    <w:rsid w:val="00821F02"/>
    <w:rsid w:val="0082364F"/>
    <w:rsid w:val="00823969"/>
    <w:rsid w:val="00823C07"/>
    <w:rsid w:val="00823C3D"/>
    <w:rsid w:val="00823C57"/>
    <w:rsid w:val="00824193"/>
    <w:rsid w:val="00824495"/>
    <w:rsid w:val="00824A2F"/>
    <w:rsid w:val="00824AF6"/>
    <w:rsid w:val="008253B8"/>
    <w:rsid w:val="00825AF7"/>
    <w:rsid w:val="00826628"/>
    <w:rsid w:val="0082731A"/>
    <w:rsid w:val="00830BE6"/>
    <w:rsid w:val="00830C5B"/>
    <w:rsid w:val="00830F37"/>
    <w:rsid w:val="00831003"/>
    <w:rsid w:val="008324CA"/>
    <w:rsid w:val="008327B6"/>
    <w:rsid w:val="00832FBD"/>
    <w:rsid w:val="00833DF0"/>
    <w:rsid w:val="00833FE8"/>
    <w:rsid w:val="008358B3"/>
    <w:rsid w:val="00835991"/>
    <w:rsid w:val="00837101"/>
    <w:rsid w:val="00840472"/>
    <w:rsid w:val="008414A4"/>
    <w:rsid w:val="0084151F"/>
    <w:rsid w:val="00841650"/>
    <w:rsid w:val="008420F4"/>
    <w:rsid w:val="00843D47"/>
    <w:rsid w:val="00845960"/>
    <w:rsid w:val="00845E2A"/>
    <w:rsid w:val="00846D3B"/>
    <w:rsid w:val="00847B21"/>
    <w:rsid w:val="008501F7"/>
    <w:rsid w:val="00850506"/>
    <w:rsid w:val="008506A0"/>
    <w:rsid w:val="00850C90"/>
    <w:rsid w:val="00850DFC"/>
    <w:rsid w:val="0085107F"/>
    <w:rsid w:val="008511AD"/>
    <w:rsid w:val="008512C3"/>
    <w:rsid w:val="00852B05"/>
    <w:rsid w:val="00852BE5"/>
    <w:rsid w:val="00852DC0"/>
    <w:rsid w:val="00853556"/>
    <w:rsid w:val="00853AE1"/>
    <w:rsid w:val="008540F5"/>
    <w:rsid w:val="008544B1"/>
    <w:rsid w:val="008548F0"/>
    <w:rsid w:val="00855EB3"/>
    <w:rsid w:val="008564B1"/>
    <w:rsid w:val="00857EF2"/>
    <w:rsid w:val="00860D32"/>
    <w:rsid w:val="00861E16"/>
    <w:rsid w:val="00862D96"/>
    <w:rsid w:val="00862DFA"/>
    <w:rsid w:val="008631C7"/>
    <w:rsid w:val="00864BE1"/>
    <w:rsid w:val="0086588B"/>
    <w:rsid w:val="008658ED"/>
    <w:rsid w:val="00870313"/>
    <w:rsid w:val="008713C4"/>
    <w:rsid w:val="008733B8"/>
    <w:rsid w:val="00873644"/>
    <w:rsid w:val="00873B78"/>
    <w:rsid w:val="00873DD3"/>
    <w:rsid w:val="00874231"/>
    <w:rsid w:val="008747A5"/>
    <w:rsid w:val="0087527D"/>
    <w:rsid w:val="00875552"/>
    <w:rsid w:val="00875899"/>
    <w:rsid w:val="008779D3"/>
    <w:rsid w:val="00881350"/>
    <w:rsid w:val="00881D61"/>
    <w:rsid w:val="0088223D"/>
    <w:rsid w:val="00883560"/>
    <w:rsid w:val="008835CC"/>
    <w:rsid w:val="0088399E"/>
    <w:rsid w:val="0088551C"/>
    <w:rsid w:val="008856B4"/>
    <w:rsid w:val="0088700F"/>
    <w:rsid w:val="008872A9"/>
    <w:rsid w:val="008873CC"/>
    <w:rsid w:val="008900C2"/>
    <w:rsid w:val="00890194"/>
    <w:rsid w:val="00892C4C"/>
    <w:rsid w:val="00893ABF"/>
    <w:rsid w:val="00893B99"/>
    <w:rsid w:val="008953A8"/>
    <w:rsid w:val="0089650E"/>
    <w:rsid w:val="00896C9A"/>
    <w:rsid w:val="008A110E"/>
    <w:rsid w:val="008A2A91"/>
    <w:rsid w:val="008A4132"/>
    <w:rsid w:val="008A4571"/>
    <w:rsid w:val="008A54C0"/>
    <w:rsid w:val="008A55FA"/>
    <w:rsid w:val="008A59CE"/>
    <w:rsid w:val="008A5F8C"/>
    <w:rsid w:val="008A636D"/>
    <w:rsid w:val="008A63C9"/>
    <w:rsid w:val="008A669A"/>
    <w:rsid w:val="008A6A68"/>
    <w:rsid w:val="008A6E76"/>
    <w:rsid w:val="008A7807"/>
    <w:rsid w:val="008A7A5B"/>
    <w:rsid w:val="008B1804"/>
    <w:rsid w:val="008B388C"/>
    <w:rsid w:val="008B47E3"/>
    <w:rsid w:val="008B4C7C"/>
    <w:rsid w:val="008B6B46"/>
    <w:rsid w:val="008B6D1C"/>
    <w:rsid w:val="008B7599"/>
    <w:rsid w:val="008C086B"/>
    <w:rsid w:val="008C1928"/>
    <w:rsid w:val="008C232A"/>
    <w:rsid w:val="008C4FD0"/>
    <w:rsid w:val="008C53D6"/>
    <w:rsid w:val="008C5F4D"/>
    <w:rsid w:val="008C6AA1"/>
    <w:rsid w:val="008C6EE9"/>
    <w:rsid w:val="008C74EF"/>
    <w:rsid w:val="008D06C5"/>
    <w:rsid w:val="008D0B4D"/>
    <w:rsid w:val="008D1A56"/>
    <w:rsid w:val="008D1F2B"/>
    <w:rsid w:val="008D22C3"/>
    <w:rsid w:val="008D25DF"/>
    <w:rsid w:val="008D25E9"/>
    <w:rsid w:val="008D25FE"/>
    <w:rsid w:val="008D2C53"/>
    <w:rsid w:val="008D3693"/>
    <w:rsid w:val="008D4024"/>
    <w:rsid w:val="008D45EC"/>
    <w:rsid w:val="008D4802"/>
    <w:rsid w:val="008D4B85"/>
    <w:rsid w:val="008D4E47"/>
    <w:rsid w:val="008D500C"/>
    <w:rsid w:val="008D5413"/>
    <w:rsid w:val="008D6E3F"/>
    <w:rsid w:val="008D719F"/>
    <w:rsid w:val="008E12C2"/>
    <w:rsid w:val="008E143A"/>
    <w:rsid w:val="008E1596"/>
    <w:rsid w:val="008E1813"/>
    <w:rsid w:val="008E2215"/>
    <w:rsid w:val="008E25BE"/>
    <w:rsid w:val="008E2D0B"/>
    <w:rsid w:val="008E34EA"/>
    <w:rsid w:val="008E39B5"/>
    <w:rsid w:val="008E422F"/>
    <w:rsid w:val="008E443C"/>
    <w:rsid w:val="008E4DAA"/>
    <w:rsid w:val="008E58FA"/>
    <w:rsid w:val="008E619B"/>
    <w:rsid w:val="008E62AF"/>
    <w:rsid w:val="008E6CEE"/>
    <w:rsid w:val="008E7268"/>
    <w:rsid w:val="008F17FE"/>
    <w:rsid w:val="008F1F72"/>
    <w:rsid w:val="008F2898"/>
    <w:rsid w:val="008F5097"/>
    <w:rsid w:val="008F516F"/>
    <w:rsid w:val="008F5700"/>
    <w:rsid w:val="008F62E7"/>
    <w:rsid w:val="008F6FDD"/>
    <w:rsid w:val="008F706C"/>
    <w:rsid w:val="0090100E"/>
    <w:rsid w:val="0090265C"/>
    <w:rsid w:val="00903859"/>
    <w:rsid w:val="009041A8"/>
    <w:rsid w:val="00904969"/>
    <w:rsid w:val="009053F7"/>
    <w:rsid w:val="00905803"/>
    <w:rsid w:val="0090653F"/>
    <w:rsid w:val="00906B1B"/>
    <w:rsid w:val="009074AC"/>
    <w:rsid w:val="00907A2D"/>
    <w:rsid w:val="00910594"/>
    <w:rsid w:val="009107CE"/>
    <w:rsid w:val="00910E0D"/>
    <w:rsid w:val="00911E58"/>
    <w:rsid w:val="00913F24"/>
    <w:rsid w:val="009151D9"/>
    <w:rsid w:val="00915328"/>
    <w:rsid w:val="0091558F"/>
    <w:rsid w:val="00915D19"/>
    <w:rsid w:val="00916C80"/>
    <w:rsid w:val="0091731A"/>
    <w:rsid w:val="00917604"/>
    <w:rsid w:val="0092053C"/>
    <w:rsid w:val="00921B3A"/>
    <w:rsid w:val="00921D64"/>
    <w:rsid w:val="00922917"/>
    <w:rsid w:val="00922959"/>
    <w:rsid w:val="00922DA5"/>
    <w:rsid w:val="00922F1B"/>
    <w:rsid w:val="00923890"/>
    <w:rsid w:val="009241BA"/>
    <w:rsid w:val="00924203"/>
    <w:rsid w:val="00924B24"/>
    <w:rsid w:val="009252F3"/>
    <w:rsid w:val="0092583D"/>
    <w:rsid w:val="00925AEC"/>
    <w:rsid w:val="00925C9A"/>
    <w:rsid w:val="00926485"/>
    <w:rsid w:val="009264B2"/>
    <w:rsid w:val="00927473"/>
    <w:rsid w:val="009274F7"/>
    <w:rsid w:val="00927C65"/>
    <w:rsid w:val="00927D5D"/>
    <w:rsid w:val="009300F5"/>
    <w:rsid w:val="0093067A"/>
    <w:rsid w:val="009309CE"/>
    <w:rsid w:val="00930A11"/>
    <w:rsid w:val="00930A27"/>
    <w:rsid w:val="00930C4E"/>
    <w:rsid w:val="0093109B"/>
    <w:rsid w:val="00931CCF"/>
    <w:rsid w:val="00936347"/>
    <w:rsid w:val="009366CC"/>
    <w:rsid w:val="00936D1E"/>
    <w:rsid w:val="00936D9F"/>
    <w:rsid w:val="00936E03"/>
    <w:rsid w:val="00937732"/>
    <w:rsid w:val="00941494"/>
    <w:rsid w:val="009432E5"/>
    <w:rsid w:val="009437AB"/>
    <w:rsid w:val="009438E8"/>
    <w:rsid w:val="00945F48"/>
    <w:rsid w:val="0094614B"/>
    <w:rsid w:val="00947455"/>
    <w:rsid w:val="00947765"/>
    <w:rsid w:val="00947902"/>
    <w:rsid w:val="00947D14"/>
    <w:rsid w:val="00950239"/>
    <w:rsid w:val="00952658"/>
    <w:rsid w:val="00952687"/>
    <w:rsid w:val="009528F0"/>
    <w:rsid w:val="00952D70"/>
    <w:rsid w:val="0095312F"/>
    <w:rsid w:val="0095376D"/>
    <w:rsid w:val="0095431D"/>
    <w:rsid w:val="00954BC1"/>
    <w:rsid w:val="009551AB"/>
    <w:rsid w:val="009559A5"/>
    <w:rsid w:val="00955A85"/>
    <w:rsid w:val="00955C62"/>
    <w:rsid w:val="00956824"/>
    <w:rsid w:val="009608AB"/>
    <w:rsid w:val="00960D93"/>
    <w:rsid w:val="00962A04"/>
    <w:rsid w:val="00962D9C"/>
    <w:rsid w:val="00962F08"/>
    <w:rsid w:val="00963761"/>
    <w:rsid w:val="00963BF9"/>
    <w:rsid w:val="00963C51"/>
    <w:rsid w:val="0096474E"/>
    <w:rsid w:val="00964CB0"/>
    <w:rsid w:val="00965809"/>
    <w:rsid w:val="0096648B"/>
    <w:rsid w:val="00966B3E"/>
    <w:rsid w:val="009674FF"/>
    <w:rsid w:val="009679FD"/>
    <w:rsid w:val="00967EA9"/>
    <w:rsid w:val="00970000"/>
    <w:rsid w:val="009709F4"/>
    <w:rsid w:val="00970EFF"/>
    <w:rsid w:val="0097115D"/>
    <w:rsid w:val="009711D9"/>
    <w:rsid w:val="009719D4"/>
    <w:rsid w:val="00971F74"/>
    <w:rsid w:val="009728C1"/>
    <w:rsid w:val="00972C79"/>
    <w:rsid w:val="00973A90"/>
    <w:rsid w:val="00973DC8"/>
    <w:rsid w:val="00974E5E"/>
    <w:rsid w:val="00975E32"/>
    <w:rsid w:val="00977C74"/>
    <w:rsid w:val="0098008B"/>
    <w:rsid w:val="00980A48"/>
    <w:rsid w:val="00980FDE"/>
    <w:rsid w:val="0098124B"/>
    <w:rsid w:val="009812E0"/>
    <w:rsid w:val="00981A6F"/>
    <w:rsid w:val="00981CFB"/>
    <w:rsid w:val="00981EFF"/>
    <w:rsid w:val="00981F80"/>
    <w:rsid w:val="009823B8"/>
    <w:rsid w:val="009826D2"/>
    <w:rsid w:val="009837A4"/>
    <w:rsid w:val="0098409D"/>
    <w:rsid w:val="0098461F"/>
    <w:rsid w:val="00985C27"/>
    <w:rsid w:val="00986086"/>
    <w:rsid w:val="00987230"/>
    <w:rsid w:val="00987DDB"/>
    <w:rsid w:val="00990145"/>
    <w:rsid w:val="00990293"/>
    <w:rsid w:val="00990388"/>
    <w:rsid w:val="00990E38"/>
    <w:rsid w:val="0099251B"/>
    <w:rsid w:val="00992BF4"/>
    <w:rsid w:val="0099357D"/>
    <w:rsid w:val="00993A8B"/>
    <w:rsid w:val="00995518"/>
    <w:rsid w:val="00995D8C"/>
    <w:rsid w:val="0099653C"/>
    <w:rsid w:val="009973CF"/>
    <w:rsid w:val="009975D9"/>
    <w:rsid w:val="00997959"/>
    <w:rsid w:val="009979DA"/>
    <w:rsid w:val="009A040D"/>
    <w:rsid w:val="009A0E39"/>
    <w:rsid w:val="009A3259"/>
    <w:rsid w:val="009A3EAE"/>
    <w:rsid w:val="009A48A4"/>
    <w:rsid w:val="009A7351"/>
    <w:rsid w:val="009A7585"/>
    <w:rsid w:val="009B0688"/>
    <w:rsid w:val="009B0A0C"/>
    <w:rsid w:val="009B31F4"/>
    <w:rsid w:val="009B3C1F"/>
    <w:rsid w:val="009B3C41"/>
    <w:rsid w:val="009B4A83"/>
    <w:rsid w:val="009B4DB8"/>
    <w:rsid w:val="009B53E4"/>
    <w:rsid w:val="009B577D"/>
    <w:rsid w:val="009C057D"/>
    <w:rsid w:val="009C0683"/>
    <w:rsid w:val="009C0764"/>
    <w:rsid w:val="009C0B81"/>
    <w:rsid w:val="009C0F3B"/>
    <w:rsid w:val="009C176D"/>
    <w:rsid w:val="009C296A"/>
    <w:rsid w:val="009C3302"/>
    <w:rsid w:val="009C34D2"/>
    <w:rsid w:val="009C35B2"/>
    <w:rsid w:val="009C5078"/>
    <w:rsid w:val="009C56A4"/>
    <w:rsid w:val="009C5879"/>
    <w:rsid w:val="009C60D3"/>
    <w:rsid w:val="009C684C"/>
    <w:rsid w:val="009C71DF"/>
    <w:rsid w:val="009C72F8"/>
    <w:rsid w:val="009C75AD"/>
    <w:rsid w:val="009C7ED4"/>
    <w:rsid w:val="009C7FC1"/>
    <w:rsid w:val="009D010D"/>
    <w:rsid w:val="009D1099"/>
    <w:rsid w:val="009D168A"/>
    <w:rsid w:val="009D1933"/>
    <w:rsid w:val="009D2D1A"/>
    <w:rsid w:val="009D3A5A"/>
    <w:rsid w:val="009D5502"/>
    <w:rsid w:val="009D60DA"/>
    <w:rsid w:val="009D777C"/>
    <w:rsid w:val="009E01D0"/>
    <w:rsid w:val="009E0383"/>
    <w:rsid w:val="009E0624"/>
    <w:rsid w:val="009E10BD"/>
    <w:rsid w:val="009E1553"/>
    <w:rsid w:val="009E229B"/>
    <w:rsid w:val="009E41D6"/>
    <w:rsid w:val="009E4508"/>
    <w:rsid w:val="009E48BC"/>
    <w:rsid w:val="009E4A66"/>
    <w:rsid w:val="009E4AB3"/>
    <w:rsid w:val="009E5269"/>
    <w:rsid w:val="009E61BC"/>
    <w:rsid w:val="009E7897"/>
    <w:rsid w:val="009F14D8"/>
    <w:rsid w:val="009F281A"/>
    <w:rsid w:val="009F283E"/>
    <w:rsid w:val="009F2CB3"/>
    <w:rsid w:val="009F3C28"/>
    <w:rsid w:val="009F47B7"/>
    <w:rsid w:val="009F4E0B"/>
    <w:rsid w:val="009F66AB"/>
    <w:rsid w:val="009F6818"/>
    <w:rsid w:val="00A00AE9"/>
    <w:rsid w:val="00A01BEB"/>
    <w:rsid w:val="00A01E2A"/>
    <w:rsid w:val="00A03485"/>
    <w:rsid w:val="00A03729"/>
    <w:rsid w:val="00A03A1C"/>
    <w:rsid w:val="00A049D2"/>
    <w:rsid w:val="00A0534D"/>
    <w:rsid w:val="00A06D44"/>
    <w:rsid w:val="00A06DBA"/>
    <w:rsid w:val="00A07689"/>
    <w:rsid w:val="00A11A0F"/>
    <w:rsid w:val="00A12057"/>
    <w:rsid w:val="00A12C87"/>
    <w:rsid w:val="00A169BD"/>
    <w:rsid w:val="00A1783C"/>
    <w:rsid w:val="00A1792F"/>
    <w:rsid w:val="00A17BCD"/>
    <w:rsid w:val="00A201C3"/>
    <w:rsid w:val="00A21040"/>
    <w:rsid w:val="00A22903"/>
    <w:rsid w:val="00A23D28"/>
    <w:rsid w:val="00A24C68"/>
    <w:rsid w:val="00A24CA0"/>
    <w:rsid w:val="00A2535F"/>
    <w:rsid w:val="00A25434"/>
    <w:rsid w:val="00A25D3F"/>
    <w:rsid w:val="00A26F4A"/>
    <w:rsid w:val="00A2750B"/>
    <w:rsid w:val="00A30158"/>
    <w:rsid w:val="00A3035C"/>
    <w:rsid w:val="00A3086E"/>
    <w:rsid w:val="00A334AC"/>
    <w:rsid w:val="00A339F1"/>
    <w:rsid w:val="00A3412C"/>
    <w:rsid w:val="00A34B7D"/>
    <w:rsid w:val="00A3672E"/>
    <w:rsid w:val="00A367CE"/>
    <w:rsid w:val="00A3756F"/>
    <w:rsid w:val="00A40922"/>
    <w:rsid w:val="00A409A6"/>
    <w:rsid w:val="00A41344"/>
    <w:rsid w:val="00A4199D"/>
    <w:rsid w:val="00A42633"/>
    <w:rsid w:val="00A42995"/>
    <w:rsid w:val="00A4303F"/>
    <w:rsid w:val="00A4417C"/>
    <w:rsid w:val="00A44667"/>
    <w:rsid w:val="00A44F61"/>
    <w:rsid w:val="00A4561E"/>
    <w:rsid w:val="00A45712"/>
    <w:rsid w:val="00A45BEB"/>
    <w:rsid w:val="00A45FA7"/>
    <w:rsid w:val="00A468F3"/>
    <w:rsid w:val="00A475A7"/>
    <w:rsid w:val="00A50A27"/>
    <w:rsid w:val="00A50A31"/>
    <w:rsid w:val="00A51335"/>
    <w:rsid w:val="00A51CED"/>
    <w:rsid w:val="00A51DBE"/>
    <w:rsid w:val="00A5323C"/>
    <w:rsid w:val="00A53A1C"/>
    <w:rsid w:val="00A54A22"/>
    <w:rsid w:val="00A54D5C"/>
    <w:rsid w:val="00A54E68"/>
    <w:rsid w:val="00A55014"/>
    <w:rsid w:val="00A5558A"/>
    <w:rsid w:val="00A566E7"/>
    <w:rsid w:val="00A57199"/>
    <w:rsid w:val="00A6104B"/>
    <w:rsid w:val="00A61682"/>
    <w:rsid w:val="00A64CE4"/>
    <w:rsid w:val="00A66811"/>
    <w:rsid w:val="00A66895"/>
    <w:rsid w:val="00A66C16"/>
    <w:rsid w:val="00A67B18"/>
    <w:rsid w:val="00A67EF0"/>
    <w:rsid w:val="00A7001F"/>
    <w:rsid w:val="00A707D5"/>
    <w:rsid w:val="00A70D91"/>
    <w:rsid w:val="00A714DF"/>
    <w:rsid w:val="00A7150A"/>
    <w:rsid w:val="00A71C4F"/>
    <w:rsid w:val="00A728A2"/>
    <w:rsid w:val="00A730BB"/>
    <w:rsid w:val="00A73F65"/>
    <w:rsid w:val="00A755CD"/>
    <w:rsid w:val="00A765D0"/>
    <w:rsid w:val="00A76BF2"/>
    <w:rsid w:val="00A76EBA"/>
    <w:rsid w:val="00A7711E"/>
    <w:rsid w:val="00A77B7B"/>
    <w:rsid w:val="00A80A84"/>
    <w:rsid w:val="00A816BE"/>
    <w:rsid w:val="00A819DD"/>
    <w:rsid w:val="00A82B32"/>
    <w:rsid w:val="00A82B87"/>
    <w:rsid w:val="00A83DBD"/>
    <w:rsid w:val="00A843DA"/>
    <w:rsid w:val="00A84C1E"/>
    <w:rsid w:val="00A86840"/>
    <w:rsid w:val="00A86E3C"/>
    <w:rsid w:val="00A8753C"/>
    <w:rsid w:val="00A87E50"/>
    <w:rsid w:val="00A90CA8"/>
    <w:rsid w:val="00A91156"/>
    <w:rsid w:val="00A91191"/>
    <w:rsid w:val="00A922F1"/>
    <w:rsid w:val="00A93D19"/>
    <w:rsid w:val="00A95670"/>
    <w:rsid w:val="00A95D0C"/>
    <w:rsid w:val="00A96552"/>
    <w:rsid w:val="00A96EAA"/>
    <w:rsid w:val="00A97482"/>
    <w:rsid w:val="00AA033D"/>
    <w:rsid w:val="00AA04B7"/>
    <w:rsid w:val="00AA1B85"/>
    <w:rsid w:val="00AA1E37"/>
    <w:rsid w:val="00AA212E"/>
    <w:rsid w:val="00AA22C3"/>
    <w:rsid w:val="00AA2391"/>
    <w:rsid w:val="00AA27CD"/>
    <w:rsid w:val="00AA2F0B"/>
    <w:rsid w:val="00AA3D4F"/>
    <w:rsid w:val="00AA4490"/>
    <w:rsid w:val="00AA5DBF"/>
    <w:rsid w:val="00AA7E43"/>
    <w:rsid w:val="00AB093E"/>
    <w:rsid w:val="00AB1A28"/>
    <w:rsid w:val="00AB2C27"/>
    <w:rsid w:val="00AB2F0C"/>
    <w:rsid w:val="00AB332A"/>
    <w:rsid w:val="00AB3FD5"/>
    <w:rsid w:val="00AB4835"/>
    <w:rsid w:val="00AB6103"/>
    <w:rsid w:val="00AB6358"/>
    <w:rsid w:val="00AB6586"/>
    <w:rsid w:val="00AB76C2"/>
    <w:rsid w:val="00AB7DEB"/>
    <w:rsid w:val="00AC1048"/>
    <w:rsid w:val="00AC147E"/>
    <w:rsid w:val="00AC160D"/>
    <w:rsid w:val="00AC32C5"/>
    <w:rsid w:val="00AC36A5"/>
    <w:rsid w:val="00AD1B8B"/>
    <w:rsid w:val="00AD2CF3"/>
    <w:rsid w:val="00AD2E19"/>
    <w:rsid w:val="00AD353F"/>
    <w:rsid w:val="00AD3796"/>
    <w:rsid w:val="00AD3C38"/>
    <w:rsid w:val="00AD4499"/>
    <w:rsid w:val="00AD5ED8"/>
    <w:rsid w:val="00AD650C"/>
    <w:rsid w:val="00AD767B"/>
    <w:rsid w:val="00AD78D0"/>
    <w:rsid w:val="00AE02AB"/>
    <w:rsid w:val="00AE122F"/>
    <w:rsid w:val="00AE1BB6"/>
    <w:rsid w:val="00AE2282"/>
    <w:rsid w:val="00AE2FB5"/>
    <w:rsid w:val="00AE3E9D"/>
    <w:rsid w:val="00AE4EE9"/>
    <w:rsid w:val="00AE50FA"/>
    <w:rsid w:val="00AF0315"/>
    <w:rsid w:val="00AF0FA0"/>
    <w:rsid w:val="00AF1882"/>
    <w:rsid w:val="00AF3971"/>
    <w:rsid w:val="00AF4B2D"/>
    <w:rsid w:val="00AF4BDB"/>
    <w:rsid w:val="00AF4F3D"/>
    <w:rsid w:val="00AF4F70"/>
    <w:rsid w:val="00AF516C"/>
    <w:rsid w:val="00AF654F"/>
    <w:rsid w:val="00AF658B"/>
    <w:rsid w:val="00AF6DA6"/>
    <w:rsid w:val="00AF7137"/>
    <w:rsid w:val="00AF7BB1"/>
    <w:rsid w:val="00B02329"/>
    <w:rsid w:val="00B025AA"/>
    <w:rsid w:val="00B03071"/>
    <w:rsid w:val="00B03231"/>
    <w:rsid w:val="00B03BC8"/>
    <w:rsid w:val="00B0464D"/>
    <w:rsid w:val="00B04FC0"/>
    <w:rsid w:val="00B05792"/>
    <w:rsid w:val="00B070A2"/>
    <w:rsid w:val="00B07500"/>
    <w:rsid w:val="00B0760B"/>
    <w:rsid w:val="00B1075A"/>
    <w:rsid w:val="00B10B58"/>
    <w:rsid w:val="00B119AD"/>
    <w:rsid w:val="00B1239F"/>
    <w:rsid w:val="00B123E0"/>
    <w:rsid w:val="00B127BA"/>
    <w:rsid w:val="00B12C15"/>
    <w:rsid w:val="00B1328A"/>
    <w:rsid w:val="00B13663"/>
    <w:rsid w:val="00B136ED"/>
    <w:rsid w:val="00B14404"/>
    <w:rsid w:val="00B144C4"/>
    <w:rsid w:val="00B15195"/>
    <w:rsid w:val="00B15AA4"/>
    <w:rsid w:val="00B15D6E"/>
    <w:rsid w:val="00B17010"/>
    <w:rsid w:val="00B17910"/>
    <w:rsid w:val="00B211FA"/>
    <w:rsid w:val="00B215E4"/>
    <w:rsid w:val="00B21FD4"/>
    <w:rsid w:val="00B22B29"/>
    <w:rsid w:val="00B239BA"/>
    <w:rsid w:val="00B23B9D"/>
    <w:rsid w:val="00B23E54"/>
    <w:rsid w:val="00B25524"/>
    <w:rsid w:val="00B26621"/>
    <w:rsid w:val="00B278D4"/>
    <w:rsid w:val="00B27B79"/>
    <w:rsid w:val="00B30705"/>
    <w:rsid w:val="00B30851"/>
    <w:rsid w:val="00B322A4"/>
    <w:rsid w:val="00B33414"/>
    <w:rsid w:val="00B33787"/>
    <w:rsid w:val="00B339CD"/>
    <w:rsid w:val="00B33B54"/>
    <w:rsid w:val="00B3561C"/>
    <w:rsid w:val="00B357D9"/>
    <w:rsid w:val="00B35F77"/>
    <w:rsid w:val="00B3631E"/>
    <w:rsid w:val="00B36B52"/>
    <w:rsid w:val="00B40CF1"/>
    <w:rsid w:val="00B40F15"/>
    <w:rsid w:val="00B4145E"/>
    <w:rsid w:val="00B41FB8"/>
    <w:rsid w:val="00B422ED"/>
    <w:rsid w:val="00B423BA"/>
    <w:rsid w:val="00B432A2"/>
    <w:rsid w:val="00B4351A"/>
    <w:rsid w:val="00B43886"/>
    <w:rsid w:val="00B479D1"/>
    <w:rsid w:val="00B47BFF"/>
    <w:rsid w:val="00B51C04"/>
    <w:rsid w:val="00B53C07"/>
    <w:rsid w:val="00B54B3C"/>
    <w:rsid w:val="00B575DD"/>
    <w:rsid w:val="00B576FE"/>
    <w:rsid w:val="00B607C6"/>
    <w:rsid w:val="00B60A5E"/>
    <w:rsid w:val="00B60BBA"/>
    <w:rsid w:val="00B62B2B"/>
    <w:rsid w:val="00B62C63"/>
    <w:rsid w:val="00B64311"/>
    <w:rsid w:val="00B644F1"/>
    <w:rsid w:val="00B6617F"/>
    <w:rsid w:val="00B66216"/>
    <w:rsid w:val="00B70BD8"/>
    <w:rsid w:val="00B70E7B"/>
    <w:rsid w:val="00B71605"/>
    <w:rsid w:val="00B7296F"/>
    <w:rsid w:val="00B74121"/>
    <w:rsid w:val="00B74174"/>
    <w:rsid w:val="00B74AA1"/>
    <w:rsid w:val="00B74B3E"/>
    <w:rsid w:val="00B753AB"/>
    <w:rsid w:val="00B75D93"/>
    <w:rsid w:val="00B75E63"/>
    <w:rsid w:val="00B76067"/>
    <w:rsid w:val="00B762A6"/>
    <w:rsid w:val="00B77CCA"/>
    <w:rsid w:val="00B77F19"/>
    <w:rsid w:val="00B80120"/>
    <w:rsid w:val="00B805EE"/>
    <w:rsid w:val="00B81C44"/>
    <w:rsid w:val="00B82338"/>
    <w:rsid w:val="00B82371"/>
    <w:rsid w:val="00B82DA4"/>
    <w:rsid w:val="00B835A2"/>
    <w:rsid w:val="00B839AF"/>
    <w:rsid w:val="00B84386"/>
    <w:rsid w:val="00B84EE0"/>
    <w:rsid w:val="00B85292"/>
    <w:rsid w:val="00B8529F"/>
    <w:rsid w:val="00B85BE5"/>
    <w:rsid w:val="00B869B1"/>
    <w:rsid w:val="00B86E43"/>
    <w:rsid w:val="00B86E4E"/>
    <w:rsid w:val="00B87185"/>
    <w:rsid w:val="00B90620"/>
    <w:rsid w:val="00B908BC"/>
    <w:rsid w:val="00B90BD7"/>
    <w:rsid w:val="00B91181"/>
    <w:rsid w:val="00B926DD"/>
    <w:rsid w:val="00B931CA"/>
    <w:rsid w:val="00B931FB"/>
    <w:rsid w:val="00B934EF"/>
    <w:rsid w:val="00B93C03"/>
    <w:rsid w:val="00B93E5F"/>
    <w:rsid w:val="00B93F78"/>
    <w:rsid w:val="00B94085"/>
    <w:rsid w:val="00B940E7"/>
    <w:rsid w:val="00B968FA"/>
    <w:rsid w:val="00B97AA7"/>
    <w:rsid w:val="00BA0242"/>
    <w:rsid w:val="00BA02B7"/>
    <w:rsid w:val="00BA0A5C"/>
    <w:rsid w:val="00BA0BB9"/>
    <w:rsid w:val="00BA189F"/>
    <w:rsid w:val="00BA2173"/>
    <w:rsid w:val="00BA336F"/>
    <w:rsid w:val="00BA43C6"/>
    <w:rsid w:val="00BA5929"/>
    <w:rsid w:val="00BA6214"/>
    <w:rsid w:val="00BA6CDD"/>
    <w:rsid w:val="00BB053F"/>
    <w:rsid w:val="00BB0E29"/>
    <w:rsid w:val="00BB187A"/>
    <w:rsid w:val="00BB2DB2"/>
    <w:rsid w:val="00BB2FF7"/>
    <w:rsid w:val="00BB3333"/>
    <w:rsid w:val="00BB3634"/>
    <w:rsid w:val="00BB395A"/>
    <w:rsid w:val="00BB3CF3"/>
    <w:rsid w:val="00BB3EE9"/>
    <w:rsid w:val="00BB449C"/>
    <w:rsid w:val="00BB492C"/>
    <w:rsid w:val="00BB4D4F"/>
    <w:rsid w:val="00BB54DB"/>
    <w:rsid w:val="00BB54FC"/>
    <w:rsid w:val="00BB5D70"/>
    <w:rsid w:val="00BB5F99"/>
    <w:rsid w:val="00BB7045"/>
    <w:rsid w:val="00BB71BF"/>
    <w:rsid w:val="00BB7B61"/>
    <w:rsid w:val="00BB7DAE"/>
    <w:rsid w:val="00BC03AF"/>
    <w:rsid w:val="00BC0D0D"/>
    <w:rsid w:val="00BC15B1"/>
    <w:rsid w:val="00BC1D35"/>
    <w:rsid w:val="00BC215A"/>
    <w:rsid w:val="00BC3278"/>
    <w:rsid w:val="00BC57BF"/>
    <w:rsid w:val="00BC5FC0"/>
    <w:rsid w:val="00BC650A"/>
    <w:rsid w:val="00BC739E"/>
    <w:rsid w:val="00BD11B1"/>
    <w:rsid w:val="00BD22EC"/>
    <w:rsid w:val="00BD2AE5"/>
    <w:rsid w:val="00BD3744"/>
    <w:rsid w:val="00BD42D4"/>
    <w:rsid w:val="00BD4C77"/>
    <w:rsid w:val="00BD5C7A"/>
    <w:rsid w:val="00BD60AE"/>
    <w:rsid w:val="00BD750E"/>
    <w:rsid w:val="00BE0DB2"/>
    <w:rsid w:val="00BE118F"/>
    <w:rsid w:val="00BE141F"/>
    <w:rsid w:val="00BE1BD4"/>
    <w:rsid w:val="00BE22A7"/>
    <w:rsid w:val="00BE2C87"/>
    <w:rsid w:val="00BE3E9B"/>
    <w:rsid w:val="00BE41AA"/>
    <w:rsid w:val="00BE4D55"/>
    <w:rsid w:val="00BE62ED"/>
    <w:rsid w:val="00BE6306"/>
    <w:rsid w:val="00BE6936"/>
    <w:rsid w:val="00BE6AF5"/>
    <w:rsid w:val="00BE6E75"/>
    <w:rsid w:val="00BE7238"/>
    <w:rsid w:val="00BE7DA5"/>
    <w:rsid w:val="00BF1009"/>
    <w:rsid w:val="00BF1CAB"/>
    <w:rsid w:val="00BF414D"/>
    <w:rsid w:val="00BF508B"/>
    <w:rsid w:val="00BF780D"/>
    <w:rsid w:val="00C0003D"/>
    <w:rsid w:val="00C0180A"/>
    <w:rsid w:val="00C01ABB"/>
    <w:rsid w:val="00C01E67"/>
    <w:rsid w:val="00C024B7"/>
    <w:rsid w:val="00C030CE"/>
    <w:rsid w:val="00C031D2"/>
    <w:rsid w:val="00C03540"/>
    <w:rsid w:val="00C035BD"/>
    <w:rsid w:val="00C057AF"/>
    <w:rsid w:val="00C06F62"/>
    <w:rsid w:val="00C077B1"/>
    <w:rsid w:val="00C07940"/>
    <w:rsid w:val="00C079FA"/>
    <w:rsid w:val="00C10589"/>
    <w:rsid w:val="00C11EB2"/>
    <w:rsid w:val="00C1389C"/>
    <w:rsid w:val="00C13B90"/>
    <w:rsid w:val="00C13C48"/>
    <w:rsid w:val="00C14BEC"/>
    <w:rsid w:val="00C15884"/>
    <w:rsid w:val="00C169CB"/>
    <w:rsid w:val="00C178DB"/>
    <w:rsid w:val="00C17F91"/>
    <w:rsid w:val="00C206D5"/>
    <w:rsid w:val="00C20E44"/>
    <w:rsid w:val="00C211F2"/>
    <w:rsid w:val="00C21598"/>
    <w:rsid w:val="00C21AB6"/>
    <w:rsid w:val="00C21CD2"/>
    <w:rsid w:val="00C21DF4"/>
    <w:rsid w:val="00C23329"/>
    <w:rsid w:val="00C23AE1"/>
    <w:rsid w:val="00C23D5E"/>
    <w:rsid w:val="00C24892"/>
    <w:rsid w:val="00C2517B"/>
    <w:rsid w:val="00C2595B"/>
    <w:rsid w:val="00C25A42"/>
    <w:rsid w:val="00C25F52"/>
    <w:rsid w:val="00C27379"/>
    <w:rsid w:val="00C30085"/>
    <w:rsid w:val="00C3048F"/>
    <w:rsid w:val="00C30F80"/>
    <w:rsid w:val="00C3175A"/>
    <w:rsid w:val="00C329E1"/>
    <w:rsid w:val="00C34CAD"/>
    <w:rsid w:val="00C3530C"/>
    <w:rsid w:val="00C359AA"/>
    <w:rsid w:val="00C4051F"/>
    <w:rsid w:val="00C423BA"/>
    <w:rsid w:val="00C4247A"/>
    <w:rsid w:val="00C426BC"/>
    <w:rsid w:val="00C437BB"/>
    <w:rsid w:val="00C43938"/>
    <w:rsid w:val="00C47D48"/>
    <w:rsid w:val="00C50D85"/>
    <w:rsid w:val="00C51EE9"/>
    <w:rsid w:val="00C52450"/>
    <w:rsid w:val="00C52A22"/>
    <w:rsid w:val="00C52D80"/>
    <w:rsid w:val="00C534B1"/>
    <w:rsid w:val="00C54A1A"/>
    <w:rsid w:val="00C550AE"/>
    <w:rsid w:val="00C5538A"/>
    <w:rsid w:val="00C5561A"/>
    <w:rsid w:val="00C56015"/>
    <w:rsid w:val="00C61E10"/>
    <w:rsid w:val="00C6222D"/>
    <w:rsid w:val="00C622EA"/>
    <w:rsid w:val="00C6262D"/>
    <w:rsid w:val="00C629AA"/>
    <w:rsid w:val="00C62D0C"/>
    <w:rsid w:val="00C62D3B"/>
    <w:rsid w:val="00C63988"/>
    <w:rsid w:val="00C63F63"/>
    <w:rsid w:val="00C65182"/>
    <w:rsid w:val="00C66494"/>
    <w:rsid w:val="00C674D7"/>
    <w:rsid w:val="00C67686"/>
    <w:rsid w:val="00C67873"/>
    <w:rsid w:val="00C6792C"/>
    <w:rsid w:val="00C70D94"/>
    <w:rsid w:val="00C7112B"/>
    <w:rsid w:val="00C720AE"/>
    <w:rsid w:val="00C72AB4"/>
    <w:rsid w:val="00C72BBD"/>
    <w:rsid w:val="00C72C73"/>
    <w:rsid w:val="00C72FAB"/>
    <w:rsid w:val="00C73A2E"/>
    <w:rsid w:val="00C73B45"/>
    <w:rsid w:val="00C746CB"/>
    <w:rsid w:val="00C758D2"/>
    <w:rsid w:val="00C75C33"/>
    <w:rsid w:val="00C75DB9"/>
    <w:rsid w:val="00C76845"/>
    <w:rsid w:val="00C76A3A"/>
    <w:rsid w:val="00C76CF5"/>
    <w:rsid w:val="00C773B9"/>
    <w:rsid w:val="00C77527"/>
    <w:rsid w:val="00C77976"/>
    <w:rsid w:val="00C808FE"/>
    <w:rsid w:val="00C81CD6"/>
    <w:rsid w:val="00C8295E"/>
    <w:rsid w:val="00C836E3"/>
    <w:rsid w:val="00C83B31"/>
    <w:rsid w:val="00C83D70"/>
    <w:rsid w:val="00C84CE9"/>
    <w:rsid w:val="00C84D38"/>
    <w:rsid w:val="00C85218"/>
    <w:rsid w:val="00C861CC"/>
    <w:rsid w:val="00C862EF"/>
    <w:rsid w:val="00C86DE4"/>
    <w:rsid w:val="00C87534"/>
    <w:rsid w:val="00C87776"/>
    <w:rsid w:val="00C90495"/>
    <w:rsid w:val="00C908C3"/>
    <w:rsid w:val="00C912EA"/>
    <w:rsid w:val="00C91C04"/>
    <w:rsid w:val="00C92F72"/>
    <w:rsid w:val="00C93DF1"/>
    <w:rsid w:val="00C9430B"/>
    <w:rsid w:val="00C9455F"/>
    <w:rsid w:val="00C94C29"/>
    <w:rsid w:val="00C96A17"/>
    <w:rsid w:val="00C96D3A"/>
    <w:rsid w:val="00C970F2"/>
    <w:rsid w:val="00CA3FB4"/>
    <w:rsid w:val="00CA4CAC"/>
    <w:rsid w:val="00CA50DD"/>
    <w:rsid w:val="00CA5249"/>
    <w:rsid w:val="00CA6333"/>
    <w:rsid w:val="00CA6CFF"/>
    <w:rsid w:val="00CB1567"/>
    <w:rsid w:val="00CB1931"/>
    <w:rsid w:val="00CB1D9E"/>
    <w:rsid w:val="00CB2C45"/>
    <w:rsid w:val="00CB64EC"/>
    <w:rsid w:val="00CB7191"/>
    <w:rsid w:val="00CB72B3"/>
    <w:rsid w:val="00CB7BF7"/>
    <w:rsid w:val="00CB7DC5"/>
    <w:rsid w:val="00CC06E6"/>
    <w:rsid w:val="00CC08D0"/>
    <w:rsid w:val="00CC1652"/>
    <w:rsid w:val="00CC21C5"/>
    <w:rsid w:val="00CC269F"/>
    <w:rsid w:val="00CC3968"/>
    <w:rsid w:val="00CC3BEA"/>
    <w:rsid w:val="00CC44E2"/>
    <w:rsid w:val="00CC468B"/>
    <w:rsid w:val="00CC4CFA"/>
    <w:rsid w:val="00CC5F38"/>
    <w:rsid w:val="00CC773E"/>
    <w:rsid w:val="00CD074F"/>
    <w:rsid w:val="00CD0E9A"/>
    <w:rsid w:val="00CD109A"/>
    <w:rsid w:val="00CD1352"/>
    <w:rsid w:val="00CD1493"/>
    <w:rsid w:val="00CD1EEC"/>
    <w:rsid w:val="00CD2BE2"/>
    <w:rsid w:val="00CD305F"/>
    <w:rsid w:val="00CD45B2"/>
    <w:rsid w:val="00CD5B85"/>
    <w:rsid w:val="00CD5E6B"/>
    <w:rsid w:val="00CD6683"/>
    <w:rsid w:val="00CD75F5"/>
    <w:rsid w:val="00CD779C"/>
    <w:rsid w:val="00CD7EFF"/>
    <w:rsid w:val="00CE028D"/>
    <w:rsid w:val="00CE0331"/>
    <w:rsid w:val="00CE0394"/>
    <w:rsid w:val="00CE127D"/>
    <w:rsid w:val="00CE17B7"/>
    <w:rsid w:val="00CE3B34"/>
    <w:rsid w:val="00CE3E8D"/>
    <w:rsid w:val="00CE3FE7"/>
    <w:rsid w:val="00CE427A"/>
    <w:rsid w:val="00CE4442"/>
    <w:rsid w:val="00CE5044"/>
    <w:rsid w:val="00CE543C"/>
    <w:rsid w:val="00CE5682"/>
    <w:rsid w:val="00CE5964"/>
    <w:rsid w:val="00CE5AB6"/>
    <w:rsid w:val="00CE5ABC"/>
    <w:rsid w:val="00CE5AEB"/>
    <w:rsid w:val="00CE5FCF"/>
    <w:rsid w:val="00CE60AA"/>
    <w:rsid w:val="00CE60EE"/>
    <w:rsid w:val="00CE6F39"/>
    <w:rsid w:val="00CE7014"/>
    <w:rsid w:val="00CF0652"/>
    <w:rsid w:val="00CF10C4"/>
    <w:rsid w:val="00CF12B6"/>
    <w:rsid w:val="00CF2789"/>
    <w:rsid w:val="00CF29CC"/>
    <w:rsid w:val="00CF2B11"/>
    <w:rsid w:val="00CF2CDA"/>
    <w:rsid w:val="00CF3AF1"/>
    <w:rsid w:val="00CF406E"/>
    <w:rsid w:val="00CF4F92"/>
    <w:rsid w:val="00CF60B3"/>
    <w:rsid w:val="00CF6120"/>
    <w:rsid w:val="00CF7999"/>
    <w:rsid w:val="00CF7D80"/>
    <w:rsid w:val="00CF7FC2"/>
    <w:rsid w:val="00D006E5"/>
    <w:rsid w:val="00D02E7F"/>
    <w:rsid w:val="00D0350A"/>
    <w:rsid w:val="00D038EE"/>
    <w:rsid w:val="00D03BA6"/>
    <w:rsid w:val="00D068AE"/>
    <w:rsid w:val="00D07C81"/>
    <w:rsid w:val="00D10679"/>
    <w:rsid w:val="00D10994"/>
    <w:rsid w:val="00D10A90"/>
    <w:rsid w:val="00D10D75"/>
    <w:rsid w:val="00D1110C"/>
    <w:rsid w:val="00D13CAB"/>
    <w:rsid w:val="00D14C13"/>
    <w:rsid w:val="00D15895"/>
    <w:rsid w:val="00D161E1"/>
    <w:rsid w:val="00D1754A"/>
    <w:rsid w:val="00D21688"/>
    <w:rsid w:val="00D21729"/>
    <w:rsid w:val="00D21856"/>
    <w:rsid w:val="00D21C17"/>
    <w:rsid w:val="00D21D95"/>
    <w:rsid w:val="00D227FD"/>
    <w:rsid w:val="00D22D28"/>
    <w:rsid w:val="00D22F72"/>
    <w:rsid w:val="00D23738"/>
    <w:rsid w:val="00D23D0D"/>
    <w:rsid w:val="00D24A51"/>
    <w:rsid w:val="00D2596B"/>
    <w:rsid w:val="00D25C25"/>
    <w:rsid w:val="00D26D9D"/>
    <w:rsid w:val="00D26E53"/>
    <w:rsid w:val="00D27F18"/>
    <w:rsid w:val="00D30521"/>
    <w:rsid w:val="00D3108A"/>
    <w:rsid w:val="00D31B1F"/>
    <w:rsid w:val="00D31D44"/>
    <w:rsid w:val="00D3222D"/>
    <w:rsid w:val="00D32655"/>
    <w:rsid w:val="00D3417D"/>
    <w:rsid w:val="00D345C8"/>
    <w:rsid w:val="00D34ACA"/>
    <w:rsid w:val="00D34B94"/>
    <w:rsid w:val="00D376FC"/>
    <w:rsid w:val="00D405AA"/>
    <w:rsid w:val="00D429E0"/>
    <w:rsid w:val="00D42E43"/>
    <w:rsid w:val="00D43D2C"/>
    <w:rsid w:val="00D43DA8"/>
    <w:rsid w:val="00D447EC"/>
    <w:rsid w:val="00D4497F"/>
    <w:rsid w:val="00D450D9"/>
    <w:rsid w:val="00D46CEE"/>
    <w:rsid w:val="00D475A4"/>
    <w:rsid w:val="00D50822"/>
    <w:rsid w:val="00D5132D"/>
    <w:rsid w:val="00D53103"/>
    <w:rsid w:val="00D53D46"/>
    <w:rsid w:val="00D5454F"/>
    <w:rsid w:val="00D5460F"/>
    <w:rsid w:val="00D548CC"/>
    <w:rsid w:val="00D54F50"/>
    <w:rsid w:val="00D55045"/>
    <w:rsid w:val="00D5505B"/>
    <w:rsid w:val="00D55D86"/>
    <w:rsid w:val="00D5619E"/>
    <w:rsid w:val="00D6154E"/>
    <w:rsid w:val="00D617E9"/>
    <w:rsid w:val="00D627E0"/>
    <w:rsid w:val="00D62CF0"/>
    <w:rsid w:val="00D63894"/>
    <w:rsid w:val="00D64CC1"/>
    <w:rsid w:val="00D64E5B"/>
    <w:rsid w:val="00D65789"/>
    <w:rsid w:val="00D65873"/>
    <w:rsid w:val="00D65A9A"/>
    <w:rsid w:val="00D66761"/>
    <w:rsid w:val="00D70998"/>
    <w:rsid w:val="00D70DA9"/>
    <w:rsid w:val="00D70E0F"/>
    <w:rsid w:val="00D719E1"/>
    <w:rsid w:val="00D723DD"/>
    <w:rsid w:val="00D724AF"/>
    <w:rsid w:val="00D727A6"/>
    <w:rsid w:val="00D72860"/>
    <w:rsid w:val="00D72C36"/>
    <w:rsid w:val="00D734B4"/>
    <w:rsid w:val="00D743A9"/>
    <w:rsid w:val="00D747D0"/>
    <w:rsid w:val="00D760C8"/>
    <w:rsid w:val="00D76FB1"/>
    <w:rsid w:val="00D77AA0"/>
    <w:rsid w:val="00D77D84"/>
    <w:rsid w:val="00D80322"/>
    <w:rsid w:val="00D80637"/>
    <w:rsid w:val="00D81D71"/>
    <w:rsid w:val="00D81E90"/>
    <w:rsid w:val="00D839D7"/>
    <w:rsid w:val="00D8490B"/>
    <w:rsid w:val="00D85B86"/>
    <w:rsid w:val="00D85D23"/>
    <w:rsid w:val="00D86253"/>
    <w:rsid w:val="00D864DE"/>
    <w:rsid w:val="00D8659F"/>
    <w:rsid w:val="00D86B87"/>
    <w:rsid w:val="00D8747A"/>
    <w:rsid w:val="00D90C08"/>
    <w:rsid w:val="00D90D6E"/>
    <w:rsid w:val="00D914D2"/>
    <w:rsid w:val="00D923DF"/>
    <w:rsid w:val="00D92550"/>
    <w:rsid w:val="00D92EBE"/>
    <w:rsid w:val="00D9389D"/>
    <w:rsid w:val="00D93C89"/>
    <w:rsid w:val="00D94553"/>
    <w:rsid w:val="00D953D8"/>
    <w:rsid w:val="00D95D8F"/>
    <w:rsid w:val="00D9600D"/>
    <w:rsid w:val="00D9619A"/>
    <w:rsid w:val="00D97C8F"/>
    <w:rsid w:val="00DA2AB6"/>
    <w:rsid w:val="00DA3960"/>
    <w:rsid w:val="00DA40D7"/>
    <w:rsid w:val="00DA46AE"/>
    <w:rsid w:val="00DA5365"/>
    <w:rsid w:val="00DA540E"/>
    <w:rsid w:val="00DA5AD7"/>
    <w:rsid w:val="00DA6BC0"/>
    <w:rsid w:val="00DA75B9"/>
    <w:rsid w:val="00DB0DBE"/>
    <w:rsid w:val="00DB1C45"/>
    <w:rsid w:val="00DB34A0"/>
    <w:rsid w:val="00DB34D6"/>
    <w:rsid w:val="00DB41EA"/>
    <w:rsid w:val="00DB43FF"/>
    <w:rsid w:val="00DB4539"/>
    <w:rsid w:val="00DB5296"/>
    <w:rsid w:val="00DB56C1"/>
    <w:rsid w:val="00DB5D69"/>
    <w:rsid w:val="00DB6183"/>
    <w:rsid w:val="00DB6E84"/>
    <w:rsid w:val="00DC1F5E"/>
    <w:rsid w:val="00DC3144"/>
    <w:rsid w:val="00DC61C1"/>
    <w:rsid w:val="00DC6EFD"/>
    <w:rsid w:val="00DC798E"/>
    <w:rsid w:val="00DC7B03"/>
    <w:rsid w:val="00DD0094"/>
    <w:rsid w:val="00DD02C0"/>
    <w:rsid w:val="00DD09DB"/>
    <w:rsid w:val="00DD0C81"/>
    <w:rsid w:val="00DD23CC"/>
    <w:rsid w:val="00DD3077"/>
    <w:rsid w:val="00DD3248"/>
    <w:rsid w:val="00DD3815"/>
    <w:rsid w:val="00DD3B15"/>
    <w:rsid w:val="00DD43C2"/>
    <w:rsid w:val="00DD5FD7"/>
    <w:rsid w:val="00DD61A7"/>
    <w:rsid w:val="00DD7DB1"/>
    <w:rsid w:val="00DE0152"/>
    <w:rsid w:val="00DE0173"/>
    <w:rsid w:val="00DE0662"/>
    <w:rsid w:val="00DE0791"/>
    <w:rsid w:val="00DE0A6D"/>
    <w:rsid w:val="00DE13A5"/>
    <w:rsid w:val="00DE14A5"/>
    <w:rsid w:val="00DE2BC5"/>
    <w:rsid w:val="00DE3296"/>
    <w:rsid w:val="00DE4A2E"/>
    <w:rsid w:val="00DE58A5"/>
    <w:rsid w:val="00DE5AE0"/>
    <w:rsid w:val="00DE6463"/>
    <w:rsid w:val="00DE6551"/>
    <w:rsid w:val="00DE6E3A"/>
    <w:rsid w:val="00DE76E5"/>
    <w:rsid w:val="00DE784C"/>
    <w:rsid w:val="00DE790B"/>
    <w:rsid w:val="00DE7B2B"/>
    <w:rsid w:val="00DE7D8A"/>
    <w:rsid w:val="00DF19B8"/>
    <w:rsid w:val="00DF1E1F"/>
    <w:rsid w:val="00DF2913"/>
    <w:rsid w:val="00DF3262"/>
    <w:rsid w:val="00DF32F7"/>
    <w:rsid w:val="00DF53F9"/>
    <w:rsid w:val="00DF5823"/>
    <w:rsid w:val="00DF672A"/>
    <w:rsid w:val="00DF688C"/>
    <w:rsid w:val="00E008B5"/>
    <w:rsid w:val="00E0209B"/>
    <w:rsid w:val="00E0230B"/>
    <w:rsid w:val="00E02881"/>
    <w:rsid w:val="00E028C5"/>
    <w:rsid w:val="00E03120"/>
    <w:rsid w:val="00E03C62"/>
    <w:rsid w:val="00E03F19"/>
    <w:rsid w:val="00E06331"/>
    <w:rsid w:val="00E06D0C"/>
    <w:rsid w:val="00E07B0C"/>
    <w:rsid w:val="00E07E51"/>
    <w:rsid w:val="00E10029"/>
    <w:rsid w:val="00E10353"/>
    <w:rsid w:val="00E10E70"/>
    <w:rsid w:val="00E1121B"/>
    <w:rsid w:val="00E11552"/>
    <w:rsid w:val="00E12221"/>
    <w:rsid w:val="00E12CDD"/>
    <w:rsid w:val="00E13AE8"/>
    <w:rsid w:val="00E15B2D"/>
    <w:rsid w:val="00E15E96"/>
    <w:rsid w:val="00E15EC0"/>
    <w:rsid w:val="00E165D9"/>
    <w:rsid w:val="00E16BA7"/>
    <w:rsid w:val="00E1714B"/>
    <w:rsid w:val="00E17AA3"/>
    <w:rsid w:val="00E17F24"/>
    <w:rsid w:val="00E17FFE"/>
    <w:rsid w:val="00E20A63"/>
    <w:rsid w:val="00E210B4"/>
    <w:rsid w:val="00E2143E"/>
    <w:rsid w:val="00E219AC"/>
    <w:rsid w:val="00E21FA0"/>
    <w:rsid w:val="00E223B6"/>
    <w:rsid w:val="00E2293C"/>
    <w:rsid w:val="00E2301E"/>
    <w:rsid w:val="00E235AF"/>
    <w:rsid w:val="00E23674"/>
    <w:rsid w:val="00E236B9"/>
    <w:rsid w:val="00E238A0"/>
    <w:rsid w:val="00E24693"/>
    <w:rsid w:val="00E249F1"/>
    <w:rsid w:val="00E251F9"/>
    <w:rsid w:val="00E2535E"/>
    <w:rsid w:val="00E2589B"/>
    <w:rsid w:val="00E258CA"/>
    <w:rsid w:val="00E25F42"/>
    <w:rsid w:val="00E26482"/>
    <w:rsid w:val="00E27B55"/>
    <w:rsid w:val="00E30A68"/>
    <w:rsid w:val="00E31861"/>
    <w:rsid w:val="00E323B5"/>
    <w:rsid w:val="00E32BD0"/>
    <w:rsid w:val="00E3320A"/>
    <w:rsid w:val="00E33295"/>
    <w:rsid w:val="00E3332A"/>
    <w:rsid w:val="00E33F7E"/>
    <w:rsid w:val="00E34334"/>
    <w:rsid w:val="00E35569"/>
    <w:rsid w:val="00E35B89"/>
    <w:rsid w:val="00E3695D"/>
    <w:rsid w:val="00E3697C"/>
    <w:rsid w:val="00E36C80"/>
    <w:rsid w:val="00E40DD2"/>
    <w:rsid w:val="00E40ED4"/>
    <w:rsid w:val="00E4129A"/>
    <w:rsid w:val="00E417A5"/>
    <w:rsid w:val="00E41DBE"/>
    <w:rsid w:val="00E4247F"/>
    <w:rsid w:val="00E42909"/>
    <w:rsid w:val="00E42C61"/>
    <w:rsid w:val="00E4306D"/>
    <w:rsid w:val="00E43812"/>
    <w:rsid w:val="00E43D5F"/>
    <w:rsid w:val="00E43D93"/>
    <w:rsid w:val="00E44EC0"/>
    <w:rsid w:val="00E46A1E"/>
    <w:rsid w:val="00E46AC4"/>
    <w:rsid w:val="00E46DC5"/>
    <w:rsid w:val="00E46F06"/>
    <w:rsid w:val="00E4744B"/>
    <w:rsid w:val="00E47DD8"/>
    <w:rsid w:val="00E50C1A"/>
    <w:rsid w:val="00E5155B"/>
    <w:rsid w:val="00E51966"/>
    <w:rsid w:val="00E52726"/>
    <w:rsid w:val="00E5397B"/>
    <w:rsid w:val="00E53C4B"/>
    <w:rsid w:val="00E5520A"/>
    <w:rsid w:val="00E57027"/>
    <w:rsid w:val="00E57039"/>
    <w:rsid w:val="00E57972"/>
    <w:rsid w:val="00E6041F"/>
    <w:rsid w:val="00E625BB"/>
    <w:rsid w:val="00E6577F"/>
    <w:rsid w:val="00E6658C"/>
    <w:rsid w:val="00E66679"/>
    <w:rsid w:val="00E66DB2"/>
    <w:rsid w:val="00E66DC8"/>
    <w:rsid w:val="00E66E66"/>
    <w:rsid w:val="00E67D25"/>
    <w:rsid w:val="00E70EBA"/>
    <w:rsid w:val="00E713DB"/>
    <w:rsid w:val="00E7218E"/>
    <w:rsid w:val="00E72816"/>
    <w:rsid w:val="00E7293E"/>
    <w:rsid w:val="00E73013"/>
    <w:rsid w:val="00E73243"/>
    <w:rsid w:val="00E74029"/>
    <w:rsid w:val="00E747AD"/>
    <w:rsid w:val="00E74B6D"/>
    <w:rsid w:val="00E77475"/>
    <w:rsid w:val="00E774FA"/>
    <w:rsid w:val="00E81168"/>
    <w:rsid w:val="00E811DC"/>
    <w:rsid w:val="00E84361"/>
    <w:rsid w:val="00E846DA"/>
    <w:rsid w:val="00E84848"/>
    <w:rsid w:val="00E8540A"/>
    <w:rsid w:val="00E86526"/>
    <w:rsid w:val="00E86765"/>
    <w:rsid w:val="00E8775B"/>
    <w:rsid w:val="00E87776"/>
    <w:rsid w:val="00E9114F"/>
    <w:rsid w:val="00E92371"/>
    <w:rsid w:val="00E9367E"/>
    <w:rsid w:val="00E941E7"/>
    <w:rsid w:val="00E942BD"/>
    <w:rsid w:val="00E942DD"/>
    <w:rsid w:val="00E942F7"/>
    <w:rsid w:val="00E957E8"/>
    <w:rsid w:val="00E976C6"/>
    <w:rsid w:val="00E97B3B"/>
    <w:rsid w:val="00E97F6E"/>
    <w:rsid w:val="00EA1512"/>
    <w:rsid w:val="00EA174B"/>
    <w:rsid w:val="00EA249D"/>
    <w:rsid w:val="00EA3C69"/>
    <w:rsid w:val="00EA4354"/>
    <w:rsid w:val="00EA51CA"/>
    <w:rsid w:val="00EA6E21"/>
    <w:rsid w:val="00EA73B4"/>
    <w:rsid w:val="00EA7475"/>
    <w:rsid w:val="00EB0F97"/>
    <w:rsid w:val="00EB14E9"/>
    <w:rsid w:val="00EB1B7B"/>
    <w:rsid w:val="00EB1E9E"/>
    <w:rsid w:val="00EB262D"/>
    <w:rsid w:val="00EB32A3"/>
    <w:rsid w:val="00EB3841"/>
    <w:rsid w:val="00EB3EAE"/>
    <w:rsid w:val="00EB4487"/>
    <w:rsid w:val="00EB46FD"/>
    <w:rsid w:val="00EB4CEE"/>
    <w:rsid w:val="00EB4E15"/>
    <w:rsid w:val="00EB56A5"/>
    <w:rsid w:val="00EB6D3E"/>
    <w:rsid w:val="00EB6E1E"/>
    <w:rsid w:val="00EB7516"/>
    <w:rsid w:val="00EB75AF"/>
    <w:rsid w:val="00EC05B1"/>
    <w:rsid w:val="00EC1095"/>
    <w:rsid w:val="00EC1369"/>
    <w:rsid w:val="00EC1CDA"/>
    <w:rsid w:val="00EC1E50"/>
    <w:rsid w:val="00EC2514"/>
    <w:rsid w:val="00EC3BAB"/>
    <w:rsid w:val="00EC444D"/>
    <w:rsid w:val="00EC5D1A"/>
    <w:rsid w:val="00EC6A3B"/>
    <w:rsid w:val="00EC728E"/>
    <w:rsid w:val="00EC7475"/>
    <w:rsid w:val="00EC7662"/>
    <w:rsid w:val="00ED0510"/>
    <w:rsid w:val="00ED0788"/>
    <w:rsid w:val="00ED079D"/>
    <w:rsid w:val="00ED100B"/>
    <w:rsid w:val="00ED2E04"/>
    <w:rsid w:val="00ED2EFB"/>
    <w:rsid w:val="00ED511E"/>
    <w:rsid w:val="00ED5623"/>
    <w:rsid w:val="00ED568A"/>
    <w:rsid w:val="00ED66D2"/>
    <w:rsid w:val="00ED6CFC"/>
    <w:rsid w:val="00ED7DCF"/>
    <w:rsid w:val="00ED7E77"/>
    <w:rsid w:val="00EE00C3"/>
    <w:rsid w:val="00EE19A9"/>
    <w:rsid w:val="00EE2B0E"/>
    <w:rsid w:val="00EE2B47"/>
    <w:rsid w:val="00EE2C32"/>
    <w:rsid w:val="00EE383F"/>
    <w:rsid w:val="00EE40B9"/>
    <w:rsid w:val="00EE4317"/>
    <w:rsid w:val="00EE4AA2"/>
    <w:rsid w:val="00EE721B"/>
    <w:rsid w:val="00EE7604"/>
    <w:rsid w:val="00EF0CD3"/>
    <w:rsid w:val="00EF2931"/>
    <w:rsid w:val="00EF39BC"/>
    <w:rsid w:val="00EF3F15"/>
    <w:rsid w:val="00EF3F88"/>
    <w:rsid w:val="00EF4555"/>
    <w:rsid w:val="00EF534B"/>
    <w:rsid w:val="00EF56A0"/>
    <w:rsid w:val="00EF57FA"/>
    <w:rsid w:val="00EF755B"/>
    <w:rsid w:val="00EF75EF"/>
    <w:rsid w:val="00EF7FF5"/>
    <w:rsid w:val="00F005B8"/>
    <w:rsid w:val="00F010AF"/>
    <w:rsid w:val="00F01105"/>
    <w:rsid w:val="00F01144"/>
    <w:rsid w:val="00F01178"/>
    <w:rsid w:val="00F0373F"/>
    <w:rsid w:val="00F03A7F"/>
    <w:rsid w:val="00F0421A"/>
    <w:rsid w:val="00F06506"/>
    <w:rsid w:val="00F06D2B"/>
    <w:rsid w:val="00F06F72"/>
    <w:rsid w:val="00F074CC"/>
    <w:rsid w:val="00F07D1E"/>
    <w:rsid w:val="00F10423"/>
    <w:rsid w:val="00F10EA5"/>
    <w:rsid w:val="00F10F5C"/>
    <w:rsid w:val="00F12D8D"/>
    <w:rsid w:val="00F131C9"/>
    <w:rsid w:val="00F13AA1"/>
    <w:rsid w:val="00F14113"/>
    <w:rsid w:val="00F14291"/>
    <w:rsid w:val="00F146F9"/>
    <w:rsid w:val="00F152B0"/>
    <w:rsid w:val="00F15F3C"/>
    <w:rsid w:val="00F167E1"/>
    <w:rsid w:val="00F202FC"/>
    <w:rsid w:val="00F204B3"/>
    <w:rsid w:val="00F204EA"/>
    <w:rsid w:val="00F21000"/>
    <w:rsid w:val="00F22C06"/>
    <w:rsid w:val="00F248FD"/>
    <w:rsid w:val="00F257FC"/>
    <w:rsid w:val="00F25960"/>
    <w:rsid w:val="00F25ADA"/>
    <w:rsid w:val="00F25DBD"/>
    <w:rsid w:val="00F267A6"/>
    <w:rsid w:val="00F30069"/>
    <w:rsid w:val="00F310FF"/>
    <w:rsid w:val="00F32101"/>
    <w:rsid w:val="00F3222D"/>
    <w:rsid w:val="00F32A85"/>
    <w:rsid w:val="00F33469"/>
    <w:rsid w:val="00F3487A"/>
    <w:rsid w:val="00F35DCD"/>
    <w:rsid w:val="00F3650A"/>
    <w:rsid w:val="00F37EFB"/>
    <w:rsid w:val="00F40E9E"/>
    <w:rsid w:val="00F43377"/>
    <w:rsid w:val="00F44740"/>
    <w:rsid w:val="00F447CF"/>
    <w:rsid w:val="00F44C44"/>
    <w:rsid w:val="00F46BE0"/>
    <w:rsid w:val="00F47333"/>
    <w:rsid w:val="00F4741D"/>
    <w:rsid w:val="00F476CE"/>
    <w:rsid w:val="00F502DB"/>
    <w:rsid w:val="00F503FA"/>
    <w:rsid w:val="00F504DC"/>
    <w:rsid w:val="00F51A93"/>
    <w:rsid w:val="00F51BA5"/>
    <w:rsid w:val="00F53BE1"/>
    <w:rsid w:val="00F54B40"/>
    <w:rsid w:val="00F55227"/>
    <w:rsid w:val="00F60729"/>
    <w:rsid w:val="00F61A52"/>
    <w:rsid w:val="00F61C36"/>
    <w:rsid w:val="00F627DA"/>
    <w:rsid w:val="00F62CA9"/>
    <w:rsid w:val="00F62D27"/>
    <w:rsid w:val="00F63B2E"/>
    <w:rsid w:val="00F6409A"/>
    <w:rsid w:val="00F64193"/>
    <w:rsid w:val="00F6489E"/>
    <w:rsid w:val="00F64A90"/>
    <w:rsid w:val="00F64AAE"/>
    <w:rsid w:val="00F64E41"/>
    <w:rsid w:val="00F6559B"/>
    <w:rsid w:val="00F65E98"/>
    <w:rsid w:val="00F66197"/>
    <w:rsid w:val="00F668BE"/>
    <w:rsid w:val="00F6740D"/>
    <w:rsid w:val="00F67F41"/>
    <w:rsid w:val="00F71759"/>
    <w:rsid w:val="00F71AB6"/>
    <w:rsid w:val="00F71FCA"/>
    <w:rsid w:val="00F721F0"/>
    <w:rsid w:val="00F7298F"/>
    <w:rsid w:val="00F732CA"/>
    <w:rsid w:val="00F73838"/>
    <w:rsid w:val="00F74914"/>
    <w:rsid w:val="00F74CCC"/>
    <w:rsid w:val="00F75944"/>
    <w:rsid w:val="00F75AC8"/>
    <w:rsid w:val="00F75C4A"/>
    <w:rsid w:val="00F76AE0"/>
    <w:rsid w:val="00F77328"/>
    <w:rsid w:val="00F80456"/>
    <w:rsid w:val="00F826D7"/>
    <w:rsid w:val="00F843D8"/>
    <w:rsid w:val="00F84BB7"/>
    <w:rsid w:val="00F84CB5"/>
    <w:rsid w:val="00F85A6B"/>
    <w:rsid w:val="00F85DD4"/>
    <w:rsid w:val="00F86E43"/>
    <w:rsid w:val="00F906F6"/>
    <w:rsid w:val="00F90B43"/>
    <w:rsid w:val="00F90F3D"/>
    <w:rsid w:val="00F91658"/>
    <w:rsid w:val="00F93BA5"/>
    <w:rsid w:val="00F94E64"/>
    <w:rsid w:val="00F9525E"/>
    <w:rsid w:val="00F95467"/>
    <w:rsid w:val="00F9597D"/>
    <w:rsid w:val="00F95CFA"/>
    <w:rsid w:val="00F9711E"/>
    <w:rsid w:val="00F973B5"/>
    <w:rsid w:val="00F974B7"/>
    <w:rsid w:val="00F976CF"/>
    <w:rsid w:val="00F97FA0"/>
    <w:rsid w:val="00FA134E"/>
    <w:rsid w:val="00FA19C8"/>
    <w:rsid w:val="00FA24C0"/>
    <w:rsid w:val="00FA364A"/>
    <w:rsid w:val="00FA3AC3"/>
    <w:rsid w:val="00FA3CC5"/>
    <w:rsid w:val="00FA4953"/>
    <w:rsid w:val="00FA4C5D"/>
    <w:rsid w:val="00FA4E81"/>
    <w:rsid w:val="00FA67F0"/>
    <w:rsid w:val="00FA7DDA"/>
    <w:rsid w:val="00FB0136"/>
    <w:rsid w:val="00FB01B5"/>
    <w:rsid w:val="00FB01D8"/>
    <w:rsid w:val="00FB06E3"/>
    <w:rsid w:val="00FB1D38"/>
    <w:rsid w:val="00FB382C"/>
    <w:rsid w:val="00FB3C26"/>
    <w:rsid w:val="00FB42AB"/>
    <w:rsid w:val="00FB552B"/>
    <w:rsid w:val="00FB5F19"/>
    <w:rsid w:val="00FB6BD0"/>
    <w:rsid w:val="00FB7367"/>
    <w:rsid w:val="00FB755B"/>
    <w:rsid w:val="00FB78AC"/>
    <w:rsid w:val="00FB792C"/>
    <w:rsid w:val="00FB7CA0"/>
    <w:rsid w:val="00FC0A5B"/>
    <w:rsid w:val="00FC15D4"/>
    <w:rsid w:val="00FC2389"/>
    <w:rsid w:val="00FC2947"/>
    <w:rsid w:val="00FC30D1"/>
    <w:rsid w:val="00FC39AF"/>
    <w:rsid w:val="00FC4D86"/>
    <w:rsid w:val="00FC6B78"/>
    <w:rsid w:val="00FC6DA5"/>
    <w:rsid w:val="00FC730F"/>
    <w:rsid w:val="00FD0481"/>
    <w:rsid w:val="00FD057C"/>
    <w:rsid w:val="00FD08B8"/>
    <w:rsid w:val="00FD0A33"/>
    <w:rsid w:val="00FD2FA8"/>
    <w:rsid w:val="00FD3374"/>
    <w:rsid w:val="00FD4614"/>
    <w:rsid w:val="00FD4F30"/>
    <w:rsid w:val="00FD6078"/>
    <w:rsid w:val="00FD6AFE"/>
    <w:rsid w:val="00FD79F0"/>
    <w:rsid w:val="00FE0513"/>
    <w:rsid w:val="00FE1A19"/>
    <w:rsid w:val="00FE1F84"/>
    <w:rsid w:val="00FE3F3D"/>
    <w:rsid w:val="00FE45CB"/>
    <w:rsid w:val="00FE5982"/>
    <w:rsid w:val="00FE5ADE"/>
    <w:rsid w:val="00FE7546"/>
    <w:rsid w:val="00FF0C1D"/>
    <w:rsid w:val="00FF0EBC"/>
    <w:rsid w:val="00FF34FA"/>
    <w:rsid w:val="00FF35C4"/>
    <w:rsid w:val="00FF3D90"/>
    <w:rsid w:val="00FF423A"/>
    <w:rsid w:val="00FF46B5"/>
    <w:rsid w:val="00FF5419"/>
    <w:rsid w:val="00FF6B60"/>
    <w:rsid w:val="00FF6BD9"/>
    <w:rsid w:val="00FF7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8369"/>
  <w15:chartTrackingRefBased/>
  <w15:docId w15:val="{0AD9283E-9847-43D6-BB47-E83E7B96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AB"/>
  </w:style>
  <w:style w:type="paragraph" w:styleId="Heading1">
    <w:name w:val="heading 1"/>
    <w:basedOn w:val="Normal"/>
    <w:next w:val="Normal"/>
    <w:link w:val="Heading1Char"/>
    <w:uiPriority w:val="9"/>
    <w:qFormat/>
    <w:rsid w:val="00B968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2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
    <w:basedOn w:val="Normal"/>
    <w:link w:val="ListParagraphChar"/>
    <w:uiPriority w:val="34"/>
    <w:qFormat/>
    <w:rsid w:val="00C63F63"/>
    <w:pPr>
      <w:ind w:left="720"/>
      <w:contextualSpacing/>
    </w:pPr>
  </w:style>
  <w:style w:type="paragraph" w:styleId="NormalWeb">
    <w:name w:val="Normal (Web)"/>
    <w:basedOn w:val="Normal"/>
    <w:uiPriority w:val="99"/>
    <w:unhideWhenUsed/>
    <w:rsid w:val="00D85D23"/>
    <w:pPr>
      <w:spacing w:before="100" w:beforeAutospacing="1" w:after="100" w:afterAutospacing="1" w:line="240" w:lineRule="auto"/>
    </w:pPr>
    <w:rPr>
      <w:rFonts w:ascii="Times" w:hAnsi="Times" w:cs="Times New Roman"/>
      <w:sz w:val="20"/>
      <w:szCs w:val="20"/>
      <w:lang w:val="fr-FR"/>
    </w:rPr>
  </w:style>
  <w:style w:type="paragraph" w:styleId="NoSpacing">
    <w:name w:val="No Spacing"/>
    <w:link w:val="NoSpacingChar"/>
    <w:uiPriority w:val="1"/>
    <w:qFormat/>
    <w:rsid w:val="003879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79AC"/>
    <w:rPr>
      <w:rFonts w:eastAsiaTheme="minorEastAsia"/>
      <w:lang w:val="en-US"/>
    </w:rPr>
  </w:style>
  <w:style w:type="character" w:customStyle="1" w:styleId="Heading1Char">
    <w:name w:val="Heading 1 Char"/>
    <w:basedOn w:val="DefaultParagraphFont"/>
    <w:link w:val="Heading1"/>
    <w:uiPriority w:val="9"/>
    <w:rsid w:val="00B968F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A0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343"/>
  </w:style>
  <w:style w:type="paragraph" w:styleId="Footer">
    <w:name w:val="footer"/>
    <w:basedOn w:val="Normal"/>
    <w:link w:val="FooterChar"/>
    <w:uiPriority w:val="99"/>
    <w:unhideWhenUsed/>
    <w:rsid w:val="005A0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343"/>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link w:val="ListParagraph"/>
    <w:uiPriority w:val="34"/>
    <w:qFormat/>
    <w:locked/>
    <w:rsid w:val="005E3834"/>
  </w:style>
  <w:style w:type="paragraph" w:customStyle="1" w:styleId="Default">
    <w:name w:val="Default"/>
    <w:rsid w:val="00291AF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2">
    <w:name w:val="Table Grid2"/>
    <w:basedOn w:val="TableTheme"/>
    <w:next w:val="TableGrid"/>
    <w:uiPriority w:val="59"/>
    <w:rsid w:val="009E1553"/>
    <w:pPr>
      <w:spacing w:after="0" w:line="240" w:lineRule="auto"/>
    </w:pPr>
    <w:rPr>
      <w:rFonts w:ascii="Arial" w:hAnsi="Arial"/>
      <w:sz w:val="24"/>
      <w:lang w:val="sv-SE"/>
    </w:rPr>
    <w:tblPr/>
  </w:style>
  <w:style w:type="table" w:styleId="TableTheme">
    <w:name w:val="Table Theme"/>
    <w:basedOn w:val="TableNormal"/>
    <w:uiPriority w:val="99"/>
    <w:semiHidden/>
    <w:unhideWhenUsed/>
    <w:rsid w:val="009E1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7852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658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6">
    <w:name w:val="List Table 2 Accent 6"/>
    <w:basedOn w:val="TableNormal"/>
    <w:uiPriority w:val="47"/>
    <w:rsid w:val="0013719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5">
    <w:name w:val="Grid Table 1 Light Accent 5"/>
    <w:basedOn w:val="TableNormal"/>
    <w:uiPriority w:val="46"/>
    <w:rsid w:val="00BB5F9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00697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urfulAccent1">
    <w:name w:val="Grid Table 6 Colorful Accent 1"/>
    <w:basedOn w:val="TableNormal"/>
    <w:uiPriority w:val="51"/>
    <w:rsid w:val="0000697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3">
    <w:name w:val="Grid Table 6 Colorful Accent 3"/>
    <w:basedOn w:val="TableNormal"/>
    <w:uiPriority w:val="51"/>
    <w:rsid w:val="00C83B3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6">
    <w:name w:val="Grid Table 6 Colorful Accent 6"/>
    <w:basedOn w:val="TableNormal"/>
    <w:uiPriority w:val="51"/>
    <w:rsid w:val="00C83B3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0D68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6">
    <w:name w:val="Grid Table 1 Light Accent 6"/>
    <w:basedOn w:val="TableNormal"/>
    <w:uiPriority w:val="46"/>
    <w:rsid w:val="0030420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61B7"/>
  </w:style>
  <w:style w:type="table" w:styleId="TableGridLight">
    <w:name w:val="Grid Table Light"/>
    <w:basedOn w:val="TableNormal"/>
    <w:uiPriority w:val="40"/>
    <w:rsid w:val="009432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9432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92053C"/>
    <w:pPr>
      <w:spacing w:after="0" w:line="240" w:lineRule="auto"/>
      <w:ind w:left="20" w:right="28" w:hanging="10"/>
      <w:jc w:val="both"/>
    </w:pPr>
    <w:rPr>
      <w:rFonts w:ascii="Calibri" w:eastAsia="Calibri" w:hAnsi="Calibri" w:cs="Calibri"/>
      <w:color w:val="000000"/>
      <w:sz w:val="20"/>
      <w:szCs w:val="20"/>
      <w:lang w:val="fr-CD" w:eastAsia="fr-CD"/>
    </w:rPr>
  </w:style>
  <w:style w:type="character" w:customStyle="1" w:styleId="FootnoteTextChar">
    <w:name w:val="Footnote Text Char"/>
    <w:basedOn w:val="DefaultParagraphFont"/>
    <w:link w:val="FootnoteText"/>
    <w:uiPriority w:val="99"/>
    <w:semiHidden/>
    <w:rsid w:val="0092053C"/>
    <w:rPr>
      <w:rFonts w:ascii="Calibri" w:eastAsia="Calibri" w:hAnsi="Calibri" w:cs="Calibri"/>
      <w:color w:val="000000"/>
      <w:sz w:val="20"/>
      <w:szCs w:val="20"/>
      <w:lang w:val="fr-CD" w:eastAsia="fr-CD"/>
    </w:rPr>
  </w:style>
  <w:style w:type="character" w:styleId="FootnoteReference">
    <w:name w:val="footnote reference"/>
    <w:uiPriority w:val="99"/>
    <w:semiHidden/>
    <w:rsid w:val="0092053C"/>
    <w:rPr>
      <w:i/>
      <w:iCs/>
      <w:sz w:val="20"/>
      <w:vertAlign w:val="superscript"/>
      <w:lang w:val="fr-FR" w:eastAsia="fr-FR"/>
    </w:rPr>
  </w:style>
  <w:style w:type="character" w:styleId="CommentReference">
    <w:name w:val="annotation reference"/>
    <w:basedOn w:val="DefaultParagraphFont"/>
    <w:uiPriority w:val="99"/>
    <w:semiHidden/>
    <w:unhideWhenUsed/>
    <w:rsid w:val="00111A36"/>
    <w:rPr>
      <w:sz w:val="16"/>
      <w:szCs w:val="16"/>
    </w:rPr>
  </w:style>
  <w:style w:type="paragraph" w:styleId="CommentText">
    <w:name w:val="annotation text"/>
    <w:basedOn w:val="Normal"/>
    <w:link w:val="CommentTextChar"/>
    <w:uiPriority w:val="99"/>
    <w:semiHidden/>
    <w:unhideWhenUsed/>
    <w:rsid w:val="00111A36"/>
    <w:pPr>
      <w:spacing w:line="240" w:lineRule="auto"/>
    </w:pPr>
    <w:rPr>
      <w:sz w:val="20"/>
      <w:szCs w:val="20"/>
    </w:rPr>
  </w:style>
  <w:style w:type="character" w:customStyle="1" w:styleId="CommentTextChar">
    <w:name w:val="Comment Text Char"/>
    <w:basedOn w:val="DefaultParagraphFont"/>
    <w:link w:val="CommentText"/>
    <w:uiPriority w:val="99"/>
    <w:semiHidden/>
    <w:rsid w:val="00111A36"/>
    <w:rPr>
      <w:sz w:val="20"/>
      <w:szCs w:val="20"/>
    </w:rPr>
  </w:style>
  <w:style w:type="paragraph" w:styleId="CommentSubject">
    <w:name w:val="annotation subject"/>
    <w:basedOn w:val="CommentText"/>
    <w:next w:val="CommentText"/>
    <w:link w:val="CommentSubjectChar"/>
    <w:uiPriority w:val="99"/>
    <w:semiHidden/>
    <w:unhideWhenUsed/>
    <w:rsid w:val="00111A36"/>
    <w:rPr>
      <w:b/>
      <w:bCs/>
    </w:rPr>
  </w:style>
  <w:style w:type="character" w:customStyle="1" w:styleId="CommentSubjectChar">
    <w:name w:val="Comment Subject Char"/>
    <w:basedOn w:val="CommentTextChar"/>
    <w:link w:val="CommentSubject"/>
    <w:uiPriority w:val="99"/>
    <w:semiHidden/>
    <w:rsid w:val="00111A36"/>
    <w:rPr>
      <w:b/>
      <w:bCs/>
      <w:sz w:val="20"/>
      <w:szCs w:val="20"/>
    </w:rPr>
  </w:style>
  <w:style w:type="character" w:customStyle="1" w:styleId="Heading3Char">
    <w:name w:val="Heading 3 Char"/>
    <w:basedOn w:val="DefaultParagraphFont"/>
    <w:link w:val="Heading3"/>
    <w:uiPriority w:val="9"/>
    <w:semiHidden/>
    <w:rsid w:val="008E422F"/>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0B22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2E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4F3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207">
      <w:bodyDiv w:val="1"/>
      <w:marLeft w:val="0"/>
      <w:marRight w:val="0"/>
      <w:marTop w:val="0"/>
      <w:marBottom w:val="0"/>
      <w:divBdr>
        <w:top w:val="none" w:sz="0" w:space="0" w:color="auto"/>
        <w:left w:val="none" w:sz="0" w:space="0" w:color="auto"/>
        <w:bottom w:val="none" w:sz="0" w:space="0" w:color="auto"/>
        <w:right w:val="none" w:sz="0" w:space="0" w:color="auto"/>
      </w:divBdr>
      <w:divsChild>
        <w:div w:id="394859034">
          <w:marLeft w:val="0"/>
          <w:marRight w:val="0"/>
          <w:marTop w:val="0"/>
          <w:marBottom w:val="0"/>
          <w:divBdr>
            <w:top w:val="none" w:sz="0" w:space="0" w:color="auto"/>
            <w:left w:val="none" w:sz="0" w:space="0" w:color="auto"/>
            <w:bottom w:val="none" w:sz="0" w:space="0" w:color="auto"/>
            <w:right w:val="none" w:sz="0" w:space="0" w:color="auto"/>
          </w:divBdr>
          <w:divsChild>
            <w:div w:id="2129278220">
              <w:marLeft w:val="0"/>
              <w:marRight w:val="0"/>
              <w:marTop w:val="0"/>
              <w:marBottom w:val="0"/>
              <w:divBdr>
                <w:top w:val="none" w:sz="0" w:space="0" w:color="auto"/>
                <w:left w:val="none" w:sz="0" w:space="0" w:color="auto"/>
                <w:bottom w:val="none" w:sz="0" w:space="0" w:color="auto"/>
                <w:right w:val="none" w:sz="0" w:space="0" w:color="auto"/>
              </w:divBdr>
              <w:divsChild>
                <w:div w:id="1046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5604">
      <w:bodyDiv w:val="1"/>
      <w:marLeft w:val="0"/>
      <w:marRight w:val="0"/>
      <w:marTop w:val="0"/>
      <w:marBottom w:val="0"/>
      <w:divBdr>
        <w:top w:val="none" w:sz="0" w:space="0" w:color="auto"/>
        <w:left w:val="none" w:sz="0" w:space="0" w:color="auto"/>
        <w:bottom w:val="none" w:sz="0" w:space="0" w:color="auto"/>
        <w:right w:val="none" w:sz="0" w:space="0" w:color="auto"/>
      </w:divBdr>
      <w:divsChild>
        <w:div w:id="1298678602">
          <w:marLeft w:val="0"/>
          <w:marRight w:val="0"/>
          <w:marTop w:val="0"/>
          <w:marBottom w:val="0"/>
          <w:divBdr>
            <w:top w:val="none" w:sz="0" w:space="0" w:color="auto"/>
            <w:left w:val="none" w:sz="0" w:space="0" w:color="auto"/>
            <w:bottom w:val="none" w:sz="0" w:space="0" w:color="auto"/>
            <w:right w:val="none" w:sz="0" w:space="0" w:color="auto"/>
          </w:divBdr>
          <w:divsChild>
            <w:div w:id="669450692">
              <w:marLeft w:val="0"/>
              <w:marRight w:val="0"/>
              <w:marTop w:val="0"/>
              <w:marBottom w:val="0"/>
              <w:divBdr>
                <w:top w:val="none" w:sz="0" w:space="0" w:color="auto"/>
                <w:left w:val="none" w:sz="0" w:space="0" w:color="auto"/>
                <w:bottom w:val="none" w:sz="0" w:space="0" w:color="auto"/>
                <w:right w:val="none" w:sz="0" w:space="0" w:color="auto"/>
              </w:divBdr>
              <w:divsChild>
                <w:div w:id="9433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1735">
      <w:bodyDiv w:val="1"/>
      <w:marLeft w:val="0"/>
      <w:marRight w:val="0"/>
      <w:marTop w:val="0"/>
      <w:marBottom w:val="0"/>
      <w:divBdr>
        <w:top w:val="none" w:sz="0" w:space="0" w:color="auto"/>
        <w:left w:val="none" w:sz="0" w:space="0" w:color="auto"/>
        <w:bottom w:val="none" w:sz="0" w:space="0" w:color="auto"/>
        <w:right w:val="none" w:sz="0" w:space="0" w:color="auto"/>
      </w:divBdr>
      <w:divsChild>
        <w:div w:id="1552229909">
          <w:marLeft w:val="0"/>
          <w:marRight w:val="0"/>
          <w:marTop w:val="0"/>
          <w:marBottom w:val="0"/>
          <w:divBdr>
            <w:top w:val="none" w:sz="0" w:space="0" w:color="auto"/>
            <w:left w:val="none" w:sz="0" w:space="0" w:color="auto"/>
            <w:bottom w:val="none" w:sz="0" w:space="0" w:color="auto"/>
            <w:right w:val="none" w:sz="0" w:space="0" w:color="auto"/>
          </w:divBdr>
          <w:divsChild>
            <w:div w:id="1218861218">
              <w:marLeft w:val="0"/>
              <w:marRight w:val="0"/>
              <w:marTop w:val="0"/>
              <w:marBottom w:val="0"/>
              <w:divBdr>
                <w:top w:val="none" w:sz="0" w:space="0" w:color="auto"/>
                <w:left w:val="none" w:sz="0" w:space="0" w:color="auto"/>
                <w:bottom w:val="none" w:sz="0" w:space="0" w:color="auto"/>
                <w:right w:val="none" w:sz="0" w:space="0" w:color="auto"/>
              </w:divBdr>
              <w:divsChild>
                <w:div w:id="7203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9262">
      <w:bodyDiv w:val="1"/>
      <w:marLeft w:val="0"/>
      <w:marRight w:val="0"/>
      <w:marTop w:val="0"/>
      <w:marBottom w:val="0"/>
      <w:divBdr>
        <w:top w:val="none" w:sz="0" w:space="0" w:color="auto"/>
        <w:left w:val="none" w:sz="0" w:space="0" w:color="auto"/>
        <w:bottom w:val="none" w:sz="0" w:space="0" w:color="auto"/>
        <w:right w:val="none" w:sz="0" w:space="0" w:color="auto"/>
      </w:divBdr>
      <w:divsChild>
        <w:div w:id="553270523">
          <w:marLeft w:val="0"/>
          <w:marRight w:val="0"/>
          <w:marTop w:val="0"/>
          <w:marBottom w:val="0"/>
          <w:divBdr>
            <w:top w:val="none" w:sz="0" w:space="0" w:color="auto"/>
            <w:left w:val="none" w:sz="0" w:space="0" w:color="auto"/>
            <w:bottom w:val="none" w:sz="0" w:space="0" w:color="auto"/>
            <w:right w:val="none" w:sz="0" w:space="0" w:color="auto"/>
          </w:divBdr>
          <w:divsChild>
            <w:div w:id="506946611">
              <w:marLeft w:val="0"/>
              <w:marRight w:val="0"/>
              <w:marTop w:val="0"/>
              <w:marBottom w:val="0"/>
              <w:divBdr>
                <w:top w:val="none" w:sz="0" w:space="0" w:color="auto"/>
                <w:left w:val="none" w:sz="0" w:space="0" w:color="auto"/>
                <w:bottom w:val="none" w:sz="0" w:space="0" w:color="auto"/>
                <w:right w:val="none" w:sz="0" w:space="0" w:color="auto"/>
              </w:divBdr>
              <w:divsChild>
                <w:div w:id="1918056045">
                  <w:marLeft w:val="0"/>
                  <w:marRight w:val="0"/>
                  <w:marTop w:val="0"/>
                  <w:marBottom w:val="0"/>
                  <w:divBdr>
                    <w:top w:val="none" w:sz="0" w:space="0" w:color="auto"/>
                    <w:left w:val="none" w:sz="0" w:space="0" w:color="auto"/>
                    <w:bottom w:val="none" w:sz="0" w:space="0" w:color="auto"/>
                    <w:right w:val="none" w:sz="0" w:space="0" w:color="auto"/>
                  </w:divBdr>
                  <w:divsChild>
                    <w:div w:id="13753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12505">
      <w:bodyDiv w:val="1"/>
      <w:marLeft w:val="0"/>
      <w:marRight w:val="0"/>
      <w:marTop w:val="0"/>
      <w:marBottom w:val="0"/>
      <w:divBdr>
        <w:top w:val="none" w:sz="0" w:space="0" w:color="auto"/>
        <w:left w:val="none" w:sz="0" w:space="0" w:color="auto"/>
        <w:bottom w:val="none" w:sz="0" w:space="0" w:color="auto"/>
        <w:right w:val="none" w:sz="0" w:space="0" w:color="auto"/>
      </w:divBdr>
      <w:divsChild>
        <w:div w:id="1065301143">
          <w:marLeft w:val="0"/>
          <w:marRight w:val="0"/>
          <w:marTop w:val="0"/>
          <w:marBottom w:val="0"/>
          <w:divBdr>
            <w:top w:val="none" w:sz="0" w:space="0" w:color="auto"/>
            <w:left w:val="none" w:sz="0" w:space="0" w:color="auto"/>
            <w:bottom w:val="none" w:sz="0" w:space="0" w:color="auto"/>
            <w:right w:val="none" w:sz="0" w:space="0" w:color="auto"/>
          </w:divBdr>
          <w:divsChild>
            <w:div w:id="194974669">
              <w:marLeft w:val="0"/>
              <w:marRight w:val="0"/>
              <w:marTop w:val="0"/>
              <w:marBottom w:val="0"/>
              <w:divBdr>
                <w:top w:val="none" w:sz="0" w:space="0" w:color="auto"/>
                <w:left w:val="none" w:sz="0" w:space="0" w:color="auto"/>
                <w:bottom w:val="none" w:sz="0" w:space="0" w:color="auto"/>
                <w:right w:val="none" w:sz="0" w:space="0" w:color="auto"/>
              </w:divBdr>
              <w:divsChild>
                <w:div w:id="1845437359">
                  <w:marLeft w:val="0"/>
                  <w:marRight w:val="0"/>
                  <w:marTop w:val="0"/>
                  <w:marBottom w:val="0"/>
                  <w:divBdr>
                    <w:top w:val="none" w:sz="0" w:space="0" w:color="auto"/>
                    <w:left w:val="none" w:sz="0" w:space="0" w:color="auto"/>
                    <w:bottom w:val="none" w:sz="0" w:space="0" w:color="auto"/>
                    <w:right w:val="none" w:sz="0" w:space="0" w:color="auto"/>
                  </w:divBdr>
                  <w:divsChild>
                    <w:div w:id="3158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42736">
      <w:bodyDiv w:val="1"/>
      <w:marLeft w:val="0"/>
      <w:marRight w:val="0"/>
      <w:marTop w:val="0"/>
      <w:marBottom w:val="0"/>
      <w:divBdr>
        <w:top w:val="none" w:sz="0" w:space="0" w:color="auto"/>
        <w:left w:val="none" w:sz="0" w:space="0" w:color="auto"/>
        <w:bottom w:val="none" w:sz="0" w:space="0" w:color="auto"/>
        <w:right w:val="none" w:sz="0" w:space="0" w:color="auto"/>
      </w:divBdr>
      <w:divsChild>
        <w:div w:id="772164797">
          <w:marLeft w:val="0"/>
          <w:marRight w:val="0"/>
          <w:marTop w:val="0"/>
          <w:marBottom w:val="0"/>
          <w:divBdr>
            <w:top w:val="none" w:sz="0" w:space="0" w:color="auto"/>
            <w:left w:val="none" w:sz="0" w:space="0" w:color="auto"/>
            <w:bottom w:val="none" w:sz="0" w:space="0" w:color="auto"/>
            <w:right w:val="none" w:sz="0" w:space="0" w:color="auto"/>
          </w:divBdr>
          <w:divsChild>
            <w:div w:id="66735324">
              <w:marLeft w:val="0"/>
              <w:marRight w:val="0"/>
              <w:marTop w:val="0"/>
              <w:marBottom w:val="0"/>
              <w:divBdr>
                <w:top w:val="none" w:sz="0" w:space="0" w:color="auto"/>
                <w:left w:val="none" w:sz="0" w:space="0" w:color="auto"/>
                <w:bottom w:val="none" w:sz="0" w:space="0" w:color="auto"/>
                <w:right w:val="none" w:sz="0" w:space="0" w:color="auto"/>
              </w:divBdr>
              <w:divsChild>
                <w:div w:id="14937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2403">
      <w:bodyDiv w:val="1"/>
      <w:marLeft w:val="0"/>
      <w:marRight w:val="0"/>
      <w:marTop w:val="0"/>
      <w:marBottom w:val="0"/>
      <w:divBdr>
        <w:top w:val="none" w:sz="0" w:space="0" w:color="auto"/>
        <w:left w:val="none" w:sz="0" w:space="0" w:color="auto"/>
        <w:bottom w:val="none" w:sz="0" w:space="0" w:color="auto"/>
        <w:right w:val="none" w:sz="0" w:space="0" w:color="auto"/>
      </w:divBdr>
    </w:div>
    <w:div w:id="457920792">
      <w:bodyDiv w:val="1"/>
      <w:marLeft w:val="0"/>
      <w:marRight w:val="0"/>
      <w:marTop w:val="0"/>
      <w:marBottom w:val="0"/>
      <w:divBdr>
        <w:top w:val="none" w:sz="0" w:space="0" w:color="auto"/>
        <w:left w:val="none" w:sz="0" w:space="0" w:color="auto"/>
        <w:bottom w:val="none" w:sz="0" w:space="0" w:color="auto"/>
        <w:right w:val="none" w:sz="0" w:space="0" w:color="auto"/>
      </w:divBdr>
      <w:divsChild>
        <w:div w:id="1231846289">
          <w:marLeft w:val="0"/>
          <w:marRight w:val="0"/>
          <w:marTop w:val="0"/>
          <w:marBottom w:val="0"/>
          <w:divBdr>
            <w:top w:val="none" w:sz="0" w:space="0" w:color="auto"/>
            <w:left w:val="none" w:sz="0" w:space="0" w:color="auto"/>
            <w:bottom w:val="none" w:sz="0" w:space="0" w:color="auto"/>
            <w:right w:val="none" w:sz="0" w:space="0" w:color="auto"/>
          </w:divBdr>
          <w:divsChild>
            <w:div w:id="1702169262">
              <w:marLeft w:val="0"/>
              <w:marRight w:val="0"/>
              <w:marTop w:val="0"/>
              <w:marBottom w:val="0"/>
              <w:divBdr>
                <w:top w:val="none" w:sz="0" w:space="0" w:color="auto"/>
                <w:left w:val="none" w:sz="0" w:space="0" w:color="auto"/>
                <w:bottom w:val="none" w:sz="0" w:space="0" w:color="auto"/>
                <w:right w:val="none" w:sz="0" w:space="0" w:color="auto"/>
              </w:divBdr>
              <w:divsChild>
                <w:div w:id="264113299">
                  <w:marLeft w:val="0"/>
                  <w:marRight w:val="0"/>
                  <w:marTop w:val="0"/>
                  <w:marBottom w:val="0"/>
                  <w:divBdr>
                    <w:top w:val="none" w:sz="0" w:space="0" w:color="auto"/>
                    <w:left w:val="none" w:sz="0" w:space="0" w:color="auto"/>
                    <w:bottom w:val="none" w:sz="0" w:space="0" w:color="auto"/>
                    <w:right w:val="none" w:sz="0" w:space="0" w:color="auto"/>
                  </w:divBdr>
                  <w:divsChild>
                    <w:div w:id="7089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2602">
      <w:bodyDiv w:val="1"/>
      <w:marLeft w:val="0"/>
      <w:marRight w:val="0"/>
      <w:marTop w:val="0"/>
      <w:marBottom w:val="0"/>
      <w:divBdr>
        <w:top w:val="none" w:sz="0" w:space="0" w:color="auto"/>
        <w:left w:val="none" w:sz="0" w:space="0" w:color="auto"/>
        <w:bottom w:val="none" w:sz="0" w:space="0" w:color="auto"/>
        <w:right w:val="none" w:sz="0" w:space="0" w:color="auto"/>
      </w:divBdr>
      <w:divsChild>
        <w:div w:id="1603999052">
          <w:marLeft w:val="0"/>
          <w:marRight w:val="0"/>
          <w:marTop w:val="0"/>
          <w:marBottom w:val="0"/>
          <w:divBdr>
            <w:top w:val="none" w:sz="0" w:space="0" w:color="auto"/>
            <w:left w:val="none" w:sz="0" w:space="0" w:color="auto"/>
            <w:bottom w:val="none" w:sz="0" w:space="0" w:color="auto"/>
            <w:right w:val="none" w:sz="0" w:space="0" w:color="auto"/>
          </w:divBdr>
          <w:divsChild>
            <w:div w:id="1823348323">
              <w:marLeft w:val="0"/>
              <w:marRight w:val="0"/>
              <w:marTop w:val="0"/>
              <w:marBottom w:val="0"/>
              <w:divBdr>
                <w:top w:val="none" w:sz="0" w:space="0" w:color="auto"/>
                <w:left w:val="none" w:sz="0" w:space="0" w:color="auto"/>
                <w:bottom w:val="none" w:sz="0" w:space="0" w:color="auto"/>
                <w:right w:val="none" w:sz="0" w:space="0" w:color="auto"/>
              </w:divBdr>
              <w:divsChild>
                <w:div w:id="15258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99102">
      <w:bodyDiv w:val="1"/>
      <w:marLeft w:val="0"/>
      <w:marRight w:val="0"/>
      <w:marTop w:val="0"/>
      <w:marBottom w:val="0"/>
      <w:divBdr>
        <w:top w:val="none" w:sz="0" w:space="0" w:color="auto"/>
        <w:left w:val="none" w:sz="0" w:space="0" w:color="auto"/>
        <w:bottom w:val="none" w:sz="0" w:space="0" w:color="auto"/>
        <w:right w:val="none" w:sz="0" w:space="0" w:color="auto"/>
      </w:divBdr>
      <w:divsChild>
        <w:div w:id="1309434904">
          <w:marLeft w:val="0"/>
          <w:marRight w:val="0"/>
          <w:marTop w:val="0"/>
          <w:marBottom w:val="0"/>
          <w:divBdr>
            <w:top w:val="none" w:sz="0" w:space="0" w:color="auto"/>
            <w:left w:val="none" w:sz="0" w:space="0" w:color="auto"/>
            <w:bottom w:val="none" w:sz="0" w:space="0" w:color="auto"/>
            <w:right w:val="none" w:sz="0" w:space="0" w:color="auto"/>
          </w:divBdr>
          <w:divsChild>
            <w:div w:id="355008948">
              <w:marLeft w:val="0"/>
              <w:marRight w:val="0"/>
              <w:marTop w:val="0"/>
              <w:marBottom w:val="0"/>
              <w:divBdr>
                <w:top w:val="none" w:sz="0" w:space="0" w:color="auto"/>
                <w:left w:val="none" w:sz="0" w:space="0" w:color="auto"/>
                <w:bottom w:val="none" w:sz="0" w:space="0" w:color="auto"/>
                <w:right w:val="none" w:sz="0" w:space="0" w:color="auto"/>
              </w:divBdr>
              <w:divsChild>
                <w:div w:id="595792587">
                  <w:marLeft w:val="0"/>
                  <w:marRight w:val="0"/>
                  <w:marTop w:val="0"/>
                  <w:marBottom w:val="0"/>
                  <w:divBdr>
                    <w:top w:val="none" w:sz="0" w:space="0" w:color="auto"/>
                    <w:left w:val="none" w:sz="0" w:space="0" w:color="auto"/>
                    <w:bottom w:val="none" w:sz="0" w:space="0" w:color="auto"/>
                    <w:right w:val="none" w:sz="0" w:space="0" w:color="auto"/>
                  </w:divBdr>
                  <w:divsChild>
                    <w:div w:id="6416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3937">
      <w:bodyDiv w:val="1"/>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sChild>
                <w:div w:id="470097994">
                  <w:marLeft w:val="0"/>
                  <w:marRight w:val="0"/>
                  <w:marTop w:val="0"/>
                  <w:marBottom w:val="0"/>
                  <w:divBdr>
                    <w:top w:val="none" w:sz="0" w:space="0" w:color="auto"/>
                    <w:left w:val="none" w:sz="0" w:space="0" w:color="auto"/>
                    <w:bottom w:val="none" w:sz="0" w:space="0" w:color="auto"/>
                    <w:right w:val="none" w:sz="0" w:space="0" w:color="auto"/>
                  </w:divBdr>
                  <w:divsChild>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43178">
      <w:bodyDiv w:val="1"/>
      <w:marLeft w:val="0"/>
      <w:marRight w:val="0"/>
      <w:marTop w:val="0"/>
      <w:marBottom w:val="0"/>
      <w:divBdr>
        <w:top w:val="none" w:sz="0" w:space="0" w:color="auto"/>
        <w:left w:val="none" w:sz="0" w:space="0" w:color="auto"/>
        <w:bottom w:val="none" w:sz="0" w:space="0" w:color="auto"/>
        <w:right w:val="none" w:sz="0" w:space="0" w:color="auto"/>
      </w:divBdr>
    </w:div>
    <w:div w:id="754479501">
      <w:bodyDiv w:val="1"/>
      <w:marLeft w:val="0"/>
      <w:marRight w:val="0"/>
      <w:marTop w:val="0"/>
      <w:marBottom w:val="0"/>
      <w:divBdr>
        <w:top w:val="none" w:sz="0" w:space="0" w:color="auto"/>
        <w:left w:val="none" w:sz="0" w:space="0" w:color="auto"/>
        <w:bottom w:val="none" w:sz="0" w:space="0" w:color="auto"/>
        <w:right w:val="none" w:sz="0" w:space="0" w:color="auto"/>
      </w:divBdr>
      <w:divsChild>
        <w:div w:id="1869638815">
          <w:marLeft w:val="0"/>
          <w:marRight w:val="0"/>
          <w:marTop w:val="0"/>
          <w:marBottom w:val="0"/>
          <w:divBdr>
            <w:top w:val="none" w:sz="0" w:space="0" w:color="auto"/>
            <w:left w:val="none" w:sz="0" w:space="0" w:color="auto"/>
            <w:bottom w:val="none" w:sz="0" w:space="0" w:color="auto"/>
            <w:right w:val="none" w:sz="0" w:space="0" w:color="auto"/>
          </w:divBdr>
          <w:divsChild>
            <w:div w:id="1963802501">
              <w:marLeft w:val="0"/>
              <w:marRight w:val="0"/>
              <w:marTop w:val="0"/>
              <w:marBottom w:val="0"/>
              <w:divBdr>
                <w:top w:val="none" w:sz="0" w:space="0" w:color="auto"/>
                <w:left w:val="none" w:sz="0" w:space="0" w:color="auto"/>
                <w:bottom w:val="none" w:sz="0" w:space="0" w:color="auto"/>
                <w:right w:val="none" w:sz="0" w:space="0" w:color="auto"/>
              </w:divBdr>
              <w:divsChild>
                <w:div w:id="1190070572">
                  <w:marLeft w:val="0"/>
                  <w:marRight w:val="0"/>
                  <w:marTop w:val="0"/>
                  <w:marBottom w:val="0"/>
                  <w:divBdr>
                    <w:top w:val="none" w:sz="0" w:space="0" w:color="auto"/>
                    <w:left w:val="none" w:sz="0" w:space="0" w:color="auto"/>
                    <w:bottom w:val="none" w:sz="0" w:space="0" w:color="auto"/>
                    <w:right w:val="none" w:sz="0" w:space="0" w:color="auto"/>
                  </w:divBdr>
                  <w:divsChild>
                    <w:div w:id="14134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38421">
      <w:bodyDiv w:val="1"/>
      <w:marLeft w:val="0"/>
      <w:marRight w:val="0"/>
      <w:marTop w:val="0"/>
      <w:marBottom w:val="0"/>
      <w:divBdr>
        <w:top w:val="none" w:sz="0" w:space="0" w:color="auto"/>
        <w:left w:val="none" w:sz="0" w:space="0" w:color="auto"/>
        <w:bottom w:val="none" w:sz="0" w:space="0" w:color="auto"/>
        <w:right w:val="none" w:sz="0" w:space="0" w:color="auto"/>
      </w:divBdr>
    </w:div>
    <w:div w:id="959802501">
      <w:bodyDiv w:val="1"/>
      <w:marLeft w:val="0"/>
      <w:marRight w:val="0"/>
      <w:marTop w:val="0"/>
      <w:marBottom w:val="0"/>
      <w:divBdr>
        <w:top w:val="none" w:sz="0" w:space="0" w:color="auto"/>
        <w:left w:val="none" w:sz="0" w:space="0" w:color="auto"/>
        <w:bottom w:val="none" w:sz="0" w:space="0" w:color="auto"/>
        <w:right w:val="none" w:sz="0" w:space="0" w:color="auto"/>
      </w:divBdr>
    </w:div>
    <w:div w:id="969943935">
      <w:bodyDiv w:val="1"/>
      <w:marLeft w:val="0"/>
      <w:marRight w:val="0"/>
      <w:marTop w:val="0"/>
      <w:marBottom w:val="0"/>
      <w:divBdr>
        <w:top w:val="none" w:sz="0" w:space="0" w:color="auto"/>
        <w:left w:val="none" w:sz="0" w:space="0" w:color="auto"/>
        <w:bottom w:val="none" w:sz="0" w:space="0" w:color="auto"/>
        <w:right w:val="none" w:sz="0" w:space="0" w:color="auto"/>
      </w:divBdr>
      <w:divsChild>
        <w:div w:id="1487240766">
          <w:marLeft w:val="0"/>
          <w:marRight w:val="0"/>
          <w:marTop w:val="0"/>
          <w:marBottom w:val="0"/>
          <w:divBdr>
            <w:top w:val="none" w:sz="0" w:space="0" w:color="auto"/>
            <w:left w:val="none" w:sz="0" w:space="0" w:color="auto"/>
            <w:bottom w:val="none" w:sz="0" w:space="0" w:color="auto"/>
            <w:right w:val="none" w:sz="0" w:space="0" w:color="auto"/>
          </w:divBdr>
          <w:divsChild>
            <w:div w:id="2022464614">
              <w:marLeft w:val="0"/>
              <w:marRight w:val="0"/>
              <w:marTop w:val="0"/>
              <w:marBottom w:val="0"/>
              <w:divBdr>
                <w:top w:val="none" w:sz="0" w:space="0" w:color="auto"/>
                <w:left w:val="none" w:sz="0" w:space="0" w:color="auto"/>
                <w:bottom w:val="none" w:sz="0" w:space="0" w:color="auto"/>
                <w:right w:val="none" w:sz="0" w:space="0" w:color="auto"/>
              </w:divBdr>
              <w:divsChild>
                <w:div w:id="1799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1696">
      <w:bodyDiv w:val="1"/>
      <w:marLeft w:val="0"/>
      <w:marRight w:val="0"/>
      <w:marTop w:val="0"/>
      <w:marBottom w:val="0"/>
      <w:divBdr>
        <w:top w:val="none" w:sz="0" w:space="0" w:color="auto"/>
        <w:left w:val="none" w:sz="0" w:space="0" w:color="auto"/>
        <w:bottom w:val="none" w:sz="0" w:space="0" w:color="auto"/>
        <w:right w:val="none" w:sz="0" w:space="0" w:color="auto"/>
      </w:divBdr>
      <w:divsChild>
        <w:div w:id="231744416">
          <w:marLeft w:val="0"/>
          <w:marRight w:val="0"/>
          <w:marTop w:val="0"/>
          <w:marBottom w:val="0"/>
          <w:divBdr>
            <w:top w:val="none" w:sz="0" w:space="0" w:color="auto"/>
            <w:left w:val="none" w:sz="0" w:space="0" w:color="auto"/>
            <w:bottom w:val="none" w:sz="0" w:space="0" w:color="auto"/>
            <w:right w:val="none" w:sz="0" w:space="0" w:color="auto"/>
          </w:divBdr>
          <w:divsChild>
            <w:div w:id="1485973127">
              <w:marLeft w:val="0"/>
              <w:marRight w:val="0"/>
              <w:marTop w:val="0"/>
              <w:marBottom w:val="0"/>
              <w:divBdr>
                <w:top w:val="none" w:sz="0" w:space="0" w:color="auto"/>
                <w:left w:val="none" w:sz="0" w:space="0" w:color="auto"/>
                <w:bottom w:val="none" w:sz="0" w:space="0" w:color="auto"/>
                <w:right w:val="none" w:sz="0" w:space="0" w:color="auto"/>
              </w:divBdr>
              <w:divsChild>
                <w:div w:id="8574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3414">
      <w:bodyDiv w:val="1"/>
      <w:marLeft w:val="0"/>
      <w:marRight w:val="0"/>
      <w:marTop w:val="0"/>
      <w:marBottom w:val="0"/>
      <w:divBdr>
        <w:top w:val="none" w:sz="0" w:space="0" w:color="auto"/>
        <w:left w:val="none" w:sz="0" w:space="0" w:color="auto"/>
        <w:bottom w:val="none" w:sz="0" w:space="0" w:color="auto"/>
        <w:right w:val="none" w:sz="0" w:space="0" w:color="auto"/>
      </w:divBdr>
      <w:divsChild>
        <w:div w:id="852113166">
          <w:marLeft w:val="0"/>
          <w:marRight w:val="0"/>
          <w:marTop w:val="0"/>
          <w:marBottom w:val="0"/>
          <w:divBdr>
            <w:top w:val="none" w:sz="0" w:space="0" w:color="auto"/>
            <w:left w:val="none" w:sz="0" w:space="0" w:color="auto"/>
            <w:bottom w:val="none" w:sz="0" w:space="0" w:color="auto"/>
            <w:right w:val="none" w:sz="0" w:space="0" w:color="auto"/>
          </w:divBdr>
          <w:divsChild>
            <w:div w:id="559294691">
              <w:marLeft w:val="0"/>
              <w:marRight w:val="0"/>
              <w:marTop w:val="0"/>
              <w:marBottom w:val="0"/>
              <w:divBdr>
                <w:top w:val="none" w:sz="0" w:space="0" w:color="auto"/>
                <w:left w:val="none" w:sz="0" w:space="0" w:color="auto"/>
                <w:bottom w:val="none" w:sz="0" w:space="0" w:color="auto"/>
                <w:right w:val="none" w:sz="0" w:space="0" w:color="auto"/>
              </w:divBdr>
              <w:divsChild>
                <w:div w:id="20007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9178">
      <w:bodyDiv w:val="1"/>
      <w:marLeft w:val="0"/>
      <w:marRight w:val="0"/>
      <w:marTop w:val="0"/>
      <w:marBottom w:val="0"/>
      <w:divBdr>
        <w:top w:val="none" w:sz="0" w:space="0" w:color="auto"/>
        <w:left w:val="none" w:sz="0" w:space="0" w:color="auto"/>
        <w:bottom w:val="none" w:sz="0" w:space="0" w:color="auto"/>
        <w:right w:val="none" w:sz="0" w:space="0" w:color="auto"/>
      </w:divBdr>
      <w:divsChild>
        <w:div w:id="996153821">
          <w:marLeft w:val="0"/>
          <w:marRight w:val="0"/>
          <w:marTop w:val="0"/>
          <w:marBottom w:val="0"/>
          <w:divBdr>
            <w:top w:val="none" w:sz="0" w:space="0" w:color="auto"/>
            <w:left w:val="none" w:sz="0" w:space="0" w:color="auto"/>
            <w:bottom w:val="none" w:sz="0" w:space="0" w:color="auto"/>
            <w:right w:val="none" w:sz="0" w:space="0" w:color="auto"/>
          </w:divBdr>
          <w:divsChild>
            <w:div w:id="1867938332">
              <w:marLeft w:val="0"/>
              <w:marRight w:val="0"/>
              <w:marTop w:val="0"/>
              <w:marBottom w:val="0"/>
              <w:divBdr>
                <w:top w:val="none" w:sz="0" w:space="0" w:color="auto"/>
                <w:left w:val="none" w:sz="0" w:space="0" w:color="auto"/>
                <w:bottom w:val="none" w:sz="0" w:space="0" w:color="auto"/>
                <w:right w:val="none" w:sz="0" w:space="0" w:color="auto"/>
              </w:divBdr>
              <w:divsChild>
                <w:div w:id="10130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6238">
      <w:bodyDiv w:val="1"/>
      <w:marLeft w:val="0"/>
      <w:marRight w:val="0"/>
      <w:marTop w:val="0"/>
      <w:marBottom w:val="0"/>
      <w:divBdr>
        <w:top w:val="none" w:sz="0" w:space="0" w:color="auto"/>
        <w:left w:val="none" w:sz="0" w:space="0" w:color="auto"/>
        <w:bottom w:val="none" w:sz="0" w:space="0" w:color="auto"/>
        <w:right w:val="none" w:sz="0" w:space="0" w:color="auto"/>
      </w:divBdr>
      <w:divsChild>
        <w:div w:id="41250959">
          <w:marLeft w:val="0"/>
          <w:marRight w:val="0"/>
          <w:marTop w:val="0"/>
          <w:marBottom w:val="0"/>
          <w:divBdr>
            <w:top w:val="none" w:sz="0" w:space="0" w:color="auto"/>
            <w:left w:val="none" w:sz="0" w:space="0" w:color="auto"/>
            <w:bottom w:val="none" w:sz="0" w:space="0" w:color="auto"/>
            <w:right w:val="none" w:sz="0" w:space="0" w:color="auto"/>
          </w:divBdr>
          <w:divsChild>
            <w:div w:id="543712270">
              <w:marLeft w:val="0"/>
              <w:marRight w:val="0"/>
              <w:marTop w:val="0"/>
              <w:marBottom w:val="0"/>
              <w:divBdr>
                <w:top w:val="none" w:sz="0" w:space="0" w:color="auto"/>
                <w:left w:val="none" w:sz="0" w:space="0" w:color="auto"/>
                <w:bottom w:val="none" w:sz="0" w:space="0" w:color="auto"/>
                <w:right w:val="none" w:sz="0" w:space="0" w:color="auto"/>
              </w:divBdr>
              <w:divsChild>
                <w:div w:id="163132681">
                  <w:marLeft w:val="0"/>
                  <w:marRight w:val="0"/>
                  <w:marTop w:val="0"/>
                  <w:marBottom w:val="0"/>
                  <w:divBdr>
                    <w:top w:val="none" w:sz="0" w:space="0" w:color="auto"/>
                    <w:left w:val="none" w:sz="0" w:space="0" w:color="auto"/>
                    <w:bottom w:val="none" w:sz="0" w:space="0" w:color="auto"/>
                    <w:right w:val="none" w:sz="0" w:space="0" w:color="auto"/>
                  </w:divBdr>
                  <w:divsChild>
                    <w:div w:id="16514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637537">
      <w:bodyDiv w:val="1"/>
      <w:marLeft w:val="0"/>
      <w:marRight w:val="0"/>
      <w:marTop w:val="0"/>
      <w:marBottom w:val="0"/>
      <w:divBdr>
        <w:top w:val="none" w:sz="0" w:space="0" w:color="auto"/>
        <w:left w:val="none" w:sz="0" w:space="0" w:color="auto"/>
        <w:bottom w:val="none" w:sz="0" w:space="0" w:color="auto"/>
        <w:right w:val="none" w:sz="0" w:space="0" w:color="auto"/>
      </w:divBdr>
      <w:divsChild>
        <w:div w:id="877820645">
          <w:marLeft w:val="0"/>
          <w:marRight w:val="0"/>
          <w:marTop w:val="0"/>
          <w:marBottom w:val="0"/>
          <w:divBdr>
            <w:top w:val="none" w:sz="0" w:space="0" w:color="auto"/>
            <w:left w:val="none" w:sz="0" w:space="0" w:color="auto"/>
            <w:bottom w:val="none" w:sz="0" w:space="0" w:color="auto"/>
            <w:right w:val="none" w:sz="0" w:space="0" w:color="auto"/>
          </w:divBdr>
          <w:divsChild>
            <w:div w:id="1203126761">
              <w:marLeft w:val="0"/>
              <w:marRight w:val="0"/>
              <w:marTop w:val="0"/>
              <w:marBottom w:val="0"/>
              <w:divBdr>
                <w:top w:val="none" w:sz="0" w:space="0" w:color="auto"/>
                <w:left w:val="none" w:sz="0" w:space="0" w:color="auto"/>
                <w:bottom w:val="none" w:sz="0" w:space="0" w:color="auto"/>
                <w:right w:val="none" w:sz="0" w:space="0" w:color="auto"/>
              </w:divBdr>
              <w:divsChild>
                <w:div w:id="1618948315">
                  <w:marLeft w:val="0"/>
                  <w:marRight w:val="0"/>
                  <w:marTop w:val="0"/>
                  <w:marBottom w:val="0"/>
                  <w:divBdr>
                    <w:top w:val="none" w:sz="0" w:space="0" w:color="auto"/>
                    <w:left w:val="none" w:sz="0" w:space="0" w:color="auto"/>
                    <w:bottom w:val="none" w:sz="0" w:space="0" w:color="auto"/>
                    <w:right w:val="none" w:sz="0" w:space="0" w:color="auto"/>
                  </w:divBdr>
                  <w:divsChild>
                    <w:div w:id="18170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24322">
      <w:bodyDiv w:val="1"/>
      <w:marLeft w:val="0"/>
      <w:marRight w:val="0"/>
      <w:marTop w:val="0"/>
      <w:marBottom w:val="0"/>
      <w:divBdr>
        <w:top w:val="none" w:sz="0" w:space="0" w:color="auto"/>
        <w:left w:val="none" w:sz="0" w:space="0" w:color="auto"/>
        <w:bottom w:val="none" w:sz="0" w:space="0" w:color="auto"/>
        <w:right w:val="none" w:sz="0" w:space="0" w:color="auto"/>
      </w:divBdr>
    </w:div>
    <w:div w:id="1222592248">
      <w:bodyDiv w:val="1"/>
      <w:marLeft w:val="0"/>
      <w:marRight w:val="0"/>
      <w:marTop w:val="0"/>
      <w:marBottom w:val="0"/>
      <w:divBdr>
        <w:top w:val="none" w:sz="0" w:space="0" w:color="auto"/>
        <w:left w:val="none" w:sz="0" w:space="0" w:color="auto"/>
        <w:bottom w:val="none" w:sz="0" w:space="0" w:color="auto"/>
        <w:right w:val="none" w:sz="0" w:space="0" w:color="auto"/>
      </w:divBdr>
      <w:divsChild>
        <w:div w:id="1296450633">
          <w:marLeft w:val="0"/>
          <w:marRight w:val="0"/>
          <w:marTop w:val="0"/>
          <w:marBottom w:val="0"/>
          <w:divBdr>
            <w:top w:val="none" w:sz="0" w:space="0" w:color="auto"/>
            <w:left w:val="none" w:sz="0" w:space="0" w:color="auto"/>
            <w:bottom w:val="none" w:sz="0" w:space="0" w:color="auto"/>
            <w:right w:val="none" w:sz="0" w:space="0" w:color="auto"/>
          </w:divBdr>
          <w:divsChild>
            <w:div w:id="1709990173">
              <w:marLeft w:val="0"/>
              <w:marRight w:val="0"/>
              <w:marTop w:val="0"/>
              <w:marBottom w:val="0"/>
              <w:divBdr>
                <w:top w:val="none" w:sz="0" w:space="0" w:color="auto"/>
                <w:left w:val="none" w:sz="0" w:space="0" w:color="auto"/>
                <w:bottom w:val="none" w:sz="0" w:space="0" w:color="auto"/>
                <w:right w:val="none" w:sz="0" w:space="0" w:color="auto"/>
              </w:divBdr>
              <w:divsChild>
                <w:div w:id="373189549">
                  <w:marLeft w:val="0"/>
                  <w:marRight w:val="0"/>
                  <w:marTop w:val="0"/>
                  <w:marBottom w:val="0"/>
                  <w:divBdr>
                    <w:top w:val="none" w:sz="0" w:space="0" w:color="auto"/>
                    <w:left w:val="none" w:sz="0" w:space="0" w:color="auto"/>
                    <w:bottom w:val="none" w:sz="0" w:space="0" w:color="auto"/>
                    <w:right w:val="none" w:sz="0" w:space="0" w:color="auto"/>
                  </w:divBdr>
                  <w:divsChild>
                    <w:div w:id="230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93880">
      <w:bodyDiv w:val="1"/>
      <w:marLeft w:val="0"/>
      <w:marRight w:val="0"/>
      <w:marTop w:val="0"/>
      <w:marBottom w:val="0"/>
      <w:divBdr>
        <w:top w:val="none" w:sz="0" w:space="0" w:color="auto"/>
        <w:left w:val="none" w:sz="0" w:space="0" w:color="auto"/>
        <w:bottom w:val="none" w:sz="0" w:space="0" w:color="auto"/>
        <w:right w:val="none" w:sz="0" w:space="0" w:color="auto"/>
      </w:divBdr>
    </w:div>
    <w:div w:id="1265962142">
      <w:bodyDiv w:val="1"/>
      <w:marLeft w:val="0"/>
      <w:marRight w:val="0"/>
      <w:marTop w:val="0"/>
      <w:marBottom w:val="0"/>
      <w:divBdr>
        <w:top w:val="none" w:sz="0" w:space="0" w:color="auto"/>
        <w:left w:val="none" w:sz="0" w:space="0" w:color="auto"/>
        <w:bottom w:val="none" w:sz="0" w:space="0" w:color="auto"/>
        <w:right w:val="none" w:sz="0" w:space="0" w:color="auto"/>
      </w:divBdr>
      <w:divsChild>
        <w:div w:id="413550215">
          <w:marLeft w:val="0"/>
          <w:marRight w:val="0"/>
          <w:marTop w:val="0"/>
          <w:marBottom w:val="0"/>
          <w:divBdr>
            <w:top w:val="none" w:sz="0" w:space="0" w:color="auto"/>
            <w:left w:val="none" w:sz="0" w:space="0" w:color="auto"/>
            <w:bottom w:val="none" w:sz="0" w:space="0" w:color="auto"/>
            <w:right w:val="none" w:sz="0" w:space="0" w:color="auto"/>
          </w:divBdr>
          <w:divsChild>
            <w:div w:id="52777640">
              <w:marLeft w:val="0"/>
              <w:marRight w:val="0"/>
              <w:marTop w:val="0"/>
              <w:marBottom w:val="0"/>
              <w:divBdr>
                <w:top w:val="none" w:sz="0" w:space="0" w:color="auto"/>
                <w:left w:val="none" w:sz="0" w:space="0" w:color="auto"/>
                <w:bottom w:val="none" w:sz="0" w:space="0" w:color="auto"/>
                <w:right w:val="none" w:sz="0" w:space="0" w:color="auto"/>
              </w:divBdr>
              <w:divsChild>
                <w:div w:id="2120561307">
                  <w:marLeft w:val="0"/>
                  <w:marRight w:val="0"/>
                  <w:marTop w:val="0"/>
                  <w:marBottom w:val="0"/>
                  <w:divBdr>
                    <w:top w:val="none" w:sz="0" w:space="0" w:color="auto"/>
                    <w:left w:val="none" w:sz="0" w:space="0" w:color="auto"/>
                    <w:bottom w:val="none" w:sz="0" w:space="0" w:color="auto"/>
                    <w:right w:val="none" w:sz="0" w:space="0" w:color="auto"/>
                  </w:divBdr>
                  <w:divsChild>
                    <w:div w:id="6463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8087">
      <w:bodyDiv w:val="1"/>
      <w:marLeft w:val="0"/>
      <w:marRight w:val="0"/>
      <w:marTop w:val="0"/>
      <w:marBottom w:val="0"/>
      <w:divBdr>
        <w:top w:val="none" w:sz="0" w:space="0" w:color="auto"/>
        <w:left w:val="none" w:sz="0" w:space="0" w:color="auto"/>
        <w:bottom w:val="none" w:sz="0" w:space="0" w:color="auto"/>
        <w:right w:val="none" w:sz="0" w:space="0" w:color="auto"/>
      </w:divBdr>
    </w:div>
    <w:div w:id="1400787148">
      <w:bodyDiv w:val="1"/>
      <w:marLeft w:val="0"/>
      <w:marRight w:val="0"/>
      <w:marTop w:val="0"/>
      <w:marBottom w:val="0"/>
      <w:divBdr>
        <w:top w:val="none" w:sz="0" w:space="0" w:color="auto"/>
        <w:left w:val="none" w:sz="0" w:space="0" w:color="auto"/>
        <w:bottom w:val="none" w:sz="0" w:space="0" w:color="auto"/>
        <w:right w:val="none" w:sz="0" w:space="0" w:color="auto"/>
      </w:divBdr>
      <w:divsChild>
        <w:div w:id="212739250">
          <w:marLeft w:val="0"/>
          <w:marRight w:val="0"/>
          <w:marTop w:val="0"/>
          <w:marBottom w:val="0"/>
          <w:divBdr>
            <w:top w:val="none" w:sz="0" w:space="0" w:color="auto"/>
            <w:left w:val="none" w:sz="0" w:space="0" w:color="auto"/>
            <w:bottom w:val="none" w:sz="0" w:space="0" w:color="auto"/>
            <w:right w:val="none" w:sz="0" w:space="0" w:color="auto"/>
          </w:divBdr>
          <w:divsChild>
            <w:div w:id="541945884">
              <w:marLeft w:val="0"/>
              <w:marRight w:val="0"/>
              <w:marTop w:val="0"/>
              <w:marBottom w:val="0"/>
              <w:divBdr>
                <w:top w:val="none" w:sz="0" w:space="0" w:color="auto"/>
                <w:left w:val="none" w:sz="0" w:space="0" w:color="auto"/>
                <w:bottom w:val="none" w:sz="0" w:space="0" w:color="auto"/>
                <w:right w:val="none" w:sz="0" w:space="0" w:color="auto"/>
              </w:divBdr>
              <w:divsChild>
                <w:div w:id="8090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52608">
      <w:bodyDiv w:val="1"/>
      <w:marLeft w:val="0"/>
      <w:marRight w:val="0"/>
      <w:marTop w:val="0"/>
      <w:marBottom w:val="0"/>
      <w:divBdr>
        <w:top w:val="none" w:sz="0" w:space="0" w:color="auto"/>
        <w:left w:val="none" w:sz="0" w:space="0" w:color="auto"/>
        <w:bottom w:val="none" w:sz="0" w:space="0" w:color="auto"/>
        <w:right w:val="none" w:sz="0" w:space="0" w:color="auto"/>
      </w:divBdr>
    </w:div>
    <w:div w:id="1599827630">
      <w:bodyDiv w:val="1"/>
      <w:marLeft w:val="0"/>
      <w:marRight w:val="0"/>
      <w:marTop w:val="0"/>
      <w:marBottom w:val="0"/>
      <w:divBdr>
        <w:top w:val="none" w:sz="0" w:space="0" w:color="auto"/>
        <w:left w:val="none" w:sz="0" w:space="0" w:color="auto"/>
        <w:bottom w:val="none" w:sz="0" w:space="0" w:color="auto"/>
        <w:right w:val="none" w:sz="0" w:space="0" w:color="auto"/>
      </w:divBdr>
    </w:div>
    <w:div w:id="1632711693">
      <w:bodyDiv w:val="1"/>
      <w:marLeft w:val="0"/>
      <w:marRight w:val="0"/>
      <w:marTop w:val="0"/>
      <w:marBottom w:val="0"/>
      <w:divBdr>
        <w:top w:val="none" w:sz="0" w:space="0" w:color="auto"/>
        <w:left w:val="none" w:sz="0" w:space="0" w:color="auto"/>
        <w:bottom w:val="none" w:sz="0" w:space="0" w:color="auto"/>
        <w:right w:val="none" w:sz="0" w:space="0" w:color="auto"/>
      </w:divBdr>
      <w:divsChild>
        <w:div w:id="1705517227">
          <w:marLeft w:val="0"/>
          <w:marRight w:val="0"/>
          <w:marTop w:val="0"/>
          <w:marBottom w:val="0"/>
          <w:divBdr>
            <w:top w:val="none" w:sz="0" w:space="0" w:color="auto"/>
            <w:left w:val="none" w:sz="0" w:space="0" w:color="auto"/>
            <w:bottom w:val="none" w:sz="0" w:space="0" w:color="auto"/>
            <w:right w:val="none" w:sz="0" w:space="0" w:color="auto"/>
          </w:divBdr>
          <w:divsChild>
            <w:div w:id="904728673">
              <w:marLeft w:val="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9917">
      <w:bodyDiv w:val="1"/>
      <w:marLeft w:val="0"/>
      <w:marRight w:val="0"/>
      <w:marTop w:val="0"/>
      <w:marBottom w:val="0"/>
      <w:divBdr>
        <w:top w:val="none" w:sz="0" w:space="0" w:color="auto"/>
        <w:left w:val="none" w:sz="0" w:space="0" w:color="auto"/>
        <w:bottom w:val="none" w:sz="0" w:space="0" w:color="auto"/>
        <w:right w:val="none" w:sz="0" w:space="0" w:color="auto"/>
      </w:divBdr>
      <w:divsChild>
        <w:div w:id="135225377">
          <w:marLeft w:val="0"/>
          <w:marRight w:val="0"/>
          <w:marTop w:val="0"/>
          <w:marBottom w:val="0"/>
          <w:divBdr>
            <w:top w:val="none" w:sz="0" w:space="0" w:color="auto"/>
            <w:left w:val="none" w:sz="0" w:space="0" w:color="auto"/>
            <w:bottom w:val="none" w:sz="0" w:space="0" w:color="auto"/>
            <w:right w:val="none" w:sz="0" w:space="0" w:color="auto"/>
          </w:divBdr>
          <w:divsChild>
            <w:div w:id="1018777712">
              <w:marLeft w:val="0"/>
              <w:marRight w:val="0"/>
              <w:marTop w:val="0"/>
              <w:marBottom w:val="0"/>
              <w:divBdr>
                <w:top w:val="none" w:sz="0" w:space="0" w:color="auto"/>
                <w:left w:val="none" w:sz="0" w:space="0" w:color="auto"/>
                <w:bottom w:val="none" w:sz="0" w:space="0" w:color="auto"/>
                <w:right w:val="none" w:sz="0" w:space="0" w:color="auto"/>
              </w:divBdr>
              <w:divsChild>
                <w:div w:id="4029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2113">
      <w:bodyDiv w:val="1"/>
      <w:marLeft w:val="0"/>
      <w:marRight w:val="0"/>
      <w:marTop w:val="0"/>
      <w:marBottom w:val="0"/>
      <w:divBdr>
        <w:top w:val="none" w:sz="0" w:space="0" w:color="auto"/>
        <w:left w:val="none" w:sz="0" w:space="0" w:color="auto"/>
        <w:bottom w:val="none" w:sz="0" w:space="0" w:color="auto"/>
        <w:right w:val="none" w:sz="0" w:space="0" w:color="auto"/>
      </w:divBdr>
      <w:divsChild>
        <w:div w:id="1991247875">
          <w:marLeft w:val="0"/>
          <w:marRight w:val="0"/>
          <w:marTop w:val="0"/>
          <w:marBottom w:val="0"/>
          <w:divBdr>
            <w:top w:val="none" w:sz="0" w:space="0" w:color="auto"/>
            <w:left w:val="none" w:sz="0" w:space="0" w:color="auto"/>
            <w:bottom w:val="none" w:sz="0" w:space="0" w:color="auto"/>
            <w:right w:val="none" w:sz="0" w:space="0" w:color="auto"/>
          </w:divBdr>
          <w:divsChild>
            <w:div w:id="2057731714">
              <w:marLeft w:val="0"/>
              <w:marRight w:val="0"/>
              <w:marTop w:val="0"/>
              <w:marBottom w:val="0"/>
              <w:divBdr>
                <w:top w:val="none" w:sz="0" w:space="0" w:color="auto"/>
                <w:left w:val="none" w:sz="0" w:space="0" w:color="auto"/>
                <w:bottom w:val="none" w:sz="0" w:space="0" w:color="auto"/>
                <w:right w:val="none" w:sz="0" w:space="0" w:color="auto"/>
              </w:divBdr>
              <w:divsChild>
                <w:div w:id="4519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58715">
      <w:bodyDiv w:val="1"/>
      <w:marLeft w:val="0"/>
      <w:marRight w:val="0"/>
      <w:marTop w:val="0"/>
      <w:marBottom w:val="0"/>
      <w:divBdr>
        <w:top w:val="none" w:sz="0" w:space="0" w:color="auto"/>
        <w:left w:val="none" w:sz="0" w:space="0" w:color="auto"/>
        <w:bottom w:val="none" w:sz="0" w:space="0" w:color="auto"/>
        <w:right w:val="none" w:sz="0" w:space="0" w:color="auto"/>
      </w:divBdr>
      <w:divsChild>
        <w:div w:id="1528061247">
          <w:marLeft w:val="0"/>
          <w:marRight w:val="0"/>
          <w:marTop w:val="0"/>
          <w:marBottom w:val="0"/>
          <w:divBdr>
            <w:top w:val="none" w:sz="0" w:space="0" w:color="auto"/>
            <w:left w:val="none" w:sz="0" w:space="0" w:color="auto"/>
            <w:bottom w:val="none" w:sz="0" w:space="0" w:color="auto"/>
            <w:right w:val="none" w:sz="0" w:space="0" w:color="auto"/>
          </w:divBdr>
          <w:divsChild>
            <w:div w:id="859928343">
              <w:marLeft w:val="0"/>
              <w:marRight w:val="0"/>
              <w:marTop w:val="0"/>
              <w:marBottom w:val="0"/>
              <w:divBdr>
                <w:top w:val="none" w:sz="0" w:space="0" w:color="auto"/>
                <w:left w:val="none" w:sz="0" w:space="0" w:color="auto"/>
                <w:bottom w:val="none" w:sz="0" w:space="0" w:color="auto"/>
                <w:right w:val="none" w:sz="0" w:space="0" w:color="auto"/>
              </w:divBdr>
              <w:divsChild>
                <w:div w:id="2103715747">
                  <w:marLeft w:val="0"/>
                  <w:marRight w:val="0"/>
                  <w:marTop w:val="0"/>
                  <w:marBottom w:val="0"/>
                  <w:divBdr>
                    <w:top w:val="none" w:sz="0" w:space="0" w:color="auto"/>
                    <w:left w:val="none" w:sz="0" w:space="0" w:color="auto"/>
                    <w:bottom w:val="none" w:sz="0" w:space="0" w:color="auto"/>
                    <w:right w:val="none" w:sz="0" w:space="0" w:color="auto"/>
                  </w:divBdr>
                  <w:divsChild>
                    <w:div w:id="12556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1206">
      <w:bodyDiv w:val="1"/>
      <w:marLeft w:val="0"/>
      <w:marRight w:val="0"/>
      <w:marTop w:val="0"/>
      <w:marBottom w:val="0"/>
      <w:divBdr>
        <w:top w:val="none" w:sz="0" w:space="0" w:color="auto"/>
        <w:left w:val="none" w:sz="0" w:space="0" w:color="auto"/>
        <w:bottom w:val="none" w:sz="0" w:space="0" w:color="auto"/>
        <w:right w:val="none" w:sz="0" w:space="0" w:color="auto"/>
      </w:divBdr>
      <w:divsChild>
        <w:div w:id="2102555952">
          <w:marLeft w:val="0"/>
          <w:marRight w:val="0"/>
          <w:marTop w:val="0"/>
          <w:marBottom w:val="0"/>
          <w:divBdr>
            <w:top w:val="none" w:sz="0" w:space="0" w:color="auto"/>
            <w:left w:val="none" w:sz="0" w:space="0" w:color="auto"/>
            <w:bottom w:val="none" w:sz="0" w:space="0" w:color="auto"/>
            <w:right w:val="none" w:sz="0" w:space="0" w:color="auto"/>
          </w:divBdr>
          <w:divsChild>
            <w:div w:id="1675957713">
              <w:marLeft w:val="0"/>
              <w:marRight w:val="0"/>
              <w:marTop w:val="0"/>
              <w:marBottom w:val="0"/>
              <w:divBdr>
                <w:top w:val="none" w:sz="0" w:space="0" w:color="auto"/>
                <w:left w:val="none" w:sz="0" w:space="0" w:color="auto"/>
                <w:bottom w:val="none" w:sz="0" w:space="0" w:color="auto"/>
                <w:right w:val="none" w:sz="0" w:space="0" w:color="auto"/>
              </w:divBdr>
              <w:divsChild>
                <w:div w:id="7129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52705">
      <w:bodyDiv w:val="1"/>
      <w:marLeft w:val="0"/>
      <w:marRight w:val="0"/>
      <w:marTop w:val="0"/>
      <w:marBottom w:val="0"/>
      <w:divBdr>
        <w:top w:val="none" w:sz="0" w:space="0" w:color="auto"/>
        <w:left w:val="none" w:sz="0" w:space="0" w:color="auto"/>
        <w:bottom w:val="none" w:sz="0" w:space="0" w:color="auto"/>
        <w:right w:val="none" w:sz="0" w:space="0" w:color="auto"/>
      </w:divBdr>
      <w:divsChild>
        <w:div w:id="362554473">
          <w:marLeft w:val="0"/>
          <w:marRight w:val="0"/>
          <w:marTop w:val="0"/>
          <w:marBottom w:val="0"/>
          <w:divBdr>
            <w:top w:val="none" w:sz="0" w:space="0" w:color="auto"/>
            <w:left w:val="none" w:sz="0" w:space="0" w:color="auto"/>
            <w:bottom w:val="none" w:sz="0" w:space="0" w:color="auto"/>
            <w:right w:val="none" w:sz="0" w:space="0" w:color="auto"/>
          </w:divBdr>
          <w:divsChild>
            <w:div w:id="892305367">
              <w:marLeft w:val="0"/>
              <w:marRight w:val="0"/>
              <w:marTop w:val="0"/>
              <w:marBottom w:val="0"/>
              <w:divBdr>
                <w:top w:val="none" w:sz="0" w:space="0" w:color="auto"/>
                <w:left w:val="none" w:sz="0" w:space="0" w:color="auto"/>
                <w:bottom w:val="none" w:sz="0" w:space="0" w:color="auto"/>
                <w:right w:val="none" w:sz="0" w:space="0" w:color="auto"/>
              </w:divBdr>
              <w:divsChild>
                <w:div w:id="20805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04997">
      <w:bodyDiv w:val="1"/>
      <w:marLeft w:val="0"/>
      <w:marRight w:val="0"/>
      <w:marTop w:val="0"/>
      <w:marBottom w:val="0"/>
      <w:divBdr>
        <w:top w:val="none" w:sz="0" w:space="0" w:color="auto"/>
        <w:left w:val="none" w:sz="0" w:space="0" w:color="auto"/>
        <w:bottom w:val="none" w:sz="0" w:space="0" w:color="auto"/>
        <w:right w:val="none" w:sz="0" w:space="0" w:color="auto"/>
      </w:divBdr>
    </w:div>
    <w:div w:id="1926108102">
      <w:bodyDiv w:val="1"/>
      <w:marLeft w:val="0"/>
      <w:marRight w:val="0"/>
      <w:marTop w:val="0"/>
      <w:marBottom w:val="0"/>
      <w:divBdr>
        <w:top w:val="none" w:sz="0" w:space="0" w:color="auto"/>
        <w:left w:val="none" w:sz="0" w:space="0" w:color="auto"/>
        <w:bottom w:val="none" w:sz="0" w:space="0" w:color="auto"/>
        <w:right w:val="none" w:sz="0" w:space="0" w:color="auto"/>
      </w:divBdr>
    </w:div>
    <w:div w:id="2000187625">
      <w:bodyDiv w:val="1"/>
      <w:marLeft w:val="0"/>
      <w:marRight w:val="0"/>
      <w:marTop w:val="0"/>
      <w:marBottom w:val="0"/>
      <w:divBdr>
        <w:top w:val="none" w:sz="0" w:space="0" w:color="auto"/>
        <w:left w:val="none" w:sz="0" w:space="0" w:color="auto"/>
        <w:bottom w:val="none" w:sz="0" w:space="0" w:color="auto"/>
        <w:right w:val="none" w:sz="0" w:space="0" w:color="auto"/>
      </w:divBdr>
      <w:divsChild>
        <w:div w:id="1806963830">
          <w:marLeft w:val="0"/>
          <w:marRight w:val="0"/>
          <w:marTop w:val="0"/>
          <w:marBottom w:val="0"/>
          <w:divBdr>
            <w:top w:val="none" w:sz="0" w:space="0" w:color="auto"/>
            <w:left w:val="none" w:sz="0" w:space="0" w:color="auto"/>
            <w:bottom w:val="none" w:sz="0" w:space="0" w:color="auto"/>
            <w:right w:val="none" w:sz="0" w:space="0" w:color="auto"/>
          </w:divBdr>
          <w:divsChild>
            <w:div w:id="699747933">
              <w:marLeft w:val="0"/>
              <w:marRight w:val="0"/>
              <w:marTop w:val="0"/>
              <w:marBottom w:val="0"/>
              <w:divBdr>
                <w:top w:val="none" w:sz="0" w:space="0" w:color="auto"/>
                <w:left w:val="none" w:sz="0" w:space="0" w:color="auto"/>
                <w:bottom w:val="none" w:sz="0" w:space="0" w:color="auto"/>
                <w:right w:val="none" w:sz="0" w:space="0" w:color="auto"/>
              </w:divBdr>
              <w:divsChild>
                <w:div w:id="11218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8522">
      <w:bodyDiv w:val="1"/>
      <w:marLeft w:val="0"/>
      <w:marRight w:val="0"/>
      <w:marTop w:val="0"/>
      <w:marBottom w:val="0"/>
      <w:divBdr>
        <w:top w:val="none" w:sz="0" w:space="0" w:color="auto"/>
        <w:left w:val="none" w:sz="0" w:space="0" w:color="auto"/>
        <w:bottom w:val="none" w:sz="0" w:space="0" w:color="auto"/>
        <w:right w:val="none" w:sz="0" w:space="0" w:color="auto"/>
      </w:divBdr>
      <w:divsChild>
        <w:div w:id="570891309">
          <w:marLeft w:val="0"/>
          <w:marRight w:val="0"/>
          <w:marTop w:val="0"/>
          <w:marBottom w:val="0"/>
          <w:divBdr>
            <w:top w:val="none" w:sz="0" w:space="0" w:color="auto"/>
            <w:left w:val="none" w:sz="0" w:space="0" w:color="auto"/>
            <w:bottom w:val="none" w:sz="0" w:space="0" w:color="auto"/>
            <w:right w:val="none" w:sz="0" w:space="0" w:color="auto"/>
          </w:divBdr>
          <w:divsChild>
            <w:div w:id="435902711">
              <w:marLeft w:val="0"/>
              <w:marRight w:val="0"/>
              <w:marTop w:val="0"/>
              <w:marBottom w:val="0"/>
              <w:divBdr>
                <w:top w:val="none" w:sz="0" w:space="0" w:color="auto"/>
                <w:left w:val="none" w:sz="0" w:space="0" w:color="auto"/>
                <w:bottom w:val="none" w:sz="0" w:space="0" w:color="auto"/>
                <w:right w:val="none" w:sz="0" w:space="0" w:color="auto"/>
              </w:divBdr>
              <w:divsChild>
                <w:div w:id="1178036012">
                  <w:marLeft w:val="0"/>
                  <w:marRight w:val="0"/>
                  <w:marTop w:val="0"/>
                  <w:marBottom w:val="0"/>
                  <w:divBdr>
                    <w:top w:val="none" w:sz="0" w:space="0" w:color="auto"/>
                    <w:left w:val="none" w:sz="0" w:space="0" w:color="auto"/>
                    <w:bottom w:val="none" w:sz="0" w:space="0" w:color="auto"/>
                    <w:right w:val="none" w:sz="0" w:space="0" w:color="auto"/>
                  </w:divBdr>
                  <w:divsChild>
                    <w:div w:id="8654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52026">
      <w:bodyDiv w:val="1"/>
      <w:marLeft w:val="0"/>
      <w:marRight w:val="0"/>
      <w:marTop w:val="0"/>
      <w:marBottom w:val="0"/>
      <w:divBdr>
        <w:top w:val="none" w:sz="0" w:space="0" w:color="auto"/>
        <w:left w:val="none" w:sz="0" w:space="0" w:color="auto"/>
        <w:bottom w:val="none" w:sz="0" w:space="0" w:color="auto"/>
        <w:right w:val="none" w:sz="0" w:space="0" w:color="auto"/>
      </w:divBdr>
      <w:divsChild>
        <w:div w:id="802620523">
          <w:marLeft w:val="0"/>
          <w:marRight w:val="0"/>
          <w:marTop w:val="0"/>
          <w:marBottom w:val="0"/>
          <w:divBdr>
            <w:top w:val="none" w:sz="0" w:space="0" w:color="auto"/>
            <w:left w:val="none" w:sz="0" w:space="0" w:color="auto"/>
            <w:bottom w:val="none" w:sz="0" w:space="0" w:color="auto"/>
            <w:right w:val="none" w:sz="0" w:space="0" w:color="auto"/>
          </w:divBdr>
          <w:divsChild>
            <w:div w:id="2082604230">
              <w:marLeft w:val="0"/>
              <w:marRight w:val="0"/>
              <w:marTop w:val="0"/>
              <w:marBottom w:val="0"/>
              <w:divBdr>
                <w:top w:val="none" w:sz="0" w:space="0" w:color="auto"/>
                <w:left w:val="none" w:sz="0" w:space="0" w:color="auto"/>
                <w:bottom w:val="none" w:sz="0" w:space="0" w:color="auto"/>
                <w:right w:val="none" w:sz="0" w:space="0" w:color="auto"/>
              </w:divBdr>
              <w:divsChild>
                <w:div w:id="967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39484">
      <w:bodyDiv w:val="1"/>
      <w:marLeft w:val="0"/>
      <w:marRight w:val="0"/>
      <w:marTop w:val="0"/>
      <w:marBottom w:val="0"/>
      <w:divBdr>
        <w:top w:val="none" w:sz="0" w:space="0" w:color="auto"/>
        <w:left w:val="none" w:sz="0" w:space="0" w:color="auto"/>
        <w:bottom w:val="none" w:sz="0" w:space="0" w:color="auto"/>
        <w:right w:val="none" w:sz="0" w:space="0" w:color="auto"/>
      </w:divBdr>
    </w:div>
    <w:div w:id="2118520975">
      <w:bodyDiv w:val="1"/>
      <w:marLeft w:val="0"/>
      <w:marRight w:val="0"/>
      <w:marTop w:val="0"/>
      <w:marBottom w:val="0"/>
      <w:divBdr>
        <w:top w:val="none" w:sz="0" w:space="0" w:color="auto"/>
        <w:left w:val="none" w:sz="0" w:space="0" w:color="auto"/>
        <w:bottom w:val="none" w:sz="0" w:space="0" w:color="auto"/>
        <w:right w:val="none" w:sz="0" w:space="0" w:color="auto"/>
      </w:divBdr>
    </w:div>
    <w:div w:id="2128230894">
      <w:bodyDiv w:val="1"/>
      <w:marLeft w:val="0"/>
      <w:marRight w:val="0"/>
      <w:marTop w:val="0"/>
      <w:marBottom w:val="0"/>
      <w:divBdr>
        <w:top w:val="none" w:sz="0" w:space="0" w:color="auto"/>
        <w:left w:val="none" w:sz="0" w:space="0" w:color="auto"/>
        <w:bottom w:val="none" w:sz="0" w:space="0" w:color="auto"/>
        <w:right w:val="none" w:sz="0" w:space="0" w:color="auto"/>
      </w:divBdr>
      <w:divsChild>
        <w:div w:id="1107893627">
          <w:marLeft w:val="0"/>
          <w:marRight w:val="0"/>
          <w:marTop w:val="0"/>
          <w:marBottom w:val="0"/>
          <w:divBdr>
            <w:top w:val="none" w:sz="0" w:space="0" w:color="auto"/>
            <w:left w:val="none" w:sz="0" w:space="0" w:color="auto"/>
            <w:bottom w:val="none" w:sz="0" w:space="0" w:color="auto"/>
            <w:right w:val="none" w:sz="0" w:space="0" w:color="auto"/>
          </w:divBdr>
          <w:divsChild>
            <w:div w:id="1005598902">
              <w:marLeft w:val="0"/>
              <w:marRight w:val="0"/>
              <w:marTop w:val="0"/>
              <w:marBottom w:val="0"/>
              <w:divBdr>
                <w:top w:val="none" w:sz="0" w:space="0" w:color="auto"/>
                <w:left w:val="none" w:sz="0" w:space="0" w:color="auto"/>
                <w:bottom w:val="none" w:sz="0" w:space="0" w:color="auto"/>
                <w:right w:val="none" w:sz="0" w:space="0" w:color="auto"/>
              </w:divBdr>
              <w:divsChild>
                <w:div w:id="1343363175">
                  <w:marLeft w:val="0"/>
                  <w:marRight w:val="0"/>
                  <w:marTop w:val="0"/>
                  <w:marBottom w:val="0"/>
                  <w:divBdr>
                    <w:top w:val="none" w:sz="0" w:space="0" w:color="auto"/>
                    <w:left w:val="none" w:sz="0" w:space="0" w:color="auto"/>
                    <w:bottom w:val="none" w:sz="0" w:space="0" w:color="auto"/>
                    <w:right w:val="none" w:sz="0" w:space="0" w:color="auto"/>
                  </w:divBdr>
                  <w:divsChild>
                    <w:div w:id="1486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Rapport d’évaluation du PARAT - vu sous l’angle de la gestion du changement</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Synthétique Evaluation du PARAT - vu sous l’angle de la gestion du changement</dc:title>
  <dc:subject/>
  <dc:creator>Valentina Bianchini, Consultant expert en gestion du changement</dc:creator>
  <cp:keywords/>
  <dc:description/>
  <cp:lastModifiedBy>Valentina Bianchini</cp:lastModifiedBy>
  <cp:revision>3</cp:revision>
  <cp:lastPrinted>2021-09-27T09:30:00Z</cp:lastPrinted>
  <dcterms:created xsi:type="dcterms:W3CDTF">2021-09-27T09:34:00Z</dcterms:created>
  <dcterms:modified xsi:type="dcterms:W3CDTF">2021-09-27T09:35:00Z</dcterms:modified>
</cp:coreProperties>
</file>