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9C" w:rsidRPr="004658BE" w:rsidRDefault="0098449C" w:rsidP="0098449C">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6246"/>
      </w:tblGrid>
      <w:tr w:rsidR="0098449C" w:rsidRPr="00F7637C" w:rsidTr="00EA5FB4">
        <w:tc>
          <w:tcPr>
            <w:tcW w:w="5117" w:type="dxa"/>
          </w:tcPr>
          <w:p w:rsidR="0098449C" w:rsidRPr="00F7637C" w:rsidRDefault="0098449C" w:rsidP="00EA5FB4">
            <w:pPr>
              <w:jc w:val="center"/>
              <w:rPr>
                <w:b/>
                <w:u w:val="single"/>
              </w:rPr>
            </w:pPr>
            <w:r>
              <w:rPr>
                <w:rFonts w:ascii="Arial" w:hAnsi="Arial"/>
                <w:noProof/>
                <w:spacing w:val="-3"/>
                <w:sz w:val="20"/>
              </w:rPr>
              <w:drawing>
                <wp:inline distT="0" distB="0" distL="0" distR="0">
                  <wp:extent cx="1031240" cy="797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31240" cy="797560"/>
                          </a:xfrm>
                          <a:prstGeom prst="rect">
                            <a:avLst/>
                          </a:prstGeom>
                          <a:solidFill>
                            <a:srgbClr val="3366FF"/>
                          </a:solidFill>
                          <a:ln w="9525">
                            <a:noFill/>
                            <a:miter lim="800000"/>
                            <a:headEnd/>
                            <a:tailEnd/>
                          </a:ln>
                        </pic:spPr>
                      </pic:pic>
                    </a:graphicData>
                  </a:graphic>
                </wp:inline>
              </w:drawing>
            </w:r>
          </w:p>
        </w:tc>
        <w:tc>
          <w:tcPr>
            <w:tcW w:w="5003" w:type="dxa"/>
          </w:tcPr>
          <w:p w:rsidR="0098449C" w:rsidRPr="00F7637C" w:rsidRDefault="0098449C" w:rsidP="00EA5FB4">
            <w:pPr>
              <w:jc w:val="center"/>
              <w:rPr>
                <w:u w:val="single"/>
              </w:rPr>
            </w:pPr>
            <w:r>
              <w:rPr>
                <w:noProof/>
              </w:rPr>
              <w:drawing>
                <wp:inline distT="0" distB="0" distL="0" distR="0">
                  <wp:extent cx="3806190" cy="595630"/>
                  <wp:effectExtent l="19050" t="0" r="3810" b="0"/>
                  <wp:docPr id="3" name="Picture 1" descr="mdgf-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f-documents"/>
                          <pic:cNvPicPr>
                            <a:picLocks noChangeAspect="1" noChangeArrowheads="1"/>
                          </pic:cNvPicPr>
                        </pic:nvPicPr>
                        <pic:blipFill>
                          <a:blip r:embed="rId8" cstate="print"/>
                          <a:srcRect/>
                          <a:stretch>
                            <a:fillRect/>
                          </a:stretch>
                        </pic:blipFill>
                        <pic:spPr bwMode="auto">
                          <a:xfrm>
                            <a:off x="0" y="0"/>
                            <a:ext cx="3806190" cy="595630"/>
                          </a:xfrm>
                          <a:prstGeom prst="rect">
                            <a:avLst/>
                          </a:prstGeom>
                          <a:noFill/>
                          <a:ln w="9525">
                            <a:noFill/>
                            <a:miter lim="800000"/>
                            <a:headEnd/>
                            <a:tailEnd/>
                          </a:ln>
                        </pic:spPr>
                      </pic:pic>
                    </a:graphicData>
                  </a:graphic>
                </wp:inline>
              </w:drawing>
            </w:r>
          </w:p>
        </w:tc>
      </w:tr>
    </w:tbl>
    <w:p w:rsidR="0098449C" w:rsidRPr="00E37C09" w:rsidRDefault="0098449C" w:rsidP="0098449C">
      <w:pPr>
        <w:jc w:val="center"/>
        <w:rPr>
          <w:b/>
        </w:rPr>
      </w:pPr>
      <w:r w:rsidRPr="004658BE">
        <w:rPr>
          <w:b/>
          <w:u w:val="single"/>
        </w:rPr>
        <w:t xml:space="preserve"> </w:t>
      </w:r>
    </w:p>
    <w:p w:rsidR="0098449C" w:rsidRPr="00E37C09" w:rsidRDefault="0098449C" w:rsidP="0098449C">
      <w:pPr>
        <w:jc w:val="center"/>
        <w:rPr>
          <w:b/>
        </w:rPr>
      </w:pPr>
      <w:r w:rsidRPr="00E37C09">
        <w:rPr>
          <w:b/>
        </w:rPr>
        <w:t>[</w:t>
      </w:r>
      <w:r>
        <w:rPr>
          <w:b/>
        </w:rPr>
        <w:t>MDG Achievement Fund</w:t>
      </w:r>
      <w:r w:rsidRPr="00E37C09">
        <w:rPr>
          <w:b/>
        </w:rPr>
        <w:t>]</w:t>
      </w:r>
    </w:p>
    <w:p w:rsidR="0098449C" w:rsidRPr="00675DCC" w:rsidRDefault="0098449C" w:rsidP="0098449C">
      <w:pPr>
        <w:rPr>
          <w:sz w:val="14"/>
          <w:szCs w:val="16"/>
        </w:rPr>
      </w:pPr>
    </w:p>
    <w:p w:rsidR="0098449C" w:rsidRDefault="0098449C" w:rsidP="0098449C">
      <w:pPr>
        <w:jc w:val="center"/>
        <w:rPr>
          <w:b/>
          <w:bCs/>
          <w:caps/>
        </w:rPr>
      </w:pPr>
      <w:r w:rsidRPr="00675DCC">
        <w:rPr>
          <w:b/>
          <w:bCs/>
          <w:caps/>
        </w:rPr>
        <w:t>ANNUAL</w:t>
      </w:r>
      <w:r>
        <w:rPr>
          <w:b/>
          <w:bCs/>
          <w:caps/>
        </w:rPr>
        <w:t xml:space="preserve"> programme</w:t>
      </w:r>
      <w:r w:rsidRPr="00675DCC">
        <w:rPr>
          <w:b/>
          <w:bCs/>
          <w:caps/>
        </w:rPr>
        <w:t xml:space="preserve"> NARRATIVE progress report </w:t>
      </w:r>
    </w:p>
    <w:p w:rsidR="0098449C" w:rsidRDefault="0098449C" w:rsidP="0098449C">
      <w:pPr>
        <w:jc w:val="center"/>
        <w:rPr>
          <w:b/>
          <w:bCs/>
          <w:caps/>
        </w:rPr>
      </w:pPr>
    </w:p>
    <w:p w:rsidR="0098449C" w:rsidRPr="00AB0274" w:rsidRDefault="0098449C" w:rsidP="0098449C">
      <w:pPr>
        <w:jc w:val="center"/>
        <w:rPr>
          <w:b/>
          <w:bCs/>
          <w:caps/>
        </w:rPr>
      </w:pPr>
      <w:r>
        <w:rPr>
          <w:b/>
          <w:bCs/>
          <w:caps/>
        </w:rPr>
        <w:t xml:space="preserve">REPORTING PERIOD: 1 january – </w:t>
      </w:r>
      <w:smartTag w:uri="urn:schemas-microsoft-com:office:smarttags" w:element="date">
        <w:smartTagPr>
          <w:attr w:name="Year" w:val="2009"/>
          <w:attr w:name="Day" w:val="31"/>
          <w:attr w:name="Month" w:val="12"/>
        </w:smartTagPr>
        <w:r>
          <w:rPr>
            <w:b/>
            <w:bCs/>
            <w:caps/>
          </w:rPr>
          <w:t>31 December 2009</w:t>
        </w:r>
      </w:smartTag>
    </w:p>
    <w:p w:rsidR="0098449C" w:rsidRPr="00234CC4" w:rsidRDefault="0098449C" w:rsidP="0098449C"/>
    <w:tbl>
      <w:tblPr>
        <w:tblW w:w="0" w:type="auto"/>
        <w:tblInd w:w="-72" w:type="dxa"/>
        <w:tblLook w:val="01E0"/>
      </w:tblPr>
      <w:tblGrid>
        <w:gridCol w:w="4713"/>
        <w:gridCol w:w="265"/>
        <w:gridCol w:w="4670"/>
      </w:tblGrid>
      <w:tr w:rsidR="0098449C" w:rsidRPr="005F19C1" w:rsidTr="00ED7717">
        <w:tc>
          <w:tcPr>
            <w:tcW w:w="4713" w:type="dxa"/>
            <w:vMerge w:val="restart"/>
            <w:tcBorders>
              <w:top w:val="single" w:sz="4" w:space="0" w:color="auto"/>
              <w:left w:val="single" w:sz="4" w:space="0" w:color="auto"/>
              <w:right w:val="single" w:sz="4" w:space="0" w:color="auto"/>
            </w:tcBorders>
          </w:tcPr>
          <w:p w:rsidR="0098449C" w:rsidRDefault="0098449C" w:rsidP="00EA5FB4">
            <w:pPr>
              <w:pStyle w:val="Heading2"/>
              <w:rPr>
                <w:i/>
                <w:sz w:val="24"/>
              </w:rPr>
            </w:pPr>
            <w:bookmarkStart w:id="0" w:name="_Toc249364469"/>
            <w:r>
              <w:rPr>
                <w:i/>
                <w:sz w:val="24"/>
              </w:rPr>
              <w:t>Submitted by</w:t>
            </w:r>
            <w:r w:rsidRPr="005F19C1">
              <w:rPr>
                <w:i/>
                <w:sz w:val="24"/>
              </w:rPr>
              <w:t>:</w:t>
            </w:r>
            <w:bookmarkEnd w:id="0"/>
          </w:p>
          <w:p w:rsidR="0098449C" w:rsidRDefault="007D5D4C" w:rsidP="00EA5FB4">
            <w:r>
              <w:t>Dereje Dejene</w:t>
            </w:r>
            <w:r w:rsidR="0098449C">
              <w:t xml:space="preserve">, </w:t>
            </w:r>
            <w:r>
              <w:t>–Poverty Reductions and MDGs Team Leader</w:t>
            </w:r>
            <w:r w:rsidR="0098449C">
              <w:t xml:space="preserve">, </w:t>
            </w:r>
            <w:r>
              <w:t>UNDP</w:t>
            </w:r>
            <w:r w:rsidR="0098449C">
              <w:t xml:space="preserve"> (Lead Agency)</w:t>
            </w:r>
          </w:p>
          <w:p w:rsidR="007D5D4C" w:rsidRPr="00E37C09" w:rsidRDefault="0098449C" w:rsidP="007D5D4C">
            <w:r>
              <w:t xml:space="preserve">Contact information </w:t>
            </w:r>
            <w:hyperlink r:id="rId9" w:history="1">
              <w:r w:rsidR="007D5D4C" w:rsidRPr="0044332E">
                <w:rPr>
                  <w:rStyle w:val="Hyperlink"/>
                </w:rPr>
                <w:t>Dereje.Dejene@undp.org</w:t>
              </w:r>
            </w:hyperlink>
          </w:p>
        </w:tc>
        <w:tc>
          <w:tcPr>
            <w:tcW w:w="265" w:type="dxa"/>
            <w:tcBorders>
              <w:left w:val="single" w:sz="4" w:space="0" w:color="auto"/>
              <w:right w:val="single" w:sz="4" w:space="0" w:color="auto"/>
            </w:tcBorders>
          </w:tcPr>
          <w:p w:rsidR="0098449C" w:rsidRPr="005F19C1" w:rsidRDefault="0098449C" w:rsidP="00EA5FB4">
            <w:pPr>
              <w:pStyle w:val="Heading2"/>
              <w:rPr>
                <w:i/>
                <w:sz w:val="24"/>
              </w:rPr>
            </w:pPr>
          </w:p>
        </w:tc>
        <w:tc>
          <w:tcPr>
            <w:tcW w:w="4670" w:type="dxa"/>
            <w:vMerge w:val="restart"/>
            <w:tcBorders>
              <w:top w:val="single" w:sz="4" w:space="0" w:color="auto"/>
              <w:left w:val="single" w:sz="4" w:space="0" w:color="auto"/>
              <w:right w:val="single" w:sz="4" w:space="0" w:color="auto"/>
            </w:tcBorders>
          </w:tcPr>
          <w:p w:rsidR="0098449C" w:rsidRDefault="0098449C" w:rsidP="00EA5FB4">
            <w:pPr>
              <w:pStyle w:val="Heading2"/>
              <w:rPr>
                <w:i/>
                <w:sz w:val="24"/>
              </w:rPr>
            </w:pPr>
            <w:bookmarkStart w:id="1" w:name="_Toc249364470"/>
            <w:r w:rsidRPr="002A3031">
              <w:rPr>
                <w:i/>
                <w:sz w:val="24"/>
              </w:rPr>
              <w:t>Country and Thematic Area</w:t>
            </w:r>
            <w:bookmarkEnd w:id="1"/>
          </w:p>
          <w:p w:rsidR="00151B6E" w:rsidRDefault="00151B6E" w:rsidP="00EA5FB4">
            <w:pPr>
              <w:pStyle w:val="Heading2"/>
              <w:rPr>
                <w:b w:val="0"/>
                <w:i/>
                <w:sz w:val="24"/>
              </w:rPr>
            </w:pPr>
            <w:bookmarkStart w:id="2" w:name="_Toc249364471"/>
          </w:p>
          <w:p w:rsidR="0098449C" w:rsidRPr="00ED7717" w:rsidRDefault="0098449C" w:rsidP="00EA5FB4">
            <w:pPr>
              <w:pStyle w:val="Heading2"/>
              <w:rPr>
                <w:b w:val="0"/>
              </w:rPr>
            </w:pPr>
            <w:r w:rsidRPr="00151B6E">
              <w:rPr>
                <w:b w:val="0"/>
              </w:rPr>
              <w:t xml:space="preserve">Ethiopia- </w:t>
            </w:r>
            <w:r w:rsidR="00151B6E">
              <w:rPr>
                <w:b w:val="0"/>
              </w:rPr>
              <w:t>MDG Achievement Fund</w:t>
            </w:r>
            <w:r w:rsidR="00151B6E" w:rsidRPr="00151B6E">
              <w:rPr>
                <w:b w:val="0"/>
              </w:rPr>
              <w:t xml:space="preserve"> </w:t>
            </w:r>
            <w:r w:rsidRPr="00151B6E">
              <w:rPr>
                <w:b w:val="0"/>
              </w:rPr>
              <w:t>Environment</w:t>
            </w:r>
            <w:r w:rsidR="00151B6E" w:rsidRPr="00151B6E">
              <w:rPr>
                <w:b w:val="0"/>
              </w:rPr>
              <w:t xml:space="preserve"> Window</w:t>
            </w:r>
            <w:r w:rsidRPr="00151B6E">
              <w:rPr>
                <w:b w:val="0"/>
              </w:rPr>
              <w:t>)</w:t>
            </w:r>
            <w:bookmarkEnd w:id="2"/>
          </w:p>
          <w:p w:rsidR="0098449C" w:rsidRPr="002A3031" w:rsidRDefault="0098449C" w:rsidP="00EA5FB4"/>
        </w:tc>
      </w:tr>
      <w:tr w:rsidR="00ED7717" w:rsidRPr="005F19C1" w:rsidTr="00ED7717">
        <w:trPr>
          <w:trHeight w:val="1026"/>
        </w:trPr>
        <w:tc>
          <w:tcPr>
            <w:tcW w:w="4713" w:type="dxa"/>
            <w:vMerge/>
            <w:tcBorders>
              <w:left w:val="single" w:sz="4" w:space="0" w:color="auto"/>
              <w:bottom w:val="single" w:sz="4" w:space="0" w:color="auto"/>
              <w:right w:val="single" w:sz="4" w:space="0" w:color="auto"/>
            </w:tcBorders>
          </w:tcPr>
          <w:p w:rsidR="0098449C" w:rsidRPr="005F19C1" w:rsidRDefault="0098449C" w:rsidP="00EA5FB4">
            <w:pPr>
              <w:pStyle w:val="BodyText"/>
              <w:rPr>
                <w:rFonts w:ascii="Times New Roman" w:hAnsi="Times New Roman"/>
                <w:sz w:val="24"/>
              </w:rPr>
            </w:pPr>
          </w:p>
        </w:tc>
        <w:tc>
          <w:tcPr>
            <w:tcW w:w="265" w:type="dxa"/>
            <w:tcBorders>
              <w:left w:val="single" w:sz="4" w:space="0" w:color="auto"/>
              <w:right w:val="single" w:sz="4" w:space="0" w:color="auto"/>
            </w:tcBorders>
          </w:tcPr>
          <w:p w:rsidR="0098449C" w:rsidRPr="005F19C1" w:rsidRDefault="0098449C" w:rsidP="00EA5FB4">
            <w:pPr>
              <w:pStyle w:val="BodyText"/>
              <w:rPr>
                <w:rFonts w:ascii="Times New Roman" w:hAnsi="Times New Roman"/>
                <w:sz w:val="24"/>
              </w:rPr>
            </w:pPr>
          </w:p>
        </w:tc>
        <w:tc>
          <w:tcPr>
            <w:tcW w:w="4670" w:type="dxa"/>
            <w:vMerge/>
            <w:tcBorders>
              <w:left w:val="single" w:sz="4" w:space="0" w:color="auto"/>
              <w:bottom w:val="single" w:sz="4" w:space="0" w:color="auto"/>
              <w:right w:val="single" w:sz="4" w:space="0" w:color="auto"/>
            </w:tcBorders>
          </w:tcPr>
          <w:p w:rsidR="0098449C" w:rsidRPr="005F19C1" w:rsidRDefault="0098449C" w:rsidP="00EA5FB4">
            <w:pPr>
              <w:pStyle w:val="BodyText"/>
              <w:rPr>
                <w:rFonts w:ascii="Times New Roman" w:hAnsi="Times New Roman"/>
                <w:sz w:val="24"/>
              </w:rPr>
            </w:pPr>
          </w:p>
        </w:tc>
      </w:tr>
    </w:tbl>
    <w:p w:rsidR="0098449C" w:rsidRPr="005F19C1" w:rsidRDefault="0098449C" w:rsidP="0098449C"/>
    <w:tbl>
      <w:tblPr>
        <w:tblW w:w="0" w:type="auto"/>
        <w:tblLook w:val="01E0"/>
      </w:tblPr>
      <w:tblGrid>
        <w:gridCol w:w="4571"/>
        <w:gridCol w:w="265"/>
        <w:gridCol w:w="4740"/>
      </w:tblGrid>
      <w:tr w:rsidR="0098449C" w:rsidRPr="005F19C1" w:rsidTr="00EA5FB4">
        <w:tc>
          <w:tcPr>
            <w:tcW w:w="4878" w:type="dxa"/>
            <w:vMerge w:val="restart"/>
            <w:tcBorders>
              <w:top w:val="single" w:sz="4" w:space="0" w:color="auto"/>
              <w:left w:val="single" w:sz="4" w:space="0" w:color="auto"/>
              <w:right w:val="single" w:sz="4" w:space="0" w:color="auto"/>
            </w:tcBorders>
          </w:tcPr>
          <w:p w:rsidR="0098449C" w:rsidRPr="005F19C1" w:rsidRDefault="0098449C" w:rsidP="00EA5FB4">
            <w:pPr>
              <w:pStyle w:val="Heading2"/>
              <w:rPr>
                <w:i/>
                <w:sz w:val="24"/>
              </w:rPr>
            </w:pPr>
            <w:bookmarkStart w:id="3" w:name="_Toc249364474"/>
            <w:r>
              <w:rPr>
                <w:i/>
                <w:sz w:val="24"/>
              </w:rPr>
              <w:t>Programme</w:t>
            </w:r>
            <w:r w:rsidRPr="005F19C1">
              <w:rPr>
                <w:i/>
                <w:sz w:val="24"/>
              </w:rPr>
              <w:t xml:space="preserve"> No:</w:t>
            </w:r>
            <w:bookmarkEnd w:id="3"/>
          </w:p>
          <w:p w:rsidR="0098449C" w:rsidRPr="00212FEB" w:rsidRDefault="0098449C" w:rsidP="00EA5FB4">
            <w:pPr>
              <w:rPr>
                <w:b/>
                <w:i/>
              </w:rPr>
            </w:pPr>
            <w:r w:rsidRPr="00212FEB">
              <w:rPr>
                <w:b/>
                <w:i/>
              </w:rPr>
              <w:t xml:space="preserve">MDTF Office Atlas No: </w:t>
            </w:r>
          </w:p>
          <w:p w:rsidR="0098449C" w:rsidRPr="001318AE" w:rsidRDefault="0098449C" w:rsidP="00C613C7">
            <w:pPr>
              <w:pStyle w:val="Heading2"/>
              <w:rPr>
                <w:rFonts w:ascii="Arial Narrow" w:hAnsi="Arial Narrow"/>
                <w:i/>
                <w:sz w:val="24"/>
              </w:rPr>
            </w:pPr>
            <w:bookmarkStart w:id="4" w:name="_Toc249364475"/>
            <w:r>
              <w:rPr>
                <w:i/>
                <w:sz w:val="24"/>
              </w:rPr>
              <w:t>Programme</w:t>
            </w:r>
            <w:r w:rsidRPr="005F19C1">
              <w:rPr>
                <w:i/>
                <w:sz w:val="24"/>
              </w:rPr>
              <w:t xml:space="preserve"> Title:</w:t>
            </w:r>
            <w:bookmarkStart w:id="5" w:name="OLE_LINK1"/>
            <w:bookmarkStart w:id="6" w:name="OLE_LINK2"/>
            <w:bookmarkEnd w:id="4"/>
            <w:r w:rsidR="009A42BC">
              <w:rPr>
                <w:rFonts w:ascii="Arial" w:hAnsi="Arial" w:cs="Arial"/>
                <w:b w:val="0"/>
                <w:sz w:val="17"/>
                <w:szCs w:val="17"/>
              </w:rPr>
              <w:t xml:space="preserve"> </w:t>
            </w:r>
            <w:r w:rsidR="001318AE">
              <w:rPr>
                <w:rFonts w:ascii="Arial" w:hAnsi="Arial" w:cs="Arial"/>
                <w:b w:val="0"/>
                <w:sz w:val="17"/>
                <w:szCs w:val="17"/>
              </w:rPr>
              <w:t>“</w:t>
            </w:r>
            <w:r w:rsidR="009A42BC" w:rsidRPr="001318AE">
              <w:rPr>
                <w:rFonts w:ascii="Arial Narrow" w:hAnsi="Arial Narrow"/>
                <w:i/>
                <w:sz w:val="24"/>
              </w:rPr>
              <w:t>Enabling pastoral communities to adapt to climate change and restoring rangeland environments</w:t>
            </w:r>
            <w:bookmarkEnd w:id="5"/>
            <w:bookmarkEnd w:id="6"/>
            <w:r w:rsidR="001318AE">
              <w:rPr>
                <w:rFonts w:ascii="Arial Narrow" w:hAnsi="Arial Narrow"/>
                <w:i/>
                <w:sz w:val="24"/>
              </w:rPr>
              <w:t>”</w:t>
            </w:r>
          </w:p>
          <w:p w:rsidR="0098449C" w:rsidRPr="005F19C1" w:rsidRDefault="0098449C" w:rsidP="00EA5FB4"/>
        </w:tc>
        <w:tc>
          <w:tcPr>
            <w:tcW w:w="270" w:type="dxa"/>
            <w:tcBorders>
              <w:left w:val="single" w:sz="4" w:space="0" w:color="auto"/>
              <w:right w:val="single" w:sz="4" w:space="0" w:color="auto"/>
            </w:tcBorders>
          </w:tcPr>
          <w:p w:rsidR="0098449C" w:rsidRPr="005F19C1" w:rsidRDefault="0098449C" w:rsidP="00EA5FB4">
            <w:pPr>
              <w:pStyle w:val="Heading2"/>
              <w:rPr>
                <w:i/>
                <w:sz w:val="24"/>
              </w:rPr>
            </w:pPr>
          </w:p>
        </w:tc>
        <w:tc>
          <w:tcPr>
            <w:tcW w:w="5040" w:type="dxa"/>
            <w:vMerge w:val="restart"/>
            <w:tcBorders>
              <w:top w:val="single" w:sz="4" w:space="0" w:color="auto"/>
              <w:left w:val="single" w:sz="4" w:space="0" w:color="auto"/>
              <w:right w:val="single" w:sz="4" w:space="0" w:color="auto"/>
            </w:tcBorders>
          </w:tcPr>
          <w:p w:rsidR="009A42BC" w:rsidRDefault="0098449C" w:rsidP="009A42BC">
            <w:pPr>
              <w:pStyle w:val="Heading2"/>
              <w:rPr>
                <w:i/>
                <w:sz w:val="24"/>
              </w:rPr>
            </w:pPr>
            <w:bookmarkStart w:id="7" w:name="_Toc249364476"/>
            <w:r>
              <w:rPr>
                <w:i/>
                <w:sz w:val="24"/>
              </w:rPr>
              <w:t xml:space="preserve">Participating </w:t>
            </w:r>
            <w:r w:rsidRPr="005F19C1">
              <w:rPr>
                <w:i/>
                <w:sz w:val="24"/>
              </w:rPr>
              <w:t>Organization</w:t>
            </w:r>
            <w:r>
              <w:rPr>
                <w:i/>
                <w:sz w:val="24"/>
              </w:rPr>
              <w:t>(s)</w:t>
            </w:r>
            <w:r w:rsidRPr="005F19C1">
              <w:rPr>
                <w:i/>
                <w:sz w:val="24"/>
              </w:rPr>
              <w:t>:</w:t>
            </w:r>
            <w:bookmarkEnd w:id="7"/>
            <w:r>
              <w:rPr>
                <w:i/>
                <w:sz w:val="24"/>
              </w:rPr>
              <w:t xml:space="preserve"> </w:t>
            </w:r>
          </w:p>
          <w:p w:rsidR="0098449C" w:rsidRPr="006D15B6" w:rsidRDefault="0098449C" w:rsidP="009A42BC">
            <w:pPr>
              <w:pStyle w:val="Heading2"/>
              <w:rPr>
                <w:i/>
              </w:rPr>
            </w:pPr>
            <w:r>
              <w:rPr>
                <w:i/>
                <w:sz w:val="24"/>
              </w:rPr>
              <w:t>UNEP, UN</w:t>
            </w:r>
            <w:r w:rsidR="009A42BC">
              <w:rPr>
                <w:i/>
                <w:sz w:val="24"/>
              </w:rPr>
              <w:t>D</w:t>
            </w:r>
            <w:r>
              <w:rPr>
                <w:i/>
                <w:sz w:val="24"/>
              </w:rPr>
              <w:t>P and FAO</w:t>
            </w:r>
          </w:p>
        </w:tc>
      </w:tr>
      <w:tr w:rsidR="0098449C" w:rsidRPr="00234CC4" w:rsidTr="00EA5FB4">
        <w:trPr>
          <w:trHeight w:val="621"/>
        </w:trPr>
        <w:tc>
          <w:tcPr>
            <w:tcW w:w="4878" w:type="dxa"/>
            <w:vMerge/>
            <w:tcBorders>
              <w:left w:val="single" w:sz="4" w:space="0" w:color="auto"/>
              <w:bottom w:val="single" w:sz="4" w:space="0" w:color="auto"/>
              <w:right w:val="single" w:sz="4" w:space="0" w:color="auto"/>
            </w:tcBorders>
          </w:tcPr>
          <w:p w:rsidR="0098449C" w:rsidRPr="00234CC4" w:rsidRDefault="0098449C" w:rsidP="00EA5FB4">
            <w:pPr>
              <w:pStyle w:val="BodyText"/>
              <w:rPr>
                <w:rFonts w:ascii="Times New Roman" w:hAnsi="Times New Roman"/>
                <w:sz w:val="24"/>
              </w:rPr>
            </w:pPr>
          </w:p>
        </w:tc>
        <w:tc>
          <w:tcPr>
            <w:tcW w:w="270" w:type="dxa"/>
            <w:tcBorders>
              <w:left w:val="single" w:sz="4" w:space="0" w:color="auto"/>
              <w:right w:val="single" w:sz="4" w:space="0" w:color="auto"/>
            </w:tcBorders>
          </w:tcPr>
          <w:p w:rsidR="0098449C" w:rsidRPr="00234CC4" w:rsidRDefault="0098449C" w:rsidP="00EA5FB4">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98449C" w:rsidRPr="00234CC4" w:rsidRDefault="0098449C" w:rsidP="00EA5FB4">
            <w:pPr>
              <w:pStyle w:val="BodyText"/>
              <w:rPr>
                <w:rFonts w:ascii="Times New Roman" w:hAnsi="Times New Roman"/>
                <w:i/>
                <w:sz w:val="24"/>
              </w:rPr>
            </w:pPr>
          </w:p>
        </w:tc>
      </w:tr>
    </w:tbl>
    <w:p w:rsidR="0098449C" w:rsidRDefault="0098449C" w:rsidP="0098449C"/>
    <w:tbl>
      <w:tblPr>
        <w:tblW w:w="0" w:type="auto"/>
        <w:tblLook w:val="01E0"/>
      </w:tblPr>
      <w:tblGrid>
        <w:gridCol w:w="4625"/>
        <w:gridCol w:w="265"/>
        <w:gridCol w:w="4686"/>
      </w:tblGrid>
      <w:tr w:rsidR="0098449C" w:rsidRPr="00F971C2" w:rsidTr="00EA5FB4">
        <w:trPr>
          <w:trHeight w:val="1385"/>
        </w:trPr>
        <w:tc>
          <w:tcPr>
            <w:tcW w:w="4850" w:type="dxa"/>
            <w:tcBorders>
              <w:top w:val="single" w:sz="4" w:space="0" w:color="auto"/>
              <w:left w:val="single" w:sz="4" w:space="0" w:color="auto"/>
              <w:right w:val="single" w:sz="4" w:space="0" w:color="auto"/>
            </w:tcBorders>
          </w:tcPr>
          <w:p w:rsidR="0098449C" w:rsidRDefault="0098449C" w:rsidP="00EA5FB4">
            <w:pPr>
              <w:pStyle w:val="Heading2"/>
              <w:rPr>
                <w:i/>
                <w:sz w:val="24"/>
              </w:rPr>
            </w:pPr>
            <w:bookmarkStart w:id="8" w:name="_Toc249364477"/>
            <w:r w:rsidRPr="005F19C1">
              <w:rPr>
                <w:i/>
                <w:sz w:val="24"/>
              </w:rPr>
              <w:t>Implementing Partners:</w:t>
            </w:r>
            <w:bookmarkEnd w:id="8"/>
            <w:r w:rsidRPr="00234CC4">
              <w:rPr>
                <w:i/>
                <w:sz w:val="24"/>
              </w:rPr>
              <w:t xml:space="preserve"> </w:t>
            </w:r>
          </w:p>
          <w:p w:rsidR="0098449C" w:rsidRPr="009A42BC" w:rsidRDefault="0098449C" w:rsidP="0098449C">
            <w:pPr>
              <w:pStyle w:val="Heading2"/>
              <w:numPr>
                <w:ilvl w:val="0"/>
                <w:numId w:val="3"/>
              </w:numPr>
              <w:rPr>
                <w:rFonts w:cs="Arial"/>
                <w:b w:val="0"/>
                <w:bCs w:val="0"/>
                <w:i/>
                <w:sz w:val="22"/>
              </w:rPr>
            </w:pPr>
            <w:bookmarkStart w:id="9" w:name="_Toc249364478"/>
            <w:r w:rsidRPr="00AB0274">
              <w:rPr>
                <w:rFonts w:cs="Arial"/>
                <w:b w:val="0"/>
                <w:bCs w:val="0"/>
                <w:i/>
                <w:sz w:val="24"/>
                <w:szCs w:val="20"/>
              </w:rPr>
              <w:t xml:space="preserve">National </w:t>
            </w:r>
            <w:r>
              <w:rPr>
                <w:rFonts w:cs="Arial"/>
                <w:b w:val="0"/>
                <w:bCs w:val="0"/>
                <w:i/>
                <w:sz w:val="24"/>
                <w:szCs w:val="20"/>
              </w:rPr>
              <w:t>counterparts (</w:t>
            </w:r>
            <w:bookmarkEnd w:id="9"/>
            <w:r w:rsidRPr="009A42BC">
              <w:rPr>
                <w:rFonts w:ascii="Arial Narrow" w:hAnsi="Arial Narrow"/>
                <w:i/>
                <w:sz w:val="22"/>
                <w:szCs w:val="22"/>
              </w:rPr>
              <w:t>Ministry of Agriculture and Rural Development and Environmental Protection Authority and other line offices at sub national level</w:t>
            </w:r>
            <w:r w:rsidRPr="009A42BC">
              <w:rPr>
                <w:rFonts w:cs="Arial"/>
                <w:b w:val="0"/>
                <w:bCs w:val="0"/>
                <w:i/>
                <w:sz w:val="22"/>
                <w:szCs w:val="22"/>
              </w:rPr>
              <w:t>)</w:t>
            </w:r>
          </w:p>
          <w:p w:rsidR="0098449C" w:rsidRPr="001A2C73" w:rsidRDefault="0098449C" w:rsidP="0098449C">
            <w:pPr>
              <w:pStyle w:val="BodyText"/>
              <w:ind w:left="360"/>
              <w:jc w:val="both"/>
            </w:pPr>
          </w:p>
        </w:tc>
        <w:tc>
          <w:tcPr>
            <w:tcW w:w="269" w:type="dxa"/>
            <w:tcBorders>
              <w:left w:val="single" w:sz="4" w:space="0" w:color="auto"/>
              <w:right w:val="single" w:sz="4" w:space="0" w:color="auto"/>
            </w:tcBorders>
          </w:tcPr>
          <w:p w:rsidR="0098449C" w:rsidRPr="00234CC4" w:rsidRDefault="0098449C" w:rsidP="00EA5FB4">
            <w:pPr>
              <w:pStyle w:val="Heading2"/>
              <w:rPr>
                <w:sz w:val="24"/>
              </w:rPr>
            </w:pPr>
          </w:p>
        </w:tc>
        <w:tc>
          <w:tcPr>
            <w:tcW w:w="5001" w:type="dxa"/>
            <w:tcBorders>
              <w:top w:val="single" w:sz="4" w:space="0" w:color="auto"/>
              <w:left w:val="single" w:sz="4" w:space="0" w:color="auto"/>
              <w:right w:val="single" w:sz="4" w:space="0" w:color="auto"/>
            </w:tcBorders>
          </w:tcPr>
          <w:p w:rsidR="0098449C" w:rsidRDefault="0098449C" w:rsidP="00EA5FB4">
            <w:pPr>
              <w:pStyle w:val="Heading2"/>
              <w:rPr>
                <w:i/>
                <w:sz w:val="24"/>
              </w:rPr>
            </w:pPr>
            <w:bookmarkStart w:id="10" w:name="_Toc249364479"/>
            <w:r>
              <w:rPr>
                <w:i/>
                <w:sz w:val="24"/>
              </w:rPr>
              <w:t>Programme</w:t>
            </w:r>
            <w:r w:rsidRPr="005F19C1">
              <w:rPr>
                <w:i/>
                <w:sz w:val="24"/>
              </w:rPr>
              <w:t xml:space="preserve"> Budget</w:t>
            </w:r>
            <w:r>
              <w:rPr>
                <w:i/>
                <w:sz w:val="24"/>
              </w:rPr>
              <w:t xml:space="preserve"> (from the Fund)</w:t>
            </w:r>
            <w:r w:rsidRPr="005F19C1">
              <w:rPr>
                <w:i/>
                <w:sz w:val="24"/>
              </w:rPr>
              <w:t>:</w:t>
            </w:r>
            <w:bookmarkEnd w:id="10"/>
          </w:p>
          <w:p w:rsidR="0098449C" w:rsidRPr="00AB0274" w:rsidRDefault="0098449C" w:rsidP="00EA5FB4">
            <w:pPr>
              <w:rPr>
                <w:i/>
              </w:rPr>
            </w:pPr>
            <w:r w:rsidRPr="00AB0274">
              <w:rPr>
                <w:i/>
              </w:rPr>
              <w:t>For Joint Programme provide breakdown by UN Organization</w:t>
            </w:r>
          </w:p>
          <w:p w:rsidR="0098449C" w:rsidRPr="004B5AAB" w:rsidRDefault="009A42BC" w:rsidP="00EA5FB4">
            <w:pPr>
              <w:rPr>
                <w:lang w:val="fr-FR"/>
              </w:rPr>
            </w:pPr>
            <w:r>
              <w:rPr>
                <w:lang w:val="fr-FR"/>
              </w:rPr>
              <w:t>UNEP</w:t>
            </w:r>
            <w:r w:rsidR="0098449C" w:rsidRPr="004B5AAB">
              <w:rPr>
                <w:lang w:val="fr-FR"/>
              </w:rPr>
              <w:t>:</w:t>
            </w:r>
            <w:r>
              <w:rPr>
                <w:rFonts w:ascii="Calibri" w:hAnsi="Calibri"/>
                <w:b/>
                <w:bCs/>
                <w:color w:val="000000"/>
                <w:sz w:val="22"/>
                <w:szCs w:val="22"/>
              </w:rPr>
              <w:t xml:space="preserve"> 422,650</w:t>
            </w:r>
          </w:p>
          <w:p w:rsidR="009A42BC" w:rsidRDefault="0098449C" w:rsidP="009A42BC">
            <w:pPr>
              <w:rPr>
                <w:lang w:val="fr-FR"/>
              </w:rPr>
            </w:pPr>
            <w:r w:rsidRPr="004B5AAB">
              <w:rPr>
                <w:lang w:val="fr-FR"/>
              </w:rPr>
              <w:t>UN</w:t>
            </w:r>
            <w:r w:rsidR="009A42BC">
              <w:rPr>
                <w:lang w:val="fr-FR"/>
              </w:rPr>
              <w:t xml:space="preserve">DP- </w:t>
            </w:r>
            <w:r w:rsidR="009A42BC">
              <w:rPr>
                <w:rFonts w:ascii="Calibri" w:hAnsi="Calibri"/>
                <w:b/>
                <w:bCs/>
                <w:color w:val="000000"/>
                <w:sz w:val="22"/>
                <w:szCs w:val="22"/>
              </w:rPr>
              <w:t>1,548,290</w:t>
            </w:r>
          </w:p>
          <w:p w:rsidR="0098449C" w:rsidRPr="004B5AAB" w:rsidRDefault="009A42BC" w:rsidP="009A42BC">
            <w:pPr>
              <w:rPr>
                <w:lang w:val="fr-FR"/>
              </w:rPr>
            </w:pPr>
            <w:r>
              <w:rPr>
                <w:lang w:val="fr-FR"/>
              </w:rPr>
              <w:t>FAO</w:t>
            </w:r>
            <w:r w:rsidR="007D5D4C">
              <w:rPr>
                <w:lang w:val="fr-FR"/>
              </w:rPr>
              <w:t xml:space="preserve">   </w:t>
            </w:r>
            <w:r>
              <w:rPr>
                <w:rFonts w:ascii="Calibri" w:hAnsi="Calibri"/>
                <w:b/>
                <w:bCs/>
                <w:color w:val="000000"/>
                <w:sz w:val="22"/>
                <w:szCs w:val="22"/>
              </w:rPr>
              <w:t>2,029,060</w:t>
            </w:r>
          </w:p>
        </w:tc>
      </w:tr>
      <w:tr w:rsidR="0098449C" w:rsidRPr="00892409" w:rsidTr="00EA5FB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98449C" w:rsidRDefault="0098449C" w:rsidP="00EA5FB4">
            <w:pPr>
              <w:pStyle w:val="Heading2"/>
              <w:rPr>
                <w:i/>
                <w:sz w:val="24"/>
              </w:rPr>
            </w:pPr>
            <w:bookmarkStart w:id="11" w:name="_Toc249364481"/>
            <w:r>
              <w:rPr>
                <w:i/>
                <w:sz w:val="24"/>
              </w:rPr>
              <w:t>Programme</w:t>
            </w:r>
            <w:r w:rsidRPr="005F19C1">
              <w:rPr>
                <w:i/>
                <w:sz w:val="24"/>
              </w:rPr>
              <w:t xml:space="preserve"> Duration</w:t>
            </w:r>
            <w:r>
              <w:rPr>
                <w:i/>
                <w:sz w:val="24"/>
              </w:rPr>
              <w:t xml:space="preserve"> (in months)</w:t>
            </w:r>
            <w:r w:rsidRPr="005F19C1">
              <w:rPr>
                <w:i/>
                <w:sz w:val="24"/>
              </w:rPr>
              <w:t>:</w:t>
            </w:r>
            <w:bookmarkEnd w:id="11"/>
          </w:p>
          <w:p w:rsidR="0098449C" w:rsidRPr="00151B6E" w:rsidRDefault="0098449C" w:rsidP="00151B6E">
            <w:pPr>
              <w:pStyle w:val="BodyText"/>
              <w:numPr>
                <w:ilvl w:val="0"/>
                <w:numId w:val="4"/>
              </w:numPr>
              <w:ind w:left="252" w:hanging="252"/>
              <w:rPr>
                <w:rFonts w:ascii="Times New Roman" w:hAnsi="Times New Roman"/>
                <w:i/>
                <w:sz w:val="24"/>
              </w:rPr>
            </w:pPr>
            <w:r w:rsidRPr="00151B6E">
              <w:rPr>
                <w:rFonts w:ascii="Times New Roman" w:hAnsi="Times New Roman"/>
                <w:i/>
                <w:sz w:val="24"/>
              </w:rPr>
              <w:t>Start date</w:t>
            </w:r>
            <w:r w:rsidRPr="00151B6E">
              <w:rPr>
                <w:i/>
              </w:rPr>
              <w:footnoteReference w:id="2"/>
            </w:r>
            <w:r w:rsidRPr="00151B6E">
              <w:rPr>
                <w:rFonts w:ascii="Times New Roman" w:hAnsi="Times New Roman"/>
                <w:i/>
                <w:sz w:val="24"/>
              </w:rPr>
              <w:t>:</w:t>
            </w:r>
            <w:r w:rsidR="009A42BC" w:rsidRPr="00151B6E">
              <w:rPr>
                <w:rFonts w:ascii="Times New Roman" w:hAnsi="Times New Roman"/>
                <w:i/>
                <w:sz w:val="24"/>
              </w:rPr>
              <w:t xml:space="preserve"> </w:t>
            </w:r>
            <w:r w:rsidR="00341234" w:rsidRPr="00341234">
              <w:rPr>
                <w:rFonts w:ascii="Times New Roman" w:hAnsi="Times New Roman"/>
                <w:i/>
                <w:color w:val="FF0000"/>
                <w:sz w:val="24"/>
              </w:rPr>
              <w:t>Nov</w:t>
            </w:r>
            <w:r w:rsidR="009A42BC" w:rsidRPr="00341234">
              <w:rPr>
                <w:rFonts w:ascii="Times New Roman" w:hAnsi="Times New Roman"/>
                <w:i/>
                <w:color w:val="FF0000"/>
                <w:sz w:val="24"/>
              </w:rPr>
              <w:t xml:space="preserve"> 2009</w:t>
            </w:r>
            <w:r w:rsidR="009A42BC" w:rsidRPr="00151B6E">
              <w:rPr>
                <w:rFonts w:ascii="Times New Roman" w:hAnsi="Times New Roman"/>
                <w:i/>
                <w:sz w:val="24"/>
              </w:rPr>
              <w:t xml:space="preserve">  </w:t>
            </w:r>
          </w:p>
          <w:p w:rsidR="0098449C" w:rsidRDefault="0098449C" w:rsidP="0098449C">
            <w:pPr>
              <w:pStyle w:val="BodyText"/>
              <w:numPr>
                <w:ilvl w:val="0"/>
                <w:numId w:val="4"/>
              </w:numPr>
              <w:ind w:left="252" w:hanging="252"/>
              <w:rPr>
                <w:rFonts w:ascii="Times New Roman" w:hAnsi="Times New Roman"/>
                <w:i/>
                <w:sz w:val="24"/>
              </w:rPr>
            </w:pPr>
            <w:r>
              <w:rPr>
                <w:rFonts w:ascii="Times New Roman" w:hAnsi="Times New Roman"/>
                <w:i/>
                <w:sz w:val="24"/>
              </w:rPr>
              <w:t xml:space="preserve">Original end date </w:t>
            </w:r>
            <w:r w:rsidR="00151B6E" w:rsidRPr="006F0FBA">
              <w:rPr>
                <w:rFonts w:ascii="Verdana" w:hAnsi="Verdana"/>
                <w:b/>
                <w:i/>
                <w:sz w:val="15"/>
                <w:szCs w:val="15"/>
                <w:u w:val="single"/>
              </w:rPr>
              <w:t>June 2012</w:t>
            </w:r>
          </w:p>
          <w:p w:rsidR="0098449C" w:rsidRPr="00234CC4" w:rsidRDefault="0098449C" w:rsidP="0098449C">
            <w:pPr>
              <w:pStyle w:val="BodyText"/>
              <w:numPr>
                <w:ilvl w:val="0"/>
                <w:numId w:val="4"/>
              </w:numPr>
              <w:ind w:left="252" w:hanging="252"/>
              <w:rPr>
                <w:rFonts w:ascii="Times New Roman" w:hAnsi="Times New Roman"/>
                <w:i/>
                <w:sz w:val="24"/>
              </w:rPr>
            </w:pPr>
            <w:r>
              <w:rPr>
                <w:rFonts w:ascii="Times New Roman" w:hAnsi="Times New Roman"/>
                <w:i/>
                <w:sz w:val="24"/>
              </w:rPr>
              <w:t xml:space="preserve">Revised end date, </w:t>
            </w:r>
            <w:r w:rsidR="00341234" w:rsidRPr="00341234">
              <w:rPr>
                <w:rFonts w:ascii="Times New Roman" w:hAnsi="Times New Roman"/>
                <w:i/>
                <w:color w:val="00B050"/>
                <w:sz w:val="24"/>
              </w:rPr>
              <w:t>Dec 2012</w:t>
            </w:r>
          </w:p>
          <w:p w:rsidR="0098449C" w:rsidRPr="00090D90" w:rsidRDefault="0098449C" w:rsidP="0098449C">
            <w:pPr>
              <w:pStyle w:val="BodyText"/>
              <w:numPr>
                <w:ilvl w:val="0"/>
                <w:numId w:val="4"/>
              </w:numPr>
              <w:ind w:left="252" w:hanging="252"/>
              <w:rPr>
                <w:rFonts w:ascii="Times New Roman" w:hAnsi="Times New Roman"/>
                <w:i/>
                <w:sz w:val="24"/>
              </w:rPr>
            </w:pPr>
            <w:r w:rsidRPr="00090D90">
              <w:rPr>
                <w:rFonts w:ascii="Times New Roman" w:hAnsi="Times New Roman"/>
                <w:i/>
                <w:sz w:val="24"/>
              </w:rPr>
              <w:t>Operational Closure Date</w:t>
            </w:r>
            <w:r w:rsidRPr="00090D90">
              <w:rPr>
                <w:rStyle w:val="FootnoteReference"/>
              </w:rPr>
              <w:footnoteReference w:id="3"/>
            </w:r>
            <w:r>
              <w:rPr>
                <w:rFonts w:ascii="Times New Roman" w:hAnsi="Times New Roman"/>
                <w:i/>
                <w:sz w:val="24"/>
              </w:rPr>
              <w:t>, if applicable</w:t>
            </w:r>
            <w:r w:rsidRPr="00090D90">
              <w:rPr>
                <w:rFonts w:ascii="Times New Roman" w:hAnsi="Times New Roman"/>
                <w:i/>
                <w:sz w:val="24"/>
              </w:rPr>
              <w:t>:</w:t>
            </w:r>
          </w:p>
          <w:p w:rsidR="00151B6E" w:rsidRDefault="00151B6E" w:rsidP="00EA5FB4">
            <w:pPr>
              <w:pStyle w:val="BodyText"/>
              <w:rPr>
                <w:rFonts w:ascii="Times New Roman" w:hAnsi="Times New Roman"/>
                <w:sz w:val="24"/>
                <w:u w:val="single"/>
              </w:rPr>
            </w:pPr>
          </w:p>
          <w:p w:rsidR="0098449C" w:rsidRPr="006D15B6" w:rsidRDefault="0098449C" w:rsidP="00EA5FB4">
            <w:pPr>
              <w:pStyle w:val="BodyText"/>
              <w:rPr>
                <w:rFonts w:ascii="Times New Roman" w:hAnsi="Times New Roman"/>
                <w:sz w:val="24"/>
                <w:u w:val="single"/>
              </w:rPr>
            </w:pPr>
            <w:r w:rsidRPr="006D15B6">
              <w:rPr>
                <w:rFonts w:ascii="Times New Roman" w:hAnsi="Times New Roman"/>
                <w:sz w:val="24"/>
                <w:u w:val="single"/>
              </w:rPr>
              <w:t>Budget Revisions/Extensions:</w:t>
            </w:r>
          </w:p>
          <w:p w:rsidR="0098449C" w:rsidRPr="00892409" w:rsidRDefault="0098449C" w:rsidP="00EA5FB4">
            <w:pPr>
              <w:pStyle w:val="Heading2"/>
              <w:rPr>
                <w:b w:val="0"/>
                <w:sz w:val="24"/>
              </w:rPr>
            </w:pPr>
            <w:r w:rsidRPr="00892409">
              <w:rPr>
                <w:b w:val="0"/>
                <w:i/>
                <w:sz w:val="24"/>
              </w:rPr>
              <w:t>List budget revisions and extensions, with approval dates, if applicable</w:t>
            </w:r>
            <w:r w:rsidRPr="00892409">
              <w:rPr>
                <w:b w:val="0"/>
                <w:i/>
                <w:color w:val="0000FF"/>
                <w:sz w:val="24"/>
              </w:rPr>
              <w:t xml:space="preserve"> </w:t>
            </w:r>
            <w:r w:rsidR="00151B6E">
              <w:rPr>
                <w:b w:val="0"/>
                <w:i/>
                <w:color w:val="0000FF"/>
                <w:sz w:val="24"/>
              </w:rPr>
              <w:t xml:space="preserve"> “ Not done yet”</w:t>
            </w:r>
          </w:p>
        </w:tc>
      </w:tr>
    </w:tbl>
    <w:p w:rsidR="0098449C" w:rsidRDefault="0098449C" w:rsidP="0098449C">
      <w:r>
        <w:br w:type="page"/>
      </w:r>
    </w:p>
    <w:p w:rsidR="0098449C" w:rsidRPr="00234CC4"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2" w:name="_Toc249364483"/>
      <w:r w:rsidRPr="00234CC4">
        <w:rPr>
          <w:rFonts w:ascii="Times New Roman" w:hAnsi="Times New Roman" w:cs="Times New Roman"/>
          <w:sz w:val="24"/>
          <w:szCs w:val="24"/>
        </w:rPr>
        <w:lastRenderedPageBreak/>
        <w:t>Purpose</w:t>
      </w:r>
      <w:bookmarkEnd w:id="12"/>
    </w:p>
    <w:p w:rsidR="004E5805" w:rsidRDefault="004E5805" w:rsidP="004E5805">
      <w:pPr>
        <w:pStyle w:val="BodyText"/>
        <w:ind w:left="720"/>
        <w:jc w:val="both"/>
        <w:rPr>
          <w:rFonts w:ascii="Times New Roman" w:hAnsi="Times New Roman"/>
          <w:sz w:val="24"/>
        </w:rPr>
      </w:pPr>
    </w:p>
    <w:p w:rsidR="004E5805" w:rsidRPr="00FF3DE4" w:rsidRDefault="004E5805" w:rsidP="004E5805">
      <w:pPr>
        <w:pStyle w:val="BodyText"/>
        <w:jc w:val="both"/>
        <w:rPr>
          <w:rFonts w:ascii="Times New Roman" w:hAnsi="Times New Roman" w:cs="Times New Roman"/>
          <w:sz w:val="24"/>
          <w:szCs w:val="24"/>
        </w:rPr>
      </w:pPr>
      <w:r w:rsidRPr="00FF3DE4">
        <w:rPr>
          <w:rFonts w:ascii="Times New Roman" w:hAnsi="Times New Roman" w:cs="Times New Roman"/>
          <w:sz w:val="24"/>
          <w:szCs w:val="24"/>
        </w:rPr>
        <w:t>The core objective of the JP is to enhance the enabling policy environment to effectively plan and execute pastoralist related climate change adaptation and mitigation measures at federal, regional and district levels and pilot measures to enable the pastoral communities develop capacity for managing climate change risks and shocks in six districts.\</w:t>
      </w:r>
    </w:p>
    <w:p w:rsidR="004E5805" w:rsidRPr="00FF3DE4" w:rsidRDefault="004E5805" w:rsidP="004E5805">
      <w:pPr>
        <w:pStyle w:val="BodyText"/>
        <w:jc w:val="both"/>
        <w:rPr>
          <w:rFonts w:ascii="Times New Roman" w:hAnsi="Times New Roman" w:cs="Times New Roman"/>
          <w:sz w:val="24"/>
          <w:szCs w:val="24"/>
        </w:rPr>
      </w:pPr>
    </w:p>
    <w:p w:rsidR="004E5805" w:rsidRPr="00FF3DE4" w:rsidRDefault="004E5805" w:rsidP="004E5805">
      <w:pPr>
        <w:pStyle w:val="BodyText"/>
        <w:jc w:val="both"/>
        <w:rPr>
          <w:rFonts w:ascii="Times New Roman" w:hAnsi="Times New Roman" w:cs="Times New Roman"/>
          <w:sz w:val="24"/>
          <w:szCs w:val="24"/>
        </w:rPr>
      </w:pPr>
      <w:r w:rsidRPr="00FF3DE4">
        <w:rPr>
          <w:rFonts w:ascii="Times New Roman" w:hAnsi="Times New Roman" w:cs="Times New Roman"/>
          <w:sz w:val="24"/>
          <w:szCs w:val="24"/>
        </w:rPr>
        <w:t>To realize these objectives the JP is planned to deliver six outputs that contribute to three outcomes.</w:t>
      </w:r>
    </w:p>
    <w:p w:rsidR="004E5805" w:rsidRPr="00FF3DE4" w:rsidRDefault="004E5805" w:rsidP="004E5805">
      <w:pPr>
        <w:pStyle w:val="BodyText"/>
        <w:jc w:val="both"/>
        <w:rPr>
          <w:rFonts w:ascii="Times New Roman" w:hAnsi="Times New Roman" w:cs="Times New Roman"/>
          <w:sz w:val="24"/>
          <w:szCs w:val="24"/>
        </w:rPr>
      </w:pPr>
    </w:p>
    <w:p w:rsidR="004E5805" w:rsidRPr="00FF3DE4" w:rsidRDefault="004E5805" w:rsidP="001318AE">
      <w:pPr>
        <w:pStyle w:val="BodyText"/>
        <w:ind w:left="1440" w:hanging="1440"/>
        <w:jc w:val="both"/>
        <w:rPr>
          <w:rFonts w:ascii="Times New Roman" w:hAnsi="Times New Roman" w:cs="Times New Roman"/>
          <w:b/>
          <w:sz w:val="24"/>
          <w:szCs w:val="24"/>
        </w:rPr>
      </w:pPr>
      <w:r w:rsidRPr="00FF3DE4">
        <w:rPr>
          <w:rFonts w:ascii="Times New Roman" w:hAnsi="Times New Roman" w:cs="Times New Roman"/>
          <w:b/>
          <w:sz w:val="24"/>
          <w:szCs w:val="24"/>
        </w:rPr>
        <w:t xml:space="preserve">Outcome 1. Climate change mitigation and adaptation </w:t>
      </w:r>
      <w:r w:rsidR="00FF3DE4" w:rsidRPr="00FF3DE4">
        <w:rPr>
          <w:rFonts w:ascii="Times New Roman" w:hAnsi="Times New Roman" w:cs="Times New Roman"/>
          <w:b/>
          <w:sz w:val="24"/>
          <w:szCs w:val="24"/>
        </w:rPr>
        <w:t>options for</w:t>
      </w:r>
      <w:r w:rsidRPr="00FF3DE4">
        <w:rPr>
          <w:rFonts w:ascii="Times New Roman" w:hAnsi="Times New Roman" w:cs="Times New Roman"/>
          <w:b/>
          <w:sz w:val="24"/>
          <w:szCs w:val="24"/>
        </w:rPr>
        <w:t xml:space="preserve"> pastoralists mainstreamed into national/sub-national development frameworks (development plans, strategy, </w:t>
      </w:r>
      <w:r w:rsidR="00FF3DE4" w:rsidRPr="00FF3DE4">
        <w:rPr>
          <w:rFonts w:ascii="Times New Roman" w:hAnsi="Times New Roman" w:cs="Times New Roman"/>
          <w:b/>
          <w:sz w:val="24"/>
          <w:szCs w:val="24"/>
        </w:rPr>
        <w:t>and policies</w:t>
      </w:r>
      <w:r w:rsidRPr="00FF3DE4">
        <w:rPr>
          <w:rFonts w:ascii="Times New Roman" w:hAnsi="Times New Roman" w:cs="Times New Roman"/>
          <w:b/>
          <w:sz w:val="24"/>
          <w:szCs w:val="24"/>
        </w:rPr>
        <w:t>)</w:t>
      </w:r>
    </w:p>
    <w:p w:rsidR="001318AE" w:rsidRDefault="001318AE" w:rsidP="00BA0727">
      <w:pPr>
        <w:ind w:left="1980" w:hanging="1260"/>
        <w:jc w:val="both"/>
      </w:pPr>
    </w:p>
    <w:p w:rsidR="004E5805" w:rsidRPr="00FF3DE4" w:rsidRDefault="00BA0727" w:rsidP="00BA0727">
      <w:pPr>
        <w:ind w:left="1980" w:hanging="1260"/>
        <w:jc w:val="both"/>
      </w:pPr>
      <w:r w:rsidRPr="00FF3DE4">
        <w:t xml:space="preserve">Output 1.1 </w:t>
      </w:r>
      <w:r w:rsidR="004E5805" w:rsidRPr="00FF3DE4">
        <w:t xml:space="preserve">Improved national/ regional/ local development plans, key sector policies, strategies and partnership to mainstream climate change mitigation and adaptation options into policy frameworks  </w:t>
      </w:r>
    </w:p>
    <w:p w:rsidR="004E5805" w:rsidRPr="00FF3DE4" w:rsidRDefault="00BA0727" w:rsidP="00BA0727">
      <w:pPr>
        <w:ind w:left="1980" w:hanging="1260"/>
        <w:jc w:val="both"/>
      </w:pPr>
      <w:r w:rsidRPr="00FF3DE4">
        <w:t xml:space="preserve">Output 1.2 </w:t>
      </w:r>
      <w:r w:rsidR="004E5805" w:rsidRPr="00FF3DE4">
        <w:t xml:space="preserve">Tools/ guidelines for mainstreaming CC adaptation and mitigation into federal, regional and district development planning  system developed </w:t>
      </w:r>
    </w:p>
    <w:p w:rsidR="00BA0727" w:rsidRPr="00FF3DE4" w:rsidRDefault="00BA0727" w:rsidP="004E5805">
      <w:pPr>
        <w:pStyle w:val="BodyText"/>
        <w:jc w:val="both"/>
        <w:rPr>
          <w:rFonts w:ascii="Times New Roman" w:hAnsi="Times New Roman" w:cs="Times New Roman"/>
          <w:b/>
          <w:sz w:val="24"/>
          <w:szCs w:val="24"/>
        </w:rPr>
      </w:pPr>
    </w:p>
    <w:p w:rsidR="004E5805" w:rsidRPr="00FF3DE4" w:rsidRDefault="004E5805" w:rsidP="001318AE">
      <w:pPr>
        <w:pStyle w:val="BodyText"/>
        <w:ind w:left="1440" w:hanging="1440"/>
        <w:jc w:val="both"/>
        <w:rPr>
          <w:rFonts w:ascii="Times New Roman" w:hAnsi="Times New Roman" w:cs="Times New Roman"/>
          <w:b/>
          <w:sz w:val="24"/>
          <w:szCs w:val="24"/>
        </w:rPr>
      </w:pPr>
      <w:r w:rsidRPr="00FF3DE4">
        <w:rPr>
          <w:rFonts w:ascii="Times New Roman" w:hAnsi="Times New Roman" w:cs="Times New Roman"/>
          <w:b/>
          <w:sz w:val="24"/>
          <w:szCs w:val="24"/>
        </w:rPr>
        <w:t>Outcome 2. Government and pastoral institutional capacities strengthened  to effectively respond to the climate change risks and challenges</w:t>
      </w:r>
    </w:p>
    <w:p w:rsidR="001318AE" w:rsidRDefault="001318AE" w:rsidP="00BA0727">
      <w:pPr>
        <w:ind w:left="1980" w:hanging="1260"/>
        <w:jc w:val="both"/>
      </w:pPr>
    </w:p>
    <w:p w:rsidR="004E5805" w:rsidRPr="00FF3DE4" w:rsidRDefault="00BA0727" w:rsidP="00BA0727">
      <w:pPr>
        <w:ind w:left="1980" w:hanging="1260"/>
        <w:jc w:val="both"/>
      </w:pPr>
      <w:r w:rsidRPr="00FF3DE4">
        <w:t>Output 2.1</w:t>
      </w:r>
      <w:r w:rsidR="004E5805" w:rsidRPr="00FF3DE4">
        <w:t xml:space="preserve">Federal/Regional/ district and pastoral communities’ institutions capacities  and service delivery  to respond to pastoralist community needs enhanced </w:t>
      </w:r>
    </w:p>
    <w:p w:rsidR="00BA0727" w:rsidRPr="00FF3DE4" w:rsidRDefault="00BA0727" w:rsidP="004E5805">
      <w:pPr>
        <w:pStyle w:val="BodyText"/>
        <w:jc w:val="both"/>
        <w:rPr>
          <w:rFonts w:ascii="Times New Roman" w:hAnsi="Times New Roman" w:cs="Times New Roman"/>
          <w:b/>
          <w:sz w:val="24"/>
          <w:szCs w:val="24"/>
        </w:rPr>
      </w:pPr>
    </w:p>
    <w:p w:rsidR="004E5805" w:rsidRPr="00FF3DE4" w:rsidRDefault="004E5805" w:rsidP="001318AE">
      <w:pPr>
        <w:pStyle w:val="BodyText"/>
        <w:ind w:left="1440" w:hanging="1440"/>
        <w:jc w:val="both"/>
        <w:rPr>
          <w:rFonts w:ascii="Times New Roman" w:hAnsi="Times New Roman" w:cs="Times New Roman"/>
          <w:b/>
          <w:sz w:val="24"/>
          <w:szCs w:val="24"/>
        </w:rPr>
      </w:pPr>
      <w:r w:rsidRPr="00FF3DE4">
        <w:rPr>
          <w:rFonts w:ascii="Times New Roman" w:hAnsi="Times New Roman" w:cs="Times New Roman"/>
          <w:b/>
          <w:sz w:val="24"/>
          <w:szCs w:val="24"/>
        </w:rPr>
        <w:t>Outcome 3.  Pastoral community coping mechanism/ sustainable livelihood enhanced</w:t>
      </w:r>
    </w:p>
    <w:p w:rsidR="004E5805" w:rsidRPr="00FF3DE4" w:rsidRDefault="004E5805" w:rsidP="00BA0727">
      <w:pPr>
        <w:pStyle w:val="BodyText"/>
        <w:ind w:left="1170" w:hanging="1170"/>
        <w:jc w:val="both"/>
        <w:rPr>
          <w:rFonts w:ascii="Times New Roman" w:hAnsi="Times New Roman" w:cs="Times New Roman"/>
          <w:b/>
          <w:sz w:val="24"/>
          <w:szCs w:val="24"/>
        </w:rPr>
      </w:pPr>
    </w:p>
    <w:p w:rsidR="004E5805" w:rsidRPr="00FF3DE4" w:rsidRDefault="00BA0727" w:rsidP="00BA0727">
      <w:pPr>
        <w:ind w:left="1980" w:hanging="1260"/>
        <w:jc w:val="both"/>
      </w:pPr>
      <w:r w:rsidRPr="00FF3DE4">
        <w:t xml:space="preserve">Output 3.1 </w:t>
      </w:r>
      <w:r w:rsidR="004E5805" w:rsidRPr="00FF3DE4">
        <w:t>Climate sensitive needs identified, assessed and priority interventions agreed</w:t>
      </w:r>
    </w:p>
    <w:p w:rsidR="004E5805" w:rsidRPr="00FF3DE4" w:rsidRDefault="00BA0727" w:rsidP="00BA0727">
      <w:pPr>
        <w:ind w:left="1980" w:hanging="1260"/>
        <w:jc w:val="both"/>
      </w:pPr>
      <w:r w:rsidRPr="00FF3DE4">
        <w:t xml:space="preserve">Output 3.2 </w:t>
      </w:r>
      <w:r w:rsidR="004E5805" w:rsidRPr="00FF3DE4">
        <w:t>Integrated Rangeland Management practices promoted in the targeted districts for better livelihoods and copping with adverse climatic effects:</w:t>
      </w:r>
    </w:p>
    <w:p w:rsidR="004E5805" w:rsidRPr="00FF3DE4" w:rsidRDefault="00BA0727" w:rsidP="00BA0727">
      <w:pPr>
        <w:ind w:left="1980" w:hanging="1260"/>
        <w:jc w:val="both"/>
      </w:pPr>
      <w:r w:rsidRPr="00FF3DE4">
        <w:t xml:space="preserve">Output 3.3 </w:t>
      </w:r>
      <w:r w:rsidR="004E5805" w:rsidRPr="00FF3DE4">
        <w:t xml:space="preserve">A system that </w:t>
      </w:r>
      <w:r w:rsidRPr="00FF3DE4">
        <w:t>enhance income</w:t>
      </w:r>
      <w:r w:rsidR="004E5805" w:rsidRPr="00FF3DE4">
        <w:t xml:space="preserve"> generating capacity of the pastoralist communities </w:t>
      </w:r>
      <w:r w:rsidRPr="00FF3DE4">
        <w:t>in the target villages to cope</w:t>
      </w:r>
      <w:r w:rsidR="004E5805" w:rsidRPr="00FF3DE4">
        <w:t xml:space="preserve"> up with climate change related livelihood risks established and made functional in selected villages of the targeted six districts.</w:t>
      </w:r>
    </w:p>
    <w:p w:rsidR="00FF3DE4" w:rsidRPr="00FF3DE4" w:rsidRDefault="00FF3DE4" w:rsidP="00FF3DE4">
      <w:pPr>
        <w:pStyle w:val="BodyText"/>
        <w:jc w:val="both"/>
        <w:rPr>
          <w:rFonts w:ascii="Times New Roman" w:hAnsi="Times New Roman" w:cs="Times New Roman"/>
          <w:sz w:val="24"/>
          <w:szCs w:val="24"/>
        </w:rPr>
      </w:pPr>
    </w:p>
    <w:p w:rsidR="00BA0727" w:rsidRPr="00FF3DE4" w:rsidRDefault="00BA0727" w:rsidP="00FF3DE4">
      <w:pPr>
        <w:pStyle w:val="BodyText"/>
        <w:jc w:val="both"/>
        <w:rPr>
          <w:rFonts w:ascii="Times New Roman" w:hAnsi="Times New Roman" w:cs="Times New Roman"/>
          <w:sz w:val="24"/>
          <w:szCs w:val="24"/>
        </w:rPr>
      </w:pPr>
      <w:r w:rsidRPr="00FF3DE4">
        <w:rPr>
          <w:rFonts w:ascii="Times New Roman" w:hAnsi="Times New Roman" w:cs="Times New Roman"/>
          <w:sz w:val="24"/>
          <w:szCs w:val="24"/>
        </w:rPr>
        <w:t xml:space="preserve">The Programme is relates to the Humanitarian Response, Recovery and Food Security component of UN Development Assistance Framework (UNDAF) The UNDAF Outcome for thematic area is stated as follows . </w:t>
      </w:r>
      <w:r w:rsidR="00FF3DE4" w:rsidRPr="00FF3DE4">
        <w:rPr>
          <w:rFonts w:ascii="Times New Roman" w:hAnsi="Times New Roman" w:cs="Times New Roman"/>
          <w:sz w:val="24"/>
          <w:szCs w:val="24"/>
        </w:rPr>
        <w:t>‘</w:t>
      </w:r>
      <w:r w:rsidRPr="00FF3DE4">
        <w:rPr>
          <w:rFonts w:ascii="Times New Roman" w:hAnsi="Times New Roman" w:cs="Times New Roman"/>
          <w:sz w:val="24"/>
          <w:szCs w:val="24"/>
        </w:rPr>
        <w:t>By 2011, significantly strengthened capacities of the Government, communities, and other relevant stake holders to respond to situations that threaten the lives and well-being of a significant proportion of a population, which require rapid and appropriate action to ensure their survival, care, protection and recovery while enhancing their resilience to shocks and leading to food secur</w:t>
      </w:r>
      <w:r w:rsidR="00FF3DE4" w:rsidRPr="00FF3DE4">
        <w:rPr>
          <w:rFonts w:ascii="Times New Roman" w:hAnsi="Times New Roman" w:cs="Times New Roman"/>
          <w:sz w:val="24"/>
          <w:szCs w:val="24"/>
        </w:rPr>
        <w:t>ity and sustainable livelihoods’</w:t>
      </w:r>
    </w:p>
    <w:p w:rsidR="00151B6E" w:rsidRDefault="00151B6E">
      <w:pPr>
        <w:spacing w:after="200" w:line="276" w:lineRule="auto"/>
      </w:pPr>
      <w:r>
        <w:br w:type="page"/>
      </w:r>
    </w:p>
    <w:p w:rsidR="004E5805" w:rsidRPr="00FF3DE4" w:rsidRDefault="004E5805" w:rsidP="004E5805">
      <w:pPr>
        <w:pStyle w:val="BodyText"/>
        <w:jc w:val="both"/>
        <w:rPr>
          <w:rFonts w:ascii="Times New Roman" w:hAnsi="Times New Roman" w:cs="Times New Roman"/>
          <w:sz w:val="24"/>
          <w:szCs w:val="24"/>
        </w:rPr>
      </w:pPr>
    </w:p>
    <w:p w:rsidR="0098449C" w:rsidRPr="00B32E35"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3" w:name="_Toc249364484"/>
      <w:r w:rsidRPr="00B32E35">
        <w:rPr>
          <w:rFonts w:ascii="Times New Roman" w:hAnsi="Times New Roman" w:cs="Times New Roman"/>
          <w:sz w:val="24"/>
          <w:szCs w:val="24"/>
        </w:rPr>
        <w:t>Resources</w:t>
      </w:r>
      <w:bookmarkEnd w:id="13"/>
      <w:r w:rsidRPr="00B32E35">
        <w:rPr>
          <w:rFonts w:ascii="Times New Roman" w:hAnsi="Times New Roman" w:cs="Times New Roman"/>
          <w:sz w:val="24"/>
          <w:szCs w:val="24"/>
        </w:rPr>
        <w:t xml:space="preserve"> </w:t>
      </w:r>
    </w:p>
    <w:p w:rsidR="0098449C" w:rsidRDefault="0098449C" w:rsidP="0098449C">
      <w:pPr>
        <w:pStyle w:val="BodyText"/>
        <w:ind w:left="360"/>
        <w:rPr>
          <w:rFonts w:ascii="Times New Roman" w:hAnsi="Times New Roman"/>
          <w:i/>
          <w:sz w:val="24"/>
        </w:rPr>
      </w:pPr>
      <w:r w:rsidRPr="00234CC4">
        <w:rPr>
          <w:rFonts w:ascii="Times New Roman" w:hAnsi="Times New Roman"/>
          <w:i/>
          <w:sz w:val="24"/>
        </w:rPr>
        <w:t>Financial Resources:</w:t>
      </w:r>
    </w:p>
    <w:p w:rsidR="00FF3DE4" w:rsidRPr="00FF3DE4" w:rsidRDefault="00FF3DE4" w:rsidP="0098449C">
      <w:pPr>
        <w:pStyle w:val="BodyText"/>
        <w:ind w:left="360"/>
        <w:rPr>
          <w:rFonts w:ascii="Times New Roman" w:hAnsi="Times New Roman" w:cs="Times New Roman"/>
          <w:i/>
          <w:sz w:val="24"/>
          <w:szCs w:val="24"/>
        </w:rPr>
      </w:pPr>
    </w:p>
    <w:p w:rsidR="00FF3DE4" w:rsidRPr="00AC6240" w:rsidRDefault="00AC6240" w:rsidP="00127115">
      <w:pPr>
        <w:ind w:left="360"/>
      </w:pPr>
      <w:r w:rsidRPr="00B762FE">
        <w:rPr>
          <w:szCs w:val="22"/>
        </w:rPr>
        <w:t>The total cost of the joint program is USD 4,000,000 from the MDG Spanish Fund</w:t>
      </w:r>
      <w:r w:rsidRPr="00AC6240">
        <w:rPr>
          <w:bCs/>
          <w:color w:val="000000"/>
        </w:rPr>
        <w:t xml:space="preserve">. </w:t>
      </w:r>
      <w:r w:rsidRPr="00AC6240">
        <w:t>O</w:t>
      </w:r>
      <w:r w:rsidR="00FF3DE4" w:rsidRPr="00AC6240">
        <w:t xml:space="preserve">ut of </w:t>
      </w:r>
      <w:r w:rsidRPr="00AC6240">
        <w:t>this</w:t>
      </w:r>
      <w:r w:rsidR="00FF3DE4" w:rsidRPr="00AC6240">
        <w:t>, based on pass-through Fund Management system agreed by MDTF,</w:t>
      </w:r>
    </w:p>
    <w:p w:rsidR="00FF3DE4" w:rsidRPr="00AC6240" w:rsidRDefault="00AC6240" w:rsidP="00127115">
      <w:pPr>
        <w:pStyle w:val="ListParagraph"/>
        <w:numPr>
          <w:ilvl w:val="0"/>
          <w:numId w:val="10"/>
        </w:numPr>
        <w:ind w:left="1080"/>
      </w:pPr>
      <w:r>
        <w:rPr>
          <w:bCs/>
          <w:color w:val="000000"/>
        </w:rPr>
        <w:t xml:space="preserve">US$ </w:t>
      </w:r>
      <w:r w:rsidR="00FF3DE4" w:rsidRPr="00AC6240">
        <w:rPr>
          <w:bCs/>
          <w:color w:val="000000"/>
        </w:rPr>
        <w:t xml:space="preserve">422,650 is planned to be channeled through  </w:t>
      </w:r>
      <w:r w:rsidR="00FF3DE4" w:rsidRPr="00AC6240">
        <w:t>UNEP</w:t>
      </w:r>
    </w:p>
    <w:p w:rsidR="00FF3DE4" w:rsidRPr="00AC6240" w:rsidRDefault="00AC6240" w:rsidP="00127115">
      <w:pPr>
        <w:pStyle w:val="ListParagraph"/>
        <w:numPr>
          <w:ilvl w:val="0"/>
          <w:numId w:val="10"/>
        </w:numPr>
        <w:ind w:left="1080"/>
      </w:pPr>
      <w:r>
        <w:rPr>
          <w:bCs/>
          <w:color w:val="000000"/>
        </w:rPr>
        <w:t xml:space="preserve">US$ </w:t>
      </w:r>
      <w:r w:rsidR="00FF3DE4" w:rsidRPr="00AC6240">
        <w:rPr>
          <w:bCs/>
          <w:color w:val="000000"/>
        </w:rPr>
        <w:t xml:space="preserve">1,548,290 is planned to be channeled through </w:t>
      </w:r>
      <w:r w:rsidR="00FF3DE4" w:rsidRPr="00AC6240">
        <w:t>UNDP</w:t>
      </w:r>
    </w:p>
    <w:p w:rsidR="00FF3DE4" w:rsidRPr="00AC6240" w:rsidRDefault="00AC6240" w:rsidP="00127115">
      <w:pPr>
        <w:pStyle w:val="ListParagraph"/>
        <w:numPr>
          <w:ilvl w:val="0"/>
          <w:numId w:val="10"/>
        </w:numPr>
        <w:ind w:left="1080"/>
      </w:pPr>
      <w:r>
        <w:rPr>
          <w:bCs/>
          <w:color w:val="000000"/>
        </w:rPr>
        <w:t>US$ 2</w:t>
      </w:r>
      <w:r w:rsidR="00FF3DE4" w:rsidRPr="00AC6240">
        <w:rPr>
          <w:bCs/>
          <w:color w:val="000000"/>
        </w:rPr>
        <w:t xml:space="preserve">,029,060 is planned to be channeled through </w:t>
      </w:r>
      <w:r w:rsidR="00FF3DE4" w:rsidRPr="00AC6240">
        <w:t>FAO</w:t>
      </w:r>
    </w:p>
    <w:p w:rsidR="00FF3DE4" w:rsidRPr="00AC6240" w:rsidRDefault="00AC6240" w:rsidP="00127115">
      <w:pPr>
        <w:ind w:left="360"/>
        <w:rPr>
          <w:szCs w:val="22"/>
        </w:rPr>
      </w:pPr>
      <w:r w:rsidRPr="00AC6240">
        <w:rPr>
          <w:szCs w:val="22"/>
        </w:rPr>
        <w:t>As the execution of the project is on process there is no revision made to the original proposal</w:t>
      </w:r>
    </w:p>
    <w:p w:rsidR="00FF3DE4" w:rsidRPr="00234CC4" w:rsidRDefault="00FF3DE4" w:rsidP="0098449C">
      <w:pPr>
        <w:pStyle w:val="BodyText"/>
        <w:ind w:left="360"/>
        <w:rPr>
          <w:rFonts w:ascii="Times New Roman" w:hAnsi="Times New Roman"/>
          <w:i/>
          <w:sz w:val="24"/>
        </w:rPr>
      </w:pPr>
    </w:p>
    <w:p w:rsidR="0098449C" w:rsidRPr="00234CC4" w:rsidRDefault="0098449C" w:rsidP="0098449C">
      <w:pPr>
        <w:pStyle w:val="BodyText"/>
        <w:ind w:left="360"/>
        <w:rPr>
          <w:rFonts w:ascii="Times New Roman" w:hAnsi="Times New Roman"/>
          <w:i/>
          <w:sz w:val="24"/>
        </w:rPr>
      </w:pPr>
      <w:r w:rsidRPr="00234CC4">
        <w:rPr>
          <w:rFonts w:ascii="Times New Roman" w:hAnsi="Times New Roman"/>
          <w:i/>
          <w:sz w:val="24"/>
        </w:rPr>
        <w:t>Human Resources:</w:t>
      </w:r>
    </w:p>
    <w:p w:rsidR="00127115" w:rsidRDefault="00127115" w:rsidP="00127115">
      <w:pPr>
        <w:pStyle w:val="BodyText"/>
        <w:ind w:left="720"/>
        <w:jc w:val="both"/>
        <w:rPr>
          <w:lang w:val="en-GB"/>
        </w:rPr>
      </w:pPr>
    </w:p>
    <w:p w:rsidR="00AC6240" w:rsidRPr="00127115" w:rsidRDefault="00AC6240" w:rsidP="00127115">
      <w:pPr>
        <w:ind w:left="360"/>
        <w:rPr>
          <w:szCs w:val="22"/>
        </w:rPr>
      </w:pPr>
      <w:r w:rsidRPr="00127115">
        <w:rPr>
          <w:szCs w:val="22"/>
        </w:rPr>
        <w:t xml:space="preserve">It was planned to recruit and place professional Project Manager in the Federal Ministry of Agriculture and Rural </w:t>
      </w:r>
      <w:r w:rsidR="00127115" w:rsidRPr="00127115">
        <w:rPr>
          <w:szCs w:val="22"/>
        </w:rPr>
        <w:t>D</w:t>
      </w:r>
      <w:r w:rsidRPr="00127115">
        <w:rPr>
          <w:szCs w:val="22"/>
        </w:rPr>
        <w:t>evelopment</w:t>
      </w:r>
      <w:r w:rsidR="00127115" w:rsidRPr="00127115">
        <w:rPr>
          <w:szCs w:val="22"/>
        </w:rPr>
        <w:t xml:space="preserve"> (MoARD)</w:t>
      </w:r>
      <w:r w:rsidRPr="00127115">
        <w:rPr>
          <w:szCs w:val="22"/>
        </w:rPr>
        <w:t xml:space="preserve"> and 6 Project </w:t>
      </w:r>
      <w:r w:rsidR="00127115" w:rsidRPr="00127115">
        <w:rPr>
          <w:szCs w:val="22"/>
        </w:rPr>
        <w:t>officers in</w:t>
      </w:r>
      <w:r w:rsidRPr="00127115">
        <w:rPr>
          <w:szCs w:val="22"/>
        </w:rPr>
        <w:t xml:space="preserve"> the targeted 6 districts located in four regional states. </w:t>
      </w:r>
      <w:r w:rsidR="00127115" w:rsidRPr="00127115">
        <w:rPr>
          <w:szCs w:val="22"/>
        </w:rPr>
        <w:t>Currently the recruitment is under process. The posts will be basically filled by National staff. There is no International Staff planned for this project.</w:t>
      </w:r>
    </w:p>
    <w:p w:rsidR="0098449C" w:rsidRPr="00234CC4" w:rsidRDefault="0098449C" w:rsidP="00127115">
      <w:pPr>
        <w:pStyle w:val="BodyText"/>
        <w:rPr>
          <w:rFonts w:ascii="Times New Roman" w:hAnsi="Times New Roman"/>
          <w:b/>
          <w:sz w:val="24"/>
        </w:rPr>
      </w:pPr>
    </w:p>
    <w:p w:rsidR="0098449C"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4" w:name="_Toc249364485"/>
      <w:r w:rsidRPr="00B32E35">
        <w:rPr>
          <w:rFonts w:ascii="Times New Roman" w:hAnsi="Times New Roman" w:cs="Times New Roman"/>
          <w:sz w:val="24"/>
          <w:szCs w:val="24"/>
        </w:rPr>
        <w:t>Implementation and Monitoring Arrangements</w:t>
      </w:r>
      <w:bookmarkEnd w:id="14"/>
    </w:p>
    <w:p w:rsidR="00127115" w:rsidRDefault="00127115" w:rsidP="00127115">
      <w:pPr>
        <w:jc w:val="both"/>
      </w:pPr>
    </w:p>
    <w:p w:rsidR="00127115" w:rsidRPr="00B762FE" w:rsidRDefault="00127115" w:rsidP="00127115">
      <w:pPr>
        <w:jc w:val="both"/>
      </w:pPr>
      <w:r w:rsidRPr="00B762FE">
        <w:t xml:space="preserve">The Management and coordination arrangement follows the </w:t>
      </w:r>
      <w:r w:rsidRPr="00127115">
        <w:rPr>
          <w:i/>
        </w:rPr>
        <w:t>MDG Achievement Fund Guidance Note</w:t>
      </w:r>
      <w:r w:rsidRPr="00B762FE">
        <w:t>.</w:t>
      </w:r>
      <w:r>
        <w:t xml:space="preserve"> </w:t>
      </w:r>
      <w:r w:rsidRPr="00B762FE">
        <w:t>The UNCT Resident Coordinator (</w:t>
      </w:r>
      <w:r w:rsidRPr="00127115">
        <w:rPr>
          <w:lang w:val="en-GB"/>
        </w:rPr>
        <w:t xml:space="preserve">RC) is entrusted with leadership of the overall programme design, ongoing programmatic oversight of the Fund’s activities by co-chairing the National Steering Committee meetings, at the highest level of government-donor forum. The RC’s role is to facilitate collaboration between Participating UN organisations to ensure that the programme is on track and that envisaged results are being delivered. He will also be the main interface between the MDG Achievement Fund Secretariat and the Multi donor Trust Fund Office on one hand and the UNCT on the other </w:t>
      </w:r>
      <w:r w:rsidRPr="00B762FE">
        <w:t xml:space="preserve">equivalent to a program Management Committee(s) (PMC), as indicated in the </w:t>
      </w:r>
      <w:r w:rsidRPr="00127115">
        <w:rPr>
          <w:i/>
        </w:rPr>
        <w:t>MDG Achievement Fund Guidance Note</w:t>
      </w:r>
      <w:r w:rsidRPr="00B762FE">
        <w:t xml:space="preserve">. </w:t>
      </w:r>
    </w:p>
    <w:p w:rsidR="00127115" w:rsidRDefault="00127115" w:rsidP="00127115"/>
    <w:p w:rsidR="001B1291" w:rsidRPr="00B762FE" w:rsidRDefault="001B1291" w:rsidP="001B1291">
      <w:pPr>
        <w:jc w:val="both"/>
        <w:rPr>
          <w:b/>
        </w:rPr>
      </w:pPr>
      <w:r w:rsidRPr="00B762FE">
        <w:rPr>
          <w:lang w:val="en-GB"/>
        </w:rPr>
        <w:t>The JP will primarily be implemented through government implementing partners and coordinated by MoARD and BoARDs district counterpart offices. UNDP, FAO and UNEP will release funds to the federal implementing partners upon receipt of fund release authorization from National PMT (MoARD) for the federal level activities. Funds from the UN participating agencies will be channelled to the regional Bureau of Finance and Economic Development (BoFED) for the regional level activties. Upon request for funds by BoARD, BoFED will disburse funds to implementing regional partners. Key implementing partners are MoARD/BoARD, EPA/BoEP and other sectors will provide technical support and collaboration. The UN will provide technical support in programme implementation. As figure 2 above shows, through the technical structures at the regional and sub-regional levels, programme implementation will be strengthened. Implementing partners will report to the regional PMT (BoARD). , which will compile reports and report to  BoFED that will then report to the participating UN Agency, MoARD and MoFED. This structure</w:t>
      </w:r>
      <w:r w:rsidRPr="00B762FE">
        <w:t xml:space="preserve"> will facilitate harmonized reporting. The selected pastoral communities will directly participate/ undertake through CBOs </w:t>
      </w:r>
      <w:r w:rsidRPr="00B762FE">
        <w:lastRenderedPageBreak/>
        <w:t xml:space="preserve">all activities indicated in the results framework. Their involvement will encompass planning, implementation and evaluation process of the JP such as supplying desired information for enhancing their </w:t>
      </w:r>
      <w:r w:rsidR="006674B6" w:rsidRPr="00B762FE">
        <w:t>coping</w:t>
      </w:r>
      <w:r w:rsidRPr="00B762FE">
        <w:t xml:space="preserve"> mechanisms, will be involved in relevant training prepared for them, and undertake the activities indicated in pastoral community </w:t>
      </w:r>
      <w:r w:rsidR="006674B6" w:rsidRPr="00B762FE">
        <w:t>coping</w:t>
      </w:r>
      <w:r w:rsidRPr="00B762FE">
        <w:t xml:space="preserve"> mechanisms /sustainable livelihood. The communities will be involved highly in site identification and selection for the interventions from the beginning up to the monitoring and evaluation.</w:t>
      </w:r>
      <w:r w:rsidRPr="00B762FE">
        <w:rPr>
          <w:b/>
        </w:rPr>
        <w:t xml:space="preserve">     </w:t>
      </w:r>
    </w:p>
    <w:p w:rsidR="001B1291" w:rsidRPr="00B762FE" w:rsidRDefault="001B1291" w:rsidP="001B1291">
      <w:pPr>
        <w:jc w:val="both"/>
        <w:rPr>
          <w:b/>
        </w:rPr>
      </w:pPr>
    </w:p>
    <w:p w:rsidR="00127115" w:rsidRDefault="001B1291" w:rsidP="00127115">
      <w:r>
        <w:t xml:space="preserve">As the project is still at start up there is no as such match to say with regards to </w:t>
      </w:r>
      <w:r w:rsidRPr="00234CC4">
        <w:t>procurement procedures utilized and variances in standard procedures</w:t>
      </w:r>
      <w:r>
        <w:t>,</w:t>
      </w:r>
      <w:r w:rsidRPr="00234CC4">
        <w:t>.</w:t>
      </w:r>
    </w:p>
    <w:p w:rsidR="00127115" w:rsidRDefault="00127115" w:rsidP="00127115"/>
    <w:p w:rsidR="001B1291" w:rsidRPr="00B762FE" w:rsidRDefault="001B1291" w:rsidP="001B1291">
      <w:pPr>
        <w:pStyle w:val="BodyText2"/>
        <w:spacing w:line="240" w:lineRule="auto"/>
        <w:jc w:val="both"/>
      </w:pPr>
      <w:r w:rsidRPr="00B762FE">
        <w:t xml:space="preserve">This JP will be monitored throughout the three years of its life span, and evaluated within the M&amp;E guidelines of the MDG Fund, and according to the UNDAF M&amp;E plan. The common work plan will be reviewed annually. On an annual basis, the UN lead organization for each output are required to provide narrative reports on results achieved, lessons learnt and the contributions made to the Joint Program. The reporting format will be anchored in the common results framework (for format, refer UNDG guideline Note on Joint Program). The agencies will channel their report contributions directly into an integrated reporting system. The monitoring system will track the participating UN organizations individual contributions to the program outputs. In addition to the required annual reports participating UN organizations will provide quarterly updates to ensure an open flow of information to the donor. The JP will have a final evaluation and </w:t>
      </w:r>
      <w:r w:rsidR="00853437" w:rsidRPr="00B762FE">
        <w:t>midterm</w:t>
      </w:r>
      <w:r w:rsidRPr="00B762FE">
        <w:t xml:space="preserve"> review. The </w:t>
      </w:r>
      <w:r w:rsidR="00853437" w:rsidRPr="00B762FE">
        <w:t>midterm</w:t>
      </w:r>
      <w:r w:rsidRPr="00B762FE">
        <w:t xml:space="preserve"> review will be organized by the MDG-F Secretariat. </w:t>
      </w:r>
    </w:p>
    <w:p w:rsidR="0098449C" w:rsidRPr="001B1291" w:rsidRDefault="001B1291" w:rsidP="001B1291">
      <w:pPr>
        <w:pStyle w:val="BodyText"/>
        <w:jc w:val="both"/>
        <w:rPr>
          <w:rFonts w:ascii="Times New Roman" w:hAnsi="Times New Roman" w:cs="Times New Roman"/>
          <w:sz w:val="24"/>
          <w:szCs w:val="24"/>
        </w:rPr>
      </w:pPr>
      <w:r w:rsidRPr="001B1291">
        <w:rPr>
          <w:rFonts w:ascii="Times New Roman" w:hAnsi="Times New Roman" w:cs="Times New Roman"/>
          <w:sz w:val="24"/>
          <w:szCs w:val="24"/>
        </w:rPr>
        <w:t xml:space="preserve">As the project is still at start up there is no as such match to say with regards to </w:t>
      </w:r>
      <w:r>
        <w:rPr>
          <w:rFonts w:ascii="Times New Roman" w:hAnsi="Times New Roman" w:cs="Times New Roman"/>
          <w:sz w:val="24"/>
          <w:szCs w:val="24"/>
        </w:rPr>
        <w:t>‘</w:t>
      </w:r>
      <w:r w:rsidR="0098449C" w:rsidRPr="001B1291">
        <w:rPr>
          <w:rFonts w:ascii="Times New Roman" w:hAnsi="Times New Roman" w:cs="Times New Roman"/>
          <w:sz w:val="24"/>
          <w:szCs w:val="24"/>
        </w:rPr>
        <w:t>Report</w:t>
      </w:r>
      <w:r>
        <w:rPr>
          <w:rFonts w:ascii="Times New Roman" w:hAnsi="Times New Roman" w:cs="Times New Roman"/>
          <w:sz w:val="24"/>
          <w:szCs w:val="24"/>
        </w:rPr>
        <w:t xml:space="preserve">ing </w:t>
      </w:r>
      <w:r w:rsidR="0098449C" w:rsidRPr="001B1291">
        <w:rPr>
          <w:rFonts w:ascii="Times New Roman" w:hAnsi="Times New Roman" w:cs="Times New Roman"/>
          <w:sz w:val="24"/>
          <w:szCs w:val="24"/>
        </w:rPr>
        <w:t>on any assessments, evaluations or studies undertaken</w:t>
      </w:r>
      <w:r>
        <w:rPr>
          <w:rFonts w:ascii="Times New Roman" w:hAnsi="Times New Roman" w:cs="Times New Roman"/>
          <w:sz w:val="24"/>
          <w:szCs w:val="24"/>
        </w:rPr>
        <w:t>’</w:t>
      </w:r>
      <w:r w:rsidR="0098449C" w:rsidRPr="001B1291">
        <w:rPr>
          <w:rFonts w:ascii="Times New Roman" w:hAnsi="Times New Roman" w:cs="Times New Roman"/>
          <w:sz w:val="24"/>
          <w:szCs w:val="24"/>
        </w:rPr>
        <w:t>.</w:t>
      </w:r>
    </w:p>
    <w:p w:rsidR="0098449C" w:rsidRDefault="0098449C" w:rsidP="0098449C">
      <w:pPr>
        <w:pStyle w:val="BodyText"/>
        <w:rPr>
          <w:rFonts w:ascii="Times New Roman" w:hAnsi="Times New Roman"/>
          <w:b/>
          <w:sz w:val="24"/>
        </w:rPr>
      </w:pPr>
    </w:p>
    <w:p w:rsidR="00151B6E" w:rsidRDefault="00151B6E">
      <w:pPr>
        <w:spacing w:after="200" w:line="276" w:lineRule="auto"/>
        <w:rPr>
          <w:rFonts w:cs="Arial"/>
          <w:b/>
          <w:szCs w:val="20"/>
        </w:rPr>
      </w:pPr>
      <w:r>
        <w:rPr>
          <w:b/>
        </w:rPr>
        <w:br w:type="page"/>
      </w:r>
    </w:p>
    <w:p w:rsidR="001B1291" w:rsidRPr="00234CC4" w:rsidRDefault="001B1291" w:rsidP="0098449C">
      <w:pPr>
        <w:pStyle w:val="BodyText"/>
        <w:rPr>
          <w:rFonts w:ascii="Times New Roman" w:hAnsi="Times New Roman"/>
          <w:b/>
          <w:sz w:val="24"/>
        </w:rPr>
      </w:pPr>
    </w:p>
    <w:p w:rsidR="0098449C"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5" w:name="_Toc249364486"/>
      <w:r w:rsidRPr="00B32E35">
        <w:rPr>
          <w:rFonts w:ascii="Times New Roman" w:hAnsi="Times New Roman" w:cs="Times New Roman"/>
          <w:sz w:val="24"/>
          <w:szCs w:val="24"/>
        </w:rPr>
        <w:t>Results</w:t>
      </w:r>
      <w:bookmarkEnd w:id="15"/>
      <w:r w:rsidRPr="00B32E35">
        <w:rPr>
          <w:rFonts w:ascii="Times New Roman" w:hAnsi="Times New Roman" w:cs="Times New Roman"/>
          <w:sz w:val="24"/>
          <w:szCs w:val="24"/>
        </w:rPr>
        <w:t xml:space="preserve"> </w:t>
      </w:r>
    </w:p>
    <w:p w:rsidR="00127115" w:rsidRDefault="00127115" w:rsidP="00127115"/>
    <w:p w:rsidR="0098449C" w:rsidRDefault="001B1291" w:rsidP="001B1291">
      <w:pPr>
        <w:pStyle w:val="BodyText"/>
        <w:jc w:val="both"/>
        <w:rPr>
          <w:rFonts w:ascii="Times New Roman" w:hAnsi="Times New Roman"/>
          <w:sz w:val="24"/>
        </w:rPr>
      </w:pPr>
      <w:r w:rsidRPr="001B1291">
        <w:rPr>
          <w:rFonts w:ascii="Times New Roman" w:hAnsi="Times New Roman" w:cs="Times New Roman"/>
          <w:sz w:val="24"/>
          <w:szCs w:val="24"/>
        </w:rPr>
        <w:t xml:space="preserve">As the project is still at start up there is no as such match to say with regards to </w:t>
      </w:r>
      <w:r w:rsidR="0098449C">
        <w:rPr>
          <w:rFonts w:ascii="Times New Roman" w:hAnsi="Times New Roman"/>
          <w:sz w:val="24"/>
        </w:rPr>
        <w:t xml:space="preserve">Programme </w:t>
      </w:r>
      <w:r w:rsidR="0098449C" w:rsidRPr="00234CC4">
        <w:rPr>
          <w:rFonts w:ascii="Times New Roman" w:hAnsi="Times New Roman"/>
          <w:sz w:val="24"/>
        </w:rPr>
        <w:t>progress in relation to planned outcomes and outputs</w:t>
      </w:r>
      <w:r>
        <w:rPr>
          <w:rFonts w:ascii="Times New Roman" w:hAnsi="Times New Roman"/>
          <w:sz w:val="24"/>
        </w:rPr>
        <w:t>.</w:t>
      </w:r>
    </w:p>
    <w:p w:rsidR="002274F2" w:rsidRDefault="002274F2" w:rsidP="001B1291">
      <w:pPr>
        <w:pStyle w:val="BodyText"/>
        <w:jc w:val="both"/>
        <w:rPr>
          <w:rFonts w:ascii="Times New Roman" w:hAnsi="Times New Roman"/>
          <w:sz w:val="24"/>
        </w:rPr>
      </w:pPr>
    </w:p>
    <w:p w:rsidR="002274F2" w:rsidRDefault="002274F2" w:rsidP="001B1291">
      <w:pPr>
        <w:pStyle w:val="BodyText"/>
        <w:jc w:val="both"/>
        <w:rPr>
          <w:rFonts w:ascii="Times New Roman" w:hAnsi="Times New Roman"/>
          <w:bCs/>
          <w:sz w:val="24"/>
        </w:rPr>
      </w:pPr>
      <w:r>
        <w:rPr>
          <w:rFonts w:ascii="Times New Roman" w:hAnsi="Times New Roman"/>
          <w:sz w:val="24"/>
        </w:rPr>
        <w:t xml:space="preserve">There is a delay </w:t>
      </w:r>
      <w:r w:rsidRPr="00234CC4">
        <w:rPr>
          <w:rFonts w:ascii="Times New Roman" w:hAnsi="Times New Roman"/>
          <w:bCs/>
          <w:sz w:val="24"/>
        </w:rPr>
        <w:t>in pro</w:t>
      </w:r>
      <w:r>
        <w:rPr>
          <w:rFonts w:ascii="Times New Roman" w:hAnsi="Times New Roman"/>
          <w:bCs/>
          <w:sz w:val="24"/>
        </w:rPr>
        <w:t>gramme</w:t>
      </w:r>
      <w:r w:rsidRPr="00234CC4">
        <w:rPr>
          <w:rFonts w:ascii="Times New Roman" w:hAnsi="Times New Roman"/>
          <w:bCs/>
          <w:sz w:val="24"/>
        </w:rPr>
        <w:t xml:space="preserve"> implementation</w:t>
      </w:r>
      <w:r w:rsidR="00881FDA">
        <w:rPr>
          <w:rFonts w:ascii="Times New Roman" w:hAnsi="Times New Roman"/>
          <w:bCs/>
          <w:sz w:val="24"/>
        </w:rPr>
        <w:t xml:space="preserve">. </w:t>
      </w:r>
      <w:r w:rsidR="00881FDA" w:rsidRPr="00234CC4">
        <w:rPr>
          <w:rFonts w:ascii="Times New Roman" w:hAnsi="Times New Roman"/>
          <w:bCs/>
          <w:sz w:val="24"/>
        </w:rPr>
        <w:t xml:space="preserve">The nature of the constraints, actions </w:t>
      </w:r>
      <w:r w:rsidR="00881FDA">
        <w:rPr>
          <w:rFonts w:ascii="Times New Roman" w:hAnsi="Times New Roman"/>
          <w:bCs/>
          <w:sz w:val="24"/>
        </w:rPr>
        <w:t>being taken to mitigate future delays are summarized as follows</w:t>
      </w:r>
    </w:p>
    <w:p w:rsidR="00881FDA" w:rsidRDefault="00881FDA" w:rsidP="001B1291">
      <w:pPr>
        <w:pStyle w:val="BodyText"/>
        <w:jc w:val="both"/>
        <w:rPr>
          <w:rFonts w:ascii="Times New Roman" w:hAnsi="Times New Roman"/>
          <w:bCs/>
          <w:sz w:val="24"/>
        </w:rPr>
      </w:pPr>
    </w:p>
    <w:tbl>
      <w:tblPr>
        <w:tblpPr w:leftFromText="180" w:rightFromText="180" w:vertAnchor="text" w:tblpXSpec="right" w:tblpY="1"/>
        <w:tblOverlap w:val="never"/>
        <w:tblW w:w="5078" w:type="pct"/>
        <w:jc w:val="right"/>
        <w:tblLayout w:type="fixed"/>
        <w:tblLook w:val="04A0"/>
      </w:tblPr>
      <w:tblGrid>
        <w:gridCol w:w="2128"/>
        <w:gridCol w:w="2750"/>
        <w:gridCol w:w="1929"/>
        <w:gridCol w:w="2918"/>
      </w:tblGrid>
      <w:tr w:rsidR="00881FDA" w:rsidRPr="001318AE" w:rsidTr="001318AE">
        <w:trPr>
          <w:trHeight w:val="300"/>
          <w:jc w:val="right"/>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DA" w:rsidRPr="001318AE" w:rsidRDefault="00881FDA" w:rsidP="00EA5FB4">
            <w:pPr>
              <w:jc w:val="center"/>
              <w:rPr>
                <w:b/>
                <w:bCs/>
                <w:color w:val="000000"/>
              </w:rPr>
            </w:pPr>
            <w:r w:rsidRPr="001318AE">
              <w:rPr>
                <w:b/>
                <w:bCs/>
                <w:color w:val="000000"/>
              </w:rPr>
              <w:t>Challenges emanated from UN Agency</w:t>
            </w:r>
          </w:p>
        </w:tc>
        <w:tc>
          <w:tcPr>
            <w:tcW w:w="1414" w:type="pct"/>
            <w:tcBorders>
              <w:top w:val="single" w:sz="4" w:space="0" w:color="auto"/>
              <w:left w:val="nil"/>
              <w:bottom w:val="single" w:sz="4" w:space="0" w:color="auto"/>
              <w:right w:val="single" w:sz="4" w:space="0" w:color="auto"/>
            </w:tcBorders>
            <w:shd w:val="clear" w:color="auto" w:fill="auto"/>
            <w:noWrap/>
            <w:vAlign w:val="bottom"/>
            <w:hideMark/>
          </w:tcPr>
          <w:p w:rsidR="00881FDA" w:rsidRPr="001318AE" w:rsidRDefault="00881FDA" w:rsidP="00EA5FB4">
            <w:pPr>
              <w:jc w:val="center"/>
              <w:rPr>
                <w:b/>
                <w:bCs/>
                <w:color w:val="000000"/>
              </w:rPr>
            </w:pPr>
            <w:r w:rsidRPr="001318AE">
              <w:rPr>
                <w:b/>
                <w:bCs/>
                <w:color w:val="000000"/>
              </w:rPr>
              <w:t>Challenges  emanated from  IPs</w:t>
            </w:r>
          </w:p>
        </w:tc>
        <w:tc>
          <w:tcPr>
            <w:tcW w:w="992" w:type="pct"/>
            <w:tcBorders>
              <w:top w:val="single" w:sz="4" w:space="0" w:color="auto"/>
              <w:left w:val="nil"/>
              <w:bottom w:val="single" w:sz="4" w:space="0" w:color="auto"/>
              <w:right w:val="single" w:sz="4" w:space="0" w:color="auto"/>
            </w:tcBorders>
            <w:shd w:val="clear" w:color="auto" w:fill="auto"/>
            <w:noWrap/>
            <w:vAlign w:val="bottom"/>
            <w:hideMark/>
          </w:tcPr>
          <w:p w:rsidR="00881FDA" w:rsidRPr="001318AE" w:rsidRDefault="00881FDA" w:rsidP="00EA5FB4">
            <w:pPr>
              <w:jc w:val="center"/>
              <w:rPr>
                <w:b/>
                <w:bCs/>
                <w:color w:val="000000"/>
              </w:rPr>
            </w:pPr>
            <w:r w:rsidRPr="001318AE">
              <w:rPr>
                <w:b/>
                <w:bCs/>
                <w:color w:val="000000"/>
              </w:rPr>
              <w:t>Challenges  emanated from overall process</w:t>
            </w:r>
          </w:p>
        </w:tc>
        <w:tc>
          <w:tcPr>
            <w:tcW w:w="1500" w:type="pct"/>
            <w:tcBorders>
              <w:top w:val="single" w:sz="4" w:space="0" w:color="auto"/>
              <w:left w:val="nil"/>
              <w:bottom w:val="single" w:sz="4" w:space="0" w:color="auto"/>
              <w:right w:val="single" w:sz="4" w:space="0" w:color="auto"/>
            </w:tcBorders>
          </w:tcPr>
          <w:p w:rsidR="00881FDA" w:rsidRPr="001318AE" w:rsidRDefault="00881FDA" w:rsidP="00EA5FB4">
            <w:pPr>
              <w:jc w:val="center"/>
              <w:rPr>
                <w:b/>
                <w:bCs/>
                <w:color w:val="000000"/>
              </w:rPr>
            </w:pPr>
            <w:r w:rsidRPr="001318AE">
              <w:rPr>
                <w:b/>
                <w:bCs/>
                <w:color w:val="000000"/>
              </w:rPr>
              <w:t>Key Actions being undertaken</w:t>
            </w:r>
          </w:p>
        </w:tc>
      </w:tr>
      <w:tr w:rsidR="00881FDA" w:rsidRPr="001318AE" w:rsidTr="001318AE">
        <w:trPr>
          <w:trHeight w:val="2102"/>
          <w:jc w:val="right"/>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881FDA" w:rsidRPr="001318AE" w:rsidRDefault="00881FDA" w:rsidP="00881FDA">
            <w:pPr>
              <w:rPr>
                <w:color w:val="000000"/>
              </w:rPr>
            </w:pPr>
            <w:r w:rsidRPr="001318AE">
              <w:rPr>
                <w:color w:val="000000"/>
              </w:rPr>
              <w:t xml:space="preserve">Turnover of staff working on the project – UNEP has so far designated a third person to work on the project and UNDP responsible person for the project has left UNDP CO for international post in West Africa. </w:t>
            </w:r>
          </w:p>
        </w:tc>
        <w:tc>
          <w:tcPr>
            <w:tcW w:w="1414" w:type="pct"/>
            <w:tcBorders>
              <w:top w:val="single" w:sz="4" w:space="0" w:color="auto"/>
              <w:left w:val="nil"/>
              <w:bottom w:val="single" w:sz="4" w:space="0" w:color="auto"/>
              <w:right w:val="single" w:sz="4" w:space="0" w:color="auto"/>
            </w:tcBorders>
            <w:shd w:val="clear" w:color="auto" w:fill="auto"/>
            <w:hideMark/>
          </w:tcPr>
          <w:p w:rsidR="00881FDA" w:rsidRPr="001318AE" w:rsidRDefault="00881FDA" w:rsidP="00881FDA">
            <w:pPr>
              <w:pStyle w:val="ListParagraph"/>
              <w:numPr>
                <w:ilvl w:val="0"/>
                <w:numId w:val="11"/>
              </w:numPr>
              <w:ind w:left="253" w:hanging="270"/>
              <w:rPr>
                <w:color w:val="000000"/>
              </w:rPr>
            </w:pPr>
            <w:r w:rsidRPr="001318AE">
              <w:rPr>
                <w:color w:val="000000"/>
              </w:rPr>
              <w:t>Slow internal decision making Process in MOARD with regards to recruitment of Project Coordinator. We are still awaiting the formal response from MOARD after negotiation on this matter.</w:t>
            </w:r>
          </w:p>
          <w:p w:rsidR="00881FDA" w:rsidRPr="001318AE" w:rsidRDefault="00881FDA" w:rsidP="00881FDA">
            <w:pPr>
              <w:pStyle w:val="ListParagraph"/>
              <w:numPr>
                <w:ilvl w:val="0"/>
                <w:numId w:val="11"/>
              </w:numPr>
              <w:ind w:left="253" w:hanging="270"/>
              <w:rPr>
                <w:color w:val="000000"/>
              </w:rPr>
            </w:pPr>
            <w:r w:rsidRPr="001318AE">
              <w:rPr>
                <w:color w:val="000000"/>
              </w:rPr>
              <w:t>Lack of ownership of project implementation process. MOARD was initially not fully engaged in the preparation process. Further effort needs to be made to enhance their engagement and commitment to this programme</w:t>
            </w:r>
          </w:p>
        </w:tc>
        <w:tc>
          <w:tcPr>
            <w:tcW w:w="992" w:type="pct"/>
            <w:tcBorders>
              <w:top w:val="single" w:sz="4" w:space="0" w:color="auto"/>
              <w:left w:val="nil"/>
              <w:bottom w:val="single" w:sz="4" w:space="0" w:color="auto"/>
              <w:right w:val="single" w:sz="4" w:space="0" w:color="auto"/>
            </w:tcBorders>
            <w:shd w:val="clear" w:color="auto" w:fill="auto"/>
            <w:hideMark/>
          </w:tcPr>
          <w:p w:rsidR="00881FDA" w:rsidRPr="001318AE" w:rsidRDefault="00881FDA" w:rsidP="00881FDA">
            <w:pPr>
              <w:pStyle w:val="ListParagraph"/>
              <w:numPr>
                <w:ilvl w:val="0"/>
                <w:numId w:val="11"/>
              </w:numPr>
              <w:ind w:left="253" w:hanging="270"/>
              <w:rPr>
                <w:color w:val="000000"/>
              </w:rPr>
            </w:pPr>
            <w:r w:rsidRPr="001318AE">
              <w:rPr>
                <w:color w:val="000000"/>
              </w:rPr>
              <w:t>Slow process in formalizing project management committee (PMC) members.</w:t>
            </w:r>
          </w:p>
          <w:p w:rsidR="00881FDA" w:rsidRPr="001318AE" w:rsidRDefault="00881FDA" w:rsidP="00881FDA">
            <w:pPr>
              <w:pStyle w:val="ListParagraph"/>
              <w:numPr>
                <w:ilvl w:val="0"/>
                <w:numId w:val="11"/>
              </w:numPr>
              <w:ind w:left="253" w:hanging="270"/>
              <w:rPr>
                <w:color w:val="000000"/>
              </w:rPr>
            </w:pPr>
            <w:r w:rsidRPr="001318AE">
              <w:rPr>
                <w:color w:val="000000"/>
              </w:rPr>
              <w:t xml:space="preserve">Slow process in organizing inception workshop, </w:t>
            </w:r>
          </w:p>
          <w:p w:rsidR="00881FDA" w:rsidRPr="001318AE" w:rsidRDefault="00881FDA" w:rsidP="00881FDA">
            <w:pPr>
              <w:pStyle w:val="ListParagraph"/>
              <w:numPr>
                <w:ilvl w:val="0"/>
                <w:numId w:val="11"/>
              </w:numPr>
              <w:ind w:left="253" w:hanging="270"/>
              <w:rPr>
                <w:color w:val="000000"/>
              </w:rPr>
            </w:pPr>
            <w:r w:rsidRPr="001318AE">
              <w:rPr>
                <w:color w:val="000000"/>
              </w:rPr>
              <w:t>Difficulty to find common time for meeting that suit all key stakeholders</w:t>
            </w:r>
          </w:p>
        </w:tc>
        <w:tc>
          <w:tcPr>
            <w:tcW w:w="1500" w:type="pct"/>
            <w:tcBorders>
              <w:top w:val="single" w:sz="4" w:space="0" w:color="auto"/>
              <w:left w:val="nil"/>
              <w:bottom w:val="single" w:sz="4" w:space="0" w:color="auto"/>
              <w:right w:val="single" w:sz="4" w:space="0" w:color="auto"/>
            </w:tcBorders>
          </w:tcPr>
          <w:p w:rsidR="00881FDA" w:rsidRPr="001318AE" w:rsidRDefault="00881FDA" w:rsidP="00EA5FB4">
            <w:pPr>
              <w:pStyle w:val="ListParagraph"/>
              <w:ind w:left="253"/>
              <w:rPr>
                <w:color w:val="000000"/>
              </w:rPr>
            </w:pPr>
            <w:r w:rsidRPr="001318AE">
              <w:rPr>
                <w:color w:val="000000"/>
              </w:rPr>
              <w:t>Vacancy was advertized and competent candidates were shortlist for Programme Coordinator (project Manager); by MOARD. Interview is planned to take place in the first week of April by Project Management Committee.  Once the recruitment of Programme Coordinator is finalized, operationalizing the AWP  through inception workshop at regional  states level will take place, which planned for 3</w:t>
            </w:r>
            <w:r w:rsidRPr="001318AE">
              <w:rPr>
                <w:color w:val="000000"/>
                <w:vertAlign w:val="superscript"/>
              </w:rPr>
              <w:t>rd</w:t>
            </w:r>
            <w:r w:rsidRPr="001318AE">
              <w:rPr>
                <w:color w:val="000000"/>
              </w:rPr>
              <w:t xml:space="preserve"> week of April.</w:t>
            </w:r>
          </w:p>
        </w:tc>
      </w:tr>
    </w:tbl>
    <w:p w:rsidR="007D5D4C" w:rsidRDefault="007D5D4C" w:rsidP="007D5D4C">
      <w:pPr>
        <w:pStyle w:val="Heading1"/>
        <w:tabs>
          <w:tab w:val="left" w:pos="360"/>
        </w:tabs>
        <w:ind w:left="360"/>
        <w:jc w:val="left"/>
        <w:rPr>
          <w:rFonts w:ascii="Times New Roman" w:hAnsi="Times New Roman" w:cs="Times New Roman"/>
          <w:sz w:val="24"/>
          <w:szCs w:val="24"/>
        </w:rPr>
      </w:pPr>
      <w:bookmarkStart w:id="16" w:name="_Toc249364487"/>
    </w:p>
    <w:p w:rsidR="007D5D4C" w:rsidRDefault="007D5D4C" w:rsidP="007D5D4C">
      <w:r>
        <w:br w:type="page"/>
      </w:r>
    </w:p>
    <w:p w:rsidR="0098449C"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r w:rsidRPr="00B32E35">
        <w:rPr>
          <w:rFonts w:ascii="Times New Roman" w:hAnsi="Times New Roman" w:cs="Times New Roman"/>
          <w:sz w:val="24"/>
          <w:szCs w:val="24"/>
        </w:rPr>
        <w:lastRenderedPageBreak/>
        <w:t>Future Work Plan (if applicable)</w:t>
      </w:r>
      <w:bookmarkEnd w:id="16"/>
    </w:p>
    <w:p w:rsidR="00881FDA" w:rsidRDefault="00881FDA" w:rsidP="00881FDA"/>
    <w:p w:rsidR="00881FDA" w:rsidRPr="00881FDA" w:rsidRDefault="00881FDA" w:rsidP="00881FDA">
      <w:r>
        <w:t xml:space="preserve">The </w:t>
      </w:r>
      <w:r w:rsidRPr="00234CC4">
        <w:t xml:space="preserve">projected </w:t>
      </w:r>
      <w:r w:rsidR="007D5D4C" w:rsidRPr="00234CC4">
        <w:t>activities</w:t>
      </w:r>
      <w:r w:rsidR="007D5D4C">
        <w:t xml:space="preserve"> to be executed in the fiscal year (1 January-31 December 2010</w:t>
      </w:r>
      <w:r w:rsidR="007D5D4C" w:rsidRPr="00234CC4">
        <w:t>)</w:t>
      </w:r>
      <w:r w:rsidR="007D5D4C">
        <w:t xml:space="preserve"> are</w:t>
      </w:r>
      <w:r>
        <w:t xml:space="preserve"> basically the first year AWP. Maximum effort will be exerted to accomplish what is put in the first year AWPs and deliver planned resources that </w:t>
      </w:r>
      <w:r w:rsidR="007D5D4C">
        <w:t xml:space="preserve">amounts </w:t>
      </w:r>
      <w:r w:rsidR="007D5D4C" w:rsidRPr="00B762FE">
        <w:rPr>
          <w:rFonts w:ascii="Calibri" w:hAnsi="Calibri"/>
          <w:b/>
          <w:bCs/>
          <w:color w:val="000000"/>
          <w:sz w:val="22"/>
          <w:szCs w:val="22"/>
        </w:rPr>
        <w:t>US</w:t>
      </w:r>
      <w:r>
        <w:rPr>
          <w:rFonts w:ascii="Calibri" w:hAnsi="Calibri"/>
          <w:b/>
          <w:bCs/>
          <w:color w:val="000000"/>
          <w:sz w:val="22"/>
          <w:szCs w:val="22"/>
        </w:rPr>
        <w:t xml:space="preserve">$ </w:t>
      </w:r>
      <w:r w:rsidRPr="00B762FE">
        <w:rPr>
          <w:rFonts w:ascii="Calibri" w:hAnsi="Calibri"/>
          <w:b/>
          <w:bCs/>
          <w:color w:val="000000"/>
          <w:sz w:val="22"/>
          <w:szCs w:val="22"/>
        </w:rPr>
        <w:t>1,368,530</w:t>
      </w:r>
      <w:r w:rsidR="007D5D4C">
        <w:rPr>
          <w:rFonts w:ascii="Calibri" w:hAnsi="Calibri"/>
          <w:b/>
          <w:bCs/>
          <w:color w:val="000000"/>
          <w:sz w:val="22"/>
          <w:szCs w:val="22"/>
        </w:rPr>
        <w:t>.</w:t>
      </w:r>
    </w:p>
    <w:p w:rsidR="00881FDA" w:rsidRDefault="00881FDA" w:rsidP="00881FDA">
      <w:pPr>
        <w:pStyle w:val="BodyText"/>
        <w:tabs>
          <w:tab w:val="left" w:pos="360"/>
        </w:tabs>
        <w:jc w:val="both"/>
        <w:rPr>
          <w:rFonts w:ascii="Times New Roman" w:hAnsi="Times New Roman"/>
          <w:sz w:val="24"/>
        </w:rPr>
      </w:pPr>
    </w:p>
    <w:p w:rsidR="0098449C" w:rsidRPr="00234CC4" w:rsidRDefault="00881FDA" w:rsidP="00881FDA">
      <w:pPr>
        <w:pStyle w:val="BodyText"/>
        <w:tabs>
          <w:tab w:val="left" w:pos="360"/>
        </w:tabs>
        <w:jc w:val="both"/>
        <w:rPr>
          <w:rFonts w:ascii="Times New Roman" w:hAnsi="Times New Roman"/>
          <w:bCs/>
          <w:sz w:val="24"/>
        </w:rPr>
      </w:pPr>
      <w:r>
        <w:rPr>
          <w:rFonts w:ascii="Times New Roman" w:hAnsi="Times New Roman"/>
          <w:sz w:val="24"/>
        </w:rPr>
        <w:t>There will be no</w:t>
      </w:r>
      <w:r w:rsidR="0098449C" w:rsidRPr="00234CC4">
        <w:rPr>
          <w:rFonts w:ascii="Times New Roman" w:hAnsi="Times New Roman"/>
          <w:sz w:val="24"/>
        </w:rPr>
        <w:t xml:space="preserve"> any major adjustments in strategies, targets or key outcomes and outputs planned</w:t>
      </w:r>
      <w:r w:rsidR="0098449C" w:rsidRPr="00234CC4">
        <w:rPr>
          <w:rFonts w:ascii="Times New Roman" w:hAnsi="Times New Roman"/>
          <w:bCs/>
          <w:sz w:val="24"/>
        </w:rPr>
        <w:t xml:space="preserve">. </w:t>
      </w:r>
    </w:p>
    <w:p w:rsidR="0098449C" w:rsidRDefault="0098449C" w:rsidP="0098449C"/>
    <w:p w:rsidR="0098449C" w:rsidRPr="00892409"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7" w:name="_Toc249364488"/>
      <w:r>
        <w:rPr>
          <w:rFonts w:ascii="Times New Roman" w:hAnsi="Times New Roman" w:cs="Times New Roman"/>
          <w:sz w:val="24"/>
          <w:szCs w:val="24"/>
        </w:rPr>
        <w:t>Performance Indicators</w:t>
      </w:r>
      <w:bookmarkEnd w:id="17"/>
      <w:r>
        <w:rPr>
          <w:rFonts w:ascii="Times New Roman" w:hAnsi="Times New Roman" w:cs="Times New Roman"/>
          <w:sz w:val="24"/>
          <w:szCs w:val="24"/>
        </w:rPr>
        <w:t xml:space="preserve"> (optional)</w:t>
      </w:r>
      <w:r w:rsidRPr="00892409">
        <w:rPr>
          <w:rStyle w:val="FootnoteReference"/>
          <w:b w:val="0"/>
          <w:bCs w:val="0"/>
        </w:rPr>
        <w:t xml:space="preserve"> </w:t>
      </w:r>
    </w:p>
    <w:p w:rsidR="0098449C" w:rsidRPr="00BA3272" w:rsidRDefault="0098449C" w:rsidP="0098449C"/>
    <w:p w:rsidR="0098449C" w:rsidRDefault="007D5D4C" w:rsidP="007D5D4C">
      <w:pPr>
        <w:pStyle w:val="BodyText"/>
        <w:tabs>
          <w:tab w:val="left" w:pos="360"/>
        </w:tabs>
        <w:jc w:val="both"/>
        <w:rPr>
          <w:rFonts w:ascii="Times New Roman" w:hAnsi="Times New Roman" w:cs="Times New Roman"/>
          <w:sz w:val="24"/>
          <w:szCs w:val="24"/>
        </w:rPr>
      </w:pPr>
      <w:r>
        <w:rPr>
          <w:rFonts w:ascii="Times New Roman" w:hAnsi="Times New Roman"/>
          <w:sz w:val="24"/>
        </w:rPr>
        <w:t xml:space="preserve">Not applicable </w:t>
      </w:r>
      <w:r>
        <w:rPr>
          <w:rFonts w:ascii="Times New Roman" w:hAnsi="Times New Roman" w:cs="Times New Roman"/>
          <w:sz w:val="24"/>
          <w:szCs w:val="24"/>
        </w:rPr>
        <w:t>a</w:t>
      </w:r>
      <w:r w:rsidRPr="001B1291">
        <w:rPr>
          <w:rFonts w:ascii="Times New Roman" w:hAnsi="Times New Roman" w:cs="Times New Roman"/>
          <w:sz w:val="24"/>
          <w:szCs w:val="24"/>
        </w:rPr>
        <w:t>s the project is still at start up</w:t>
      </w:r>
    </w:p>
    <w:p w:rsidR="007D5D4C" w:rsidRDefault="007D5D4C" w:rsidP="007D5D4C">
      <w:pPr>
        <w:pStyle w:val="BodyText"/>
        <w:tabs>
          <w:tab w:val="left" w:pos="360"/>
        </w:tabs>
        <w:jc w:val="both"/>
        <w:rPr>
          <w:rFonts w:ascii="Times New Roman" w:hAnsi="Times New Roman" w:cs="Times New Roman"/>
          <w:sz w:val="24"/>
          <w:szCs w:val="24"/>
        </w:rPr>
      </w:pPr>
    </w:p>
    <w:p w:rsidR="007D5D4C" w:rsidRPr="000E3E92" w:rsidRDefault="007D5D4C" w:rsidP="007D5D4C">
      <w:pPr>
        <w:pStyle w:val="BodyText"/>
        <w:tabs>
          <w:tab w:val="left" w:pos="360"/>
        </w:tabs>
        <w:jc w:val="both"/>
      </w:pPr>
    </w:p>
    <w:p w:rsidR="0098449C" w:rsidRDefault="0098449C" w:rsidP="0098449C">
      <w:pPr>
        <w:pStyle w:val="Heading1"/>
        <w:numPr>
          <w:ilvl w:val="0"/>
          <w:numId w:val="1"/>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98449C" w:rsidRPr="002A3031" w:rsidRDefault="0098449C" w:rsidP="0098449C"/>
    <w:p w:rsidR="007D5D4C" w:rsidRPr="00B762FE" w:rsidRDefault="007D5D4C" w:rsidP="007D5D4C">
      <w:pPr>
        <w:pStyle w:val="TOC1"/>
        <w:rPr>
          <w:b w:val="0"/>
          <w:sz w:val="22"/>
          <w:szCs w:val="22"/>
        </w:rPr>
      </w:pPr>
      <w:r w:rsidRPr="00B762FE">
        <w:rPr>
          <w:b w:val="0"/>
          <w:sz w:val="22"/>
          <w:szCs w:val="22"/>
        </w:rPr>
        <w:t>BoFED- Bureau of Finance and Economic Development</w:t>
      </w:r>
    </w:p>
    <w:p w:rsidR="007D5D4C" w:rsidRPr="00B762FE" w:rsidRDefault="007D5D4C" w:rsidP="007D5D4C">
      <w:pPr>
        <w:rPr>
          <w:sz w:val="22"/>
          <w:szCs w:val="22"/>
        </w:rPr>
      </w:pPr>
      <w:r w:rsidRPr="00B762FE">
        <w:rPr>
          <w:sz w:val="22"/>
          <w:szCs w:val="22"/>
        </w:rPr>
        <w:t>BoARD – Bureau of Agriculture and Rural Development</w:t>
      </w:r>
    </w:p>
    <w:p w:rsidR="007D5D4C" w:rsidRPr="00B762FE" w:rsidRDefault="007D5D4C" w:rsidP="007D5D4C">
      <w:pPr>
        <w:rPr>
          <w:sz w:val="22"/>
          <w:szCs w:val="22"/>
        </w:rPr>
      </w:pPr>
      <w:r w:rsidRPr="00B762FE">
        <w:rPr>
          <w:sz w:val="22"/>
          <w:szCs w:val="22"/>
        </w:rPr>
        <w:t>BoEP – Bureau of Environment Protection or equivalent</w:t>
      </w:r>
    </w:p>
    <w:p w:rsidR="007D5D4C" w:rsidRPr="00B762FE" w:rsidRDefault="007D5D4C" w:rsidP="007D5D4C">
      <w:pPr>
        <w:rPr>
          <w:sz w:val="22"/>
          <w:szCs w:val="22"/>
        </w:rPr>
      </w:pPr>
      <w:r w:rsidRPr="00B762FE">
        <w:rPr>
          <w:sz w:val="22"/>
          <w:szCs w:val="22"/>
        </w:rPr>
        <w:t>EPA – Environment Protection Authority</w:t>
      </w:r>
    </w:p>
    <w:p w:rsidR="007D5D4C" w:rsidRPr="00B762FE" w:rsidRDefault="007D5D4C" w:rsidP="007D5D4C">
      <w:pPr>
        <w:rPr>
          <w:sz w:val="22"/>
          <w:szCs w:val="22"/>
        </w:rPr>
      </w:pPr>
      <w:r w:rsidRPr="00B762FE">
        <w:rPr>
          <w:sz w:val="22"/>
          <w:szCs w:val="22"/>
        </w:rPr>
        <w:t>FAO – Food and Agriculture organization</w:t>
      </w:r>
    </w:p>
    <w:p w:rsidR="007D5D4C" w:rsidRPr="00B762FE" w:rsidRDefault="007D5D4C" w:rsidP="007D5D4C">
      <w:pPr>
        <w:rPr>
          <w:sz w:val="22"/>
          <w:szCs w:val="22"/>
        </w:rPr>
      </w:pPr>
      <w:r w:rsidRPr="00B762FE">
        <w:rPr>
          <w:sz w:val="22"/>
          <w:szCs w:val="22"/>
        </w:rPr>
        <w:t>MoARD – Ministry of Agriculture and Rural Development</w:t>
      </w:r>
    </w:p>
    <w:p w:rsidR="007D5D4C" w:rsidRPr="00B762FE" w:rsidRDefault="007D5D4C" w:rsidP="007D5D4C">
      <w:pPr>
        <w:rPr>
          <w:sz w:val="22"/>
          <w:szCs w:val="22"/>
        </w:rPr>
      </w:pPr>
      <w:r w:rsidRPr="00B762FE">
        <w:rPr>
          <w:sz w:val="22"/>
          <w:szCs w:val="22"/>
        </w:rPr>
        <w:t>MoFED - Ministry of Finance and Economic Development</w:t>
      </w:r>
    </w:p>
    <w:p w:rsidR="007D5D4C" w:rsidRPr="00B762FE" w:rsidRDefault="007D5D4C" w:rsidP="007D5D4C">
      <w:pPr>
        <w:rPr>
          <w:sz w:val="22"/>
          <w:szCs w:val="22"/>
        </w:rPr>
      </w:pPr>
      <w:r w:rsidRPr="00B762FE">
        <w:rPr>
          <w:sz w:val="22"/>
          <w:szCs w:val="22"/>
        </w:rPr>
        <w:t>PASDEP – Plan for Accelerated Sustained Development to End of Poverty</w:t>
      </w:r>
    </w:p>
    <w:p w:rsidR="007D5D4C" w:rsidRPr="00B762FE" w:rsidRDefault="007D5D4C" w:rsidP="007D5D4C">
      <w:pPr>
        <w:rPr>
          <w:sz w:val="22"/>
          <w:szCs w:val="22"/>
        </w:rPr>
      </w:pPr>
      <w:r w:rsidRPr="00B762FE">
        <w:rPr>
          <w:sz w:val="22"/>
          <w:szCs w:val="22"/>
        </w:rPr>
        <w:t xml:space="preserve">PMC – programme management committee </w:t>
      </w:r>
    </w:p>
    <w:p w:rsidR="007D5D4C" w:rsidRPr="00B762FE" w:rsidRDefault="007D5D4C" w:rsidP="007D5D4C">
      <w:pPr>
        <w:rPr>
          <w:sz w:val="22"/>
          <w:szCs w:val="22"/>
        </w:rPr>
      </w:pPr>
      <w:r w:rsidRPr="00B762FE">
        <w:rPr>
          <w:sz w:val="22"/>
          <w:szCs w:val="22"/>
        </w:rPr>
        <w:t>PSC – programme steering committee</w:t>
      </w:r>
    </w:p>
    <w:p w:rsidR="007D5D4C" w:rsidRPr="00B762FE" w:rsidRDefault="007D5D4C" w:rsidP="007D5D4C">
      <w:pPr>
        <w:rPr>
          <w:sz w:val="22"/>
          <w:szCs w:val="22"/>
        </w:rPr>
      </w:pPr>
      <w:r w:rsidRPr="00B762FE">
        <w:rPr>
          <w:sz w:val="22"/>
          <w:szCs w:val="22"/>
        </w:rPr>
        <w:t>UNDAF- United Nations Development Assistance Framework</w:t>
      </w:r>
    </w:p>
    <w:p w:rsidR="007D5D4C" w:rsidRPr="00B762FE" w:rsidRDefault="007D5D4C" w:rsidP="007D5D4C">
      <w:pPr>
        <w:rPr>
          <w:sz w:val="22"/>
          <w:szCs w:val="22"/>
        </w:rPr>
      </w:pPr>
      <w:r w:rsidRPr="00B762FE">
        <w:rPr>
          <w:sz w:val="22"/>
          <w:szCs w:val="22"/>
        </w:rPr>
        <w:t>UNDP – United Nations Development Program</w:t>
      </w:r>
    </w:p>
    <w:p w:rsidR="007D5D4C" w:rsidRPr="00B762FE" w:rsidRDefault="007D5D4C" w:rsidP="007D5D4C">
      <w:pPr>
        <w:rPr>
          <w:sz w:val="22"/>
          <w:szCs w:val="22"/>
        </w:rPr>
      </w:pPr>
      <w:r w:rsidRPr="00B762FE">
        <w:rPr>
          <w:sz w:val="22"/>
          <w:szCs w:val="22"/>
        </w:rPr>
        <w:t>UNEP - United Nations Environment Program</w:t>
      </w:r>
    </w:p>
    <w:p w:rsidR="007D5D4C" w:rsidRPr="00B762FE" w:rsidRDefault="007D5D4C" w:rsidP="007D5D4C">
      <w:pPr>
        <w:rPr>
          <w:sz w:val="22"/>
          <w:szCs w:val="22"/>
        </w:rPr>
      </w:pPr>
      <w:r w:rsidRPr="00B762FE">
        <w:rPr>
          <w:sz w:val="22"/>
          <w:szCs w:val="22"/>
        </w:rPr>
        <w:t>WFP – World Food Program</w:t>
      </w:r>
    </w:p>
    <w:p w:rsidR="007D5D4C" w:rsidRDefault="007D5D4C" w:rsidP="007D5D4C">
      <w:pPr>
        <w:pStyle w:val="BodyText"/>
        <w:tabs>
          <w:tab w:val="left" w:pos="360"/>
        </w:tabs>
        <w:jc w:val="both"/>
        <w:rPr>
          <w:rFonts w:ascii="Times New Roman" w:hAnsi="Times New Roman"/>
          <w:sz w:val="24"/>
        </w:rPr>
      </w:pPr>
    </w:p>
    <w:sectPr w:rsidR="007D5D4C" w:rsidSect="00461E1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F2" w:rsidRDefault="006865F2" w:rsidP="0098449C">
      <w:r>
        <w:separator/>
      </w:r>
    </w:p>
  </w:endnote>
  <w:endnote w:type="continuationSeparator" w:id="1">
    <w:p w:rsidR="006865F2" w:rsidRDefault="006865F2" w:rsidP="00984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9C" w:rsidRDefault="00EE19DA">
    <w:pPr>
      <w:pStyle w:val="Footer"/>
      <w:jc w:val="center"/>
    </w:pPr>
    <w:fldSimple w:instr=" PAGE   \* MERGEFORMAT ">
      <w:r w:rsidR="00E302C4">
        <w:rPr>
          <w:noProof/>
        </w:rPr>
        <w:t>5</w:t>
      </w:r>
    </w:fldSimple>
  </w:p>
  <w:p w:rsidR="0098449C" w:rsidRPr="00CC6E5F" w:rsidRDefault="0098449C" w:rsidP="00CC6E5F">
    <w:pPr>
      <w:pStyle w:val="PlainText"/>
      <w:spacing w:before="0" w:beforeAutospacing="0" w:after="0" w:afterAutospacing="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F2" w:rsidRDefault="006865F2" w:rsidP="0098449C">
      <w:r>
        <w:separator/>
      </w:r>
    </w:p>
  </w:footnote>
  <w:footnote w:type="continuationSeparator" w:id="1">
    <w:p w:rsidR="006865F2" w:rsidRDefault="006865F2" w:rsidP="0098449C">
      <w:r>
        <w:continuationSeparator/>
      </w:r>
    </w:p>
  </w:footnote>
  <w:footnote w:id="2">
    <w:p w:rsidR="0098449C" w:rsidRPr="000D6D9C" w:rsidRDefault="0098449C" w:rsidP="0098449C">
      <w:pPr>
        <w:pStyle w:val="FootnoteText"/>
        <w:rPr>
          <w:lang w:val="en-GB"/>
        </w:rPr>
      </w:pPr>
      <w:r>
        <w:rPr>
          <w:rStyle w:val="FootnoteReference"/>
        </w:rPr>
        <w:footnoteRef/>
      </w:r>
      <w:r>
        <w:t xml:space="preserve"> The start date is the date of the first transfer of funds from the MDTF Office as Administrative Agent.</w:t>
      </w:r>
    </w:p>
  </w:footnote>
  <w:footnote w:id="3">
    <w:p w:rsidR="0098449C" w:rsidRDefault="0098449C" w:rsidP="0098449C">
      <w:pPr>
        <w:pStyle w:val="FootnoteText"/>
        <w:jc w:val="both"/>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429D3"/>
    <w:multiLevelType w:val="hybridMultilevel"/>
    <w:tmpl w:val="8168D412"/>
    <w:lvl w:ilvl="0" w:tplc="2D383544">
      <w:start w:val="1"/>
      <w:numFmt w:val="decimal"/>
      <w:lvlText w:val="%1."/>
      <w:lvlJc w:val="left"/>
      <w:pPr>
        <w:ind w:left="720" w:hanging="360"/>
      </w:pPr>
      <w:rPr>
        <w:rFonts w:ascii="Verdana" w:hAnsi="Verdan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05F92"/>
    <w:multiLevelType w:val="hybridMultilevel"/>
    <w:tmpl w:val="467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9"/>
  </w:num>
  <w:num w:numId="7">
    <w:abstractNumId w:val="1"/>
  </w:num>
  <w:num w:numId="8">
    <w:abstractNumId w:val="5"/>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applyBreakingRules/>
  </w:compat>
  <w:rsids>
    <w:rsidRoot w:val="0098449C"/>
    <w:rsid w:val="00032E54"/>
    <w:rsid w:val="000E69C3"/>
    <w:rsid w:val="00127115"/>
    <w:rsid w:val="001318AE"/>
    <w:rsid w:val="00151B6E"/>
    <w:rsid w:val="001B1291"/>
    <w:rsid w:val="00216ED4"/>
    <w:rsid w:val="002274F2"/>
    <w:rsid w:val="00341234"/>
    <w:rsid w:val="00461E1B"/>
    <w:rsid w:val="00486C61"/>
    <w:rsid w:val="004E5805"/>
    <w:rsid w:val="006674B6"/>
    <w:rsid w:val="006865F2"/>
    <w:rsid w:val="007D350E"/>
    <w:rsid w:val="007D5D4C"/>
    <w:rsid w:val="007E01C4"/>
    <w:rsid w:val="00853437"/>
    <w:rsid w:val="00881FDA"/>
    <w:rsid w:val="00962631"/>
    <w:rsid w:val="0098449C"/>
    <w:rsid w:val="009A42BC"/>
    <w:rsid w:val="00AC6240"/>
    <w:rsid w:val="00BA0727"/>
    <w:rsid w:val="00C613C7"/>
    <w:rsid w:val="00E302C4"/>
    <w:rsid w:val="00E84D6C"/>
    <w:rsid w:val="00ED7717"/>
    <w:rsid w:val="00EE19DA"/>
    <w:rsid w:val="00FF3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449C"/>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98449C"/>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49C"/>
    <w:rPr>
      <w:rFonts w:ascii="Arial" w:eastAsia="Times New Roman" w:hAnsi="Arial" w:cs="Arial"/>
      <w:b/>
      <w:bCs/>
      <w:sz w:val="20"/>
      <w:szCs w:val="20"/>
    </w:rPr>
  </w:style>
  <w:style w:type="character" w:customStyle="1" w:styleId="Heading2Char">
    <w:name w:val="Heading 2 Char"/>
    <w:basedOn w:val="DefaultParagraphFont"/>
    <w:link w:val="Heading2"/>
    <w:rsid w:val="0098449C"/>
    <w:rPr>
      <w:rFonts w:ascii="Times New Roman" w:eastAsia="Times New Roman" w:hAnsi="Times New Roman" w:cs="Times New Roman"/>
      <w:b/>
      <w:bCs/>
      <w:sz w:val="26"/>
      <w:szCs w:val="24"/>
    </w:rPr>
  </w:style>
  <w:style w:type="character" w:styleId="Hyperlink">
    <w:name w:val="Hyperlink"/>
    <w:basedOn w:val="DefaultParagraphFont"/>
    <w:uiPriority w:val="99"/>
    <w:rsid w:val="0098449C"/>
    <w:rPr>
      <w:color w:val="0000FF"/>
      <w:u w:val="single"/>
    </w:rPr>
  </w:style>
  <w:style w:type="paragraph" w:styleId="BodyText">
    <w:name w:val="Body Text"/>
    <w:basedOn w:val="Normal"/>
    <w:link w:val="BodyTextChar"/>
    <w:rsid w:val="0098449C"/>
    <w:rPr>
      <w:rFonts w:ascii="Arial" w:hAnsi="Arial" w:cs="Arial"/>
      <w:sz w:val="20"/>
      <w:szCs w:val="20"/>
    </w:rPr>
  </w:style>
  <w:style w:type="character" w:customStyle="1" w:styleId="BodyTextChar">
    <w:name w:val="Body Text Char"/>
    <w:basedOn w:val="DefaultParagraphFont"/>
    <w:link w:val="BodyText"/>
    <w:rsid w:val="0098449C"/>
    <w:rPr>
      <w:rFonts w:ascii="Arial" w:eastAsia="Times New Roman" w:hAnsi="Arial" w:cs="Arial"/>
      <w:sz w:val="20"/>
      <w:szCs w:val="20"/>
    </w:rPr>
  </w:style>
  <w:style w:type="paragraph" w:styleId="Footer">
    <w:name w:val="footer"/>
    <w:basedOn w:val="Normal"/>
    <w:link w:val="FooterChar"/>
    <w:rsid w:val="0098449C"/>
    <w:pPr>
      <w:tabs>
        <w:tab w:val="center" w:pos="4320"/>
        <w:tab w:val="right" w:pos="8640"/>
      </w:tabs>
    </w:pPr>
  </w:style>
  <w:style w:type="character" w:customStyle="1" w:styleId="FooterChar">
    <w:name w:val="Footer Char"/>
    <w:basedOn w:val="DefaultParagraphFont"/>
    <w:link w:val="Footer"/>
    <w:rsid w:val="0098449C"/>
    <w:rPr>
      <w:rFonts w:ascii="Times New Roman" w:eastAsia="Times New Roman" w:hAnsi="Times New Roman" w:cs="Times New Roman"/>
      <w:sz w:val="24"/>
      <w:szCs w:val="24"/>
    </w:rPr>
  </w:style>
  <w:style w:type="paragraph" w:styleId="PlainText">
    <w:name w:val="Plain Text"/>
    <w:basedOn w:val="Normal"/>
    <w:link w:val="PlainTextChar"/>
    <w:uiPriority w:val="99"/>
    <w:rsid w:val="0098449C"/>
    <w:pPr>
      <w:spacing w:before="100" w:beforeAutospacing="1" w:after="100" w:afterAutospacing="1"/>
    </w:pPr>
  </w:style>
  <w:style w:type="character" w:customStyle="1" w:styleId="PlainTextChar">
    <w:name w:val="Plain Text Char"/>
    <w:basedOn w:val="DefaultParagraphFont"/>
    <w:link w:val="PlainText"/>
    <w:uiPriority w:val="99"/>
    <w:rsid w:val="0098449C"/>
    <w:rPr>
      <w:rFonts w:ascii="Times New Roman" w:eastAsia="Times New Roman" w:hAnsi="Times New Roman" w:cs="Times New Roman"/>
      <w:sz w:val="24"/>
      <w:szCs w:val="24"/>
    </w:rPr>
  </w:style>
  <w:style w:type="paragraph" w:styleId="FootnoteText">
    <w:name w:val="footnote text"/>
    <w:basedOn w:val="Normal"/>
    <w:link w:val="FootnoteTextChar"/>
    <w:rsid w:val="0098449C"/>
    <w:rPr>
      <w:sz w:val="20"/>
      <w:szCs w:val="20"/>
    </w:rPr>
  </w:style>
  <w:style w:type="character" w:customStyle="1" w:styleId="FootnoteTextChar">
    <w:name w:val="Footnote Text Char"/>
    <w:basedOn w:val="DefaultParagraphFont"/>
    <w:link w:val="FootnoteText"/>
    <w:rsid w:val="0098449C"/>
    <w:rPr>
      <w:rFonts w:ascii="Times New Roman" w:eastAsia="Times New Roman" w:hAnsi="Times New Roman" w:cs="Times New Roman"/>
      <w:sz w:val="20"/>
      <w:szCs w:val="20"/>
    </w:rPr>
  </w:style>
  <w:style w:type="character" w:styleId="FootnoteReference">
    <w:name w:val="footnote reference"/>
    <w:basedOn w:val="DefaultParagraphFont"/>
    <w:rsid w:val="0098449C"/>
    <w:rPr>
      <w:vertAlign w:val="superscript"/>
    </w:rPr>
  </w:style>
  <w:style w:type="paragraph" w:styleId="BalloonText">
    <w:name w:val="Balloon Text"/>
    <w:basedOn w:val="Normal"/>
    <w:link w:val="BalloonTextChar"/>
    <w:uiPriority w:val="99"/>
    <w:semiHidden/>
    <w:unhideWhenUsed/>
    <w:rsid w:val="0098449C"/>
    <w:rPr>
      <w:rFonts w:ascii="Tahoma" w:hAnsi="Tahoma" w:cs="Tahoma"/>
      <w:sz w:val="16"/>
      <w:szCs w:val="16"/>
    </w:rPr>
  </w:style>
  <w:style w:type="character" w:customStyle="1" w:styleId="BalloonTextChar">
    <w:name w:val="Balloon Text Char"/>
    <w:basedOn w:val="DefaultParagraphFont"/>
    <w:link w:val="BalloonText"/>
    <w:uiPriority w:val="99"/>
    <w:semiHidden/>
    <w:rsid w:val="0098449C"/>
    <w:rPr>
      <w:rFonts w:ascii="Tahoma" w:eastAsia="Times New Roman" w:hAnsi="Tahoma" w:cs="Tahoma"/>
      <w:sz w:val="16"/>
      <w:szCs w:val="16"/>
    </w:rPr>
  </w:style>
  <w:style w:type="paragraph" w:styleId="NormalWeb">
    <w:name w:val="Normal (Web)"/>
    <w:basedOn w:val="Normal"/>
    <w:rsid w:val="004E5805"/>
    <w:pPr>
      <w:spacing w:before="100" w:beforeAutospacing="1" w:after="100" w:afterAutospacing="1"/>
    </w:pPr>
    <w:rPr>
      <w:rFonts w:ascii="Book Antiqua" w:hAnsi="Book Antiqua"/>
      <w:lang w:val="en-CA"/>
    </w:rPr>
  </w:style>
  <w:style w:type="paragraph" w:styleId="ListParagraph">
    <w:name w:val="List Paragraph"/>
    <w:basedOn w:val="Normal"/>
    <w:uiPriority w:val="34"/>
    <w:qFormat/>
    <w:rsid w:val="00FF3DE4"/>
    <w:pPr>
      <w:ind w:left="720"/>
      <w:contextualSpacing/>
    </w:pPr>
  </w:style>
  <w:style w:type="paragraph" w:styleId="BodyText2">
    <w:name w:val="Body Text 2"/>
    <w:basedOn w:val="Normal"/>
    <w:link w:val="BodyText2Char"/>
    <w:rsid w:val="001B1291"/>
    <w:pPr>
      <w:spacing w:after="120" w:line="480" w:lineRule="auto"/>
    </w:pPr>
  </w:style>
  <w:style w:type="character" w:customStyle="1" w:styleId="BodyText2Char">
    <w:name w:val="Body Text 2 Char"/>
    <w:basedOn w:val="DefaultParagraphFont"/>
    <w:link w:val="BodyText2"/>
    <w:rsid w:val="001B1291"/>
    <w:rPr>
      <w:rFonts w:ascii="Times New Roman" w:eastAsia="Times New Roman" w:hAnsi="Times New Roman" w:cs="Times New Roman"/>
      <w:sz w:val="24"/>
      <w:szCs w:val="24"/>
    </w:rPr>
  </w:style>
  <w:style w:type="paragraph" w:styleId="TOC1">
    <w:name w:val="toc 1"/>
    <w:basedOn w:val="Normal"/>
    <w:next w:val="Normal"/>
    <w:autoRedefine/>
    <w:semiHidden/>
    <w:rsid w:val="007D5D4C"/>
    <w:pPr>
      <w:keepNext/>
      <w:spacing w:before="60" w:after="60"/>
      <w:outlineLvl w:val="5"/>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reje.Dejen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Dereje Dejene</dc:creator>
  <cp:keywords/>
  <dc:description/>
  <cp:lastModifiedBy>Ines.Mazarrasa</cp:lastModifiedBy>
  <cp:revision>2</cp:revision>
  <dcterms:created xsi:type="dcterms:W3CDTF">2010-03-31T14:33:00Z</dcterms:created>
  <dcterms:modified xsi:type="dcterms:W3CDTF">2010-03-31T14:33:00Z</dcterms:modified>
</cp:coreProperties>
</file>