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73" w:rsidRDefault="00104773" w:rsidP="00104773">
      <w:pPr>
        <w:ind w:left="1080"/>
        <w:jc w:val="both"/>
        <w:rPr>
          <w:rFonts w:ascii="Times New Roman" w:hAnsi="Times New Roman"/>
          <w:b/>
          <w:sz w:val="18"/>
          <w:szCs w:val="18"/>
          <w:lang w:val="fr-FR"/>
        </w:rPr>
      </w:pPr>
      <w:r>
        <w:rPr>
          <w:rFonts w:ascii="Times New Roman" w:hAnsi="Times New Roman"/>
          <w:b/>
          <w:sz w:val="18"/>
          <w:szCs w:val="18"/>
          <w:lang w:val="fr-BE" w:eastAsia="ja-JP"/>
        </w:rPr>
        <w:t>E</w:t>
      </w:r>
      <w:r w:rsidRPr="000C1C6D">
        <w:rPr>
          <w:rFonts w:ascii="Times New Roman" w:hAnsi="Times New Roman"/>
          <w:b/>
          <w:sz w:val="18"/>
          <w:szCs w:val="18"/>
          <w:lang w:val="fr-BE" w:eastAsia="ja-JP"/>
        </w:rPr>
        <w:t>tat d’avancement du projet PBF/BDI/</w:t>
      </w:r>
      <w:r w:rsidRPr="000C1C6D">
        <w:rPr>
          <w:rFonts w:ascii="Times New Roman" w:hAnsi="Times New Roman"/>
          <w:b/>
          <w:sz w:val="18"/>
          <w:szCs w:val="18"/>
          <w:lang w:val="fr-FR"/>
        </w:rPr>
        <w:t>C-4</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09"/>
        <w:gridCol w:w="2693"/>
        <w:gridCol w:w="3686"/>
      </w:tblGrid>
      <w:tr w:rsidR="00104773" w:rsidRPr="00AD1C96" w:rsidTr="00841DF1">
        <w:trPr>
          <w:trHeight w:val="340"/>
        </w:trPr>
        <w:tc>
          <w:tcPr>
            <w:tcW w:w="3261" w:type="dxa"/>
            <w:tcBorders>
              <w:top w:val="double" w:sz="6" w:space="0" w:color="auto"/>
              <w:left w:val="double" w:sz="6" w:space="0" w:color="auto"/>
              <w:right w:val="single" w:sz="4" w:space="0" w:color="auto"/>
            </w:tcBorders>
            <w:vAlign w:val="center"/>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 xml:space="preserve">Domaine Prioritaire </w:t>
            </w:r>
          </w:p>
        </w:tc>
        <w:tc>
          <w:tcPr>
            <w:tcW w:w="7088" w:type="dxa"/>
            <w:gridSpan w:val="3"/>
            <w:tcBorders>
              <w:top w:val="double" w:sz="6" w:space="0" w:color="auto"/>
              <w:left w:val="single" w:sz="4" w:space="0" w:color="auto"/>
              <w:right w:val="double" w:sz="6" w:space="0" w:color="auto"/>
            </w:tcBorders>
            <w:vAlign w:val="center"/>
          </w:tcPr>
          <w:p w:rsidR="00104773" w:rsidRPr="00AD1C96" w:rsidRDefault="00104773" w:rsidP="00841DF1">
            <w:pPr>
              <w:rPr>
                <w:rFonts w:ascii="Times New Roman" w:hAnsi="Times New Roman"/>
                <w:b/>
                <w:sz w:val="18"/>
                <w:szCs w:val="18"/>
                <w:lang w:val="fr-FR"/>
              </w:rPr>
            </w:pPr>
            <w:r w:rsidRPr="00AD1C96">
              <w:rPr>
                <w:rFonts w:ascii="Times New Roman" w:hAnsi="Times New Roman"/>
                <w:b/>
                <w:bCs/>
                <w:sz w:val="18"/>
                <w:szCs w:val="18"/>
                <w:lang w:val="fr-FR"/>
              </w:rPr>
              <w:t xml:space="preserve"> Justice et Droits de l’Homme</w:t>
            </w:r>
          </w:p>
        </w:tc>
      </w:tr>
      <w:tr w:rsidR="00104773" w:rsidRPr="00AD1C96" w:rsidTr="00841DF1">
        <w:trPr>
          <w:trHeight w:val="340"/>
        </w:trPr>
        <w:tc>
          <w:tcPr>
            <w:tcW w:w="3261" w:type="dxa"/>
            <w:tcBorders>
              <w:left w:val="double" w:sz="6" w:space="0" w:color="auto"/>
            </w:tcBorders>
            <w:vAlign w:val="center"/>
          </w:tcPr>
          <w:p w:rsidR="00104773" w:rsidRPr="00AD1C96" w:rsidRDefault="00104773" w:rsidP="00841DF1">
            <w:pPr>
              <w:rPr>
                <w:rFonts w:ascii="Times New Roman" w:hAnsi="Times New Roman"/>
                <w:sz w:val="18"/>
                <w:szCs w:val="18"/>
                <w:lang w:val="fr-FR"/>
              </w:rPr>
            </w:pPr>
            <w:r w:rsidRPr="00AD1C96">
              <w:rPr>
                <w:rFonts w:ascii="Times New Roman" w:hAnsi="Times New Roman"/>
                <w:b/>
                <w:sz w:val="18"/>
                <w:szCs w:val="18"/>
                <w:lang w:val="fr-FR"/>
              </w:rPr>
              <w:t>Entités des Nations Unies chargées  de la mise en œuvre :</w:t>
            </w:r>
            <w:r w:rsidRPr="00AD1C96">
              <w:rPr>
                <w:rFonts w:ascii="Times New Roman" w:hAnsi="Times New Roman"/>
                <w:sz w:val="18"/>
                <w:szCs w:val="18"/>
                <w:lang w:val="fr-FR"/>
              </w:rPr>
              <w:t xml:space="preserve"> </w:t>
            </w:r>
            <w:r w:rsidRPr="00AD1C96">
              <w:rPr>
                <w:rFonts w:ascii="Times New Roman" w:hAnsi="Times New Roman"/>
                <w:b/>
                <w:i/>
                <w:sz w:val="18"/>
                <w:szCs w:val="18"/>
                <w:lang w:val="fr-FR"/>
              </w:rPr>
              <w:t>OHCDH  et  PNUD</w:t>
            </w:r>
          </w:p>
        </w:tc>
        <w:tc>
          <w:tcPr>
            <w:tcW w:w="7088" w:type="dxa"/>
            <w:gridSpan w:val="3"/>
            <w:tcBorders>
              <w:right w:val="double" w:sz="6" w:space="0" w:color="auto"/>
            </w:tcBorders>
            <w:vAlign w:val="center"/>
          </w:tcPr>
          <w:p w:rsidR="00104773" w:rsidRPr="00AD1C96" w:rsidRDefault="00104773" w:rsidP="00841DF1">
            <w:pPr>
              <w:rPr>
                <w:rFonts w:ascii="Times New Roman" w:hAnsi="Times New Roman"/>
                <w:b/>
                <w:bCs/>
                <w:sz w:val="18"/>
                <w:szCs w:val="18"/>
                <w:lang w:val="fr-FR"/>
              </w:rPr>
            </w:pPr>
            <w:r w:rsidRPr="00AD1C96">
              <w:rPr>
                <w:rFonts w:ascii="Times New Roman" w:hAnsi="Times New Roman"/>
                <w:b/>
                <w:bCs/>
                <w:sz w:val="18"/>
                <w:szCs w:val="18"/>
                <w:lang w:val="fr-FR"/>
              </w:rPr>
              <w:t xml:space="preserve">Entité nationale de tutelle : </w:t>
            </w:r>
            <w:r w:rsidRPr="00AD1C96">
              <w:rPr>
                <w:rFonts w:ascii="Times New Roman" w:hAnsi="Times New Roman"/>
                <w:b/>
                <w:bCs/>
                <w:i/>
                <w:sz w:val="18"/>
                <w:szCs w:val="18"/>
                <w:lang w:val="fr-FR"/>
              </w:rPr>
              <w:t>Présidence de la République</w:t>
            </w:r>
          </w:p>
        </w:tc>
      </w:tr>
      <w:tr w:rsidR="00104773" w:rsidRPr="00AD1C96" w:rsidTr="00841DF1">
        <w:trPr>
          <w:trHeight w:val="340"/>
        </w:trPr>
        <w:tc>
          <w:tcPr>
            <w:tcW w:w="3261" w:type="dxa"/>
            <w:tcBorders>
              <w:left w:val="double" w:sz="6" w:space="0" w:color="auto"/>
            </w:tcBorders>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Couverture géographique</w:t>
            </w:r>
          </w:p>
        </w:tc>
        <w:tc>
          <w:tcPr>
            <w:tcW w:w="7088" w:type="dxa"/>
            <w:gridSpan w:val="3"/>
            <w:tcBorders>
              <w:right w:val="double" w:sz="6" w:space="0" w:color="auto"/>
            </w:tcBorders>
          </w:tcPr>
          <w:p w:rsidR="00104773" w:rsidRPr="00AD1C96" w:rsidRDefault="00104773" w:rsidP="00841DF1">
            <w:pPr>
              <w:rPr>
                <w:rFonts w:ascii="Times New Roman" w:hAnsi="Times New Roman"/>
                <w:sz w:val="18"/>
                <w:szCs w:val="18"/>
                <w:lang w:val="fr-FR"/>
              </w:rPr>
            </w:pPr>
            <w:r w:rsidRPr="00AD1C96">
              <w:rPr>
                <w:rFonts w:ascii="Times New Roman" w:hAnsi="Times New Roman"/>
                <w:sz w:val="18"/>
                <w:szCs w:val="18"/>
                <w:lang w:val="fr-FR"/>
              </w:rPr>
              <w:t>Tout le pays</w:t>
            </w:r>
          </w:p>
        </w:tc>
      </w:tr>
      <w:tr w:rsidR="00104773" w:rsidRPr="00AD1C96" w:rsidTr="00841DF1">
        <w:trPr>
          <w:trHeight w:val="487"/>
        </w:trPr>
        <w:tc>
          <w:tcPr>
            <w:tcW w:w="3261" w:type="dxa"/>
            <w:tcBorders>
              <w:left w:val="double" w:sz="6" w:space="0" w:color="auto"/>
            </w:tcBorders>
            <w:shd w:val="clear" w:color="auto" w:fill="FFFF99"/>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Titre du projet</w:t>
            </w:r>
          </w:p>
        </w:tc>
        <w:tc>
          <w:tcPr>
            <w:tcW w:w="7088" w:type="dxa"/>
            <w:gridSpan w:val="3"/>
            <w:tcBorders>
              <w:right w:val="double" w:sz="6" w:space="0" w:color="auto"/>
            </w:tcBorders>
            <w:shd w:val="clear" w:color="auto" w:fill="FFFF99"/>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Appui aux consultations nationales sur la mise en place des mécanismes de justice de transition au Burundi</w:t>
            </w:r>
          </w:p>
        </w:tc>
      </w:tr>
      <w:tr w:rsidR="00104773" w:rsidRPr="00AD1C96" w:rsidTr="00841DF1">
        <w:trPr>
          <w:trHeight w:val="340"/>
        </w:trPr>
        <w:tc>
          <w:tcPr>
            <w:tcW w:w="3261" w:type="dxa"/>
            <w:tcBorders>
              <w:left w:val="double" w:sz="6" w:space="0" w:color="auto"/>
            </w:tcBorders>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Budget approuvé</w:t>
            </w:r>
          </w:p>
        </w:tc>
        <w:tc>
          <w:tcPr>
            <w:tcW w:w="7088" w:type="dxa"/>
            <w:gridSpan w:val="3"/>
            <w:tcBorders>
              <w:right w:val="double" w:sz="6" w:space="0" w:color="auto"/>
            </w:tcBorders>
          </w:tcPr>
          <w:p w:rsidR="00104773" w:rsidRPr="00AD1C96" w:rsidRDefault="00104773" w:rsidP="00841DF1">
            <w:pPr>
              <w:rPr>
                <w:rFonts w:ascii="Times New Roman" w:hAnsi="Times New Roman"/>
                <w:sz w:val="18"/>
                <w:szCs w:val="18"/>
                <w:lang w:val="fr-FR"/>
              </w:rPr>
            </w:pPr>
            <w:r>
              <w:rPr>
                <w:rFonts w:ascii="Times New Roman" w:hAnsi="Times New Roman"/>
                <w:sz w:val="18"/>
                <w:szCs w:val="18"/>
                <w:lang w:val="fr-FR"/>
              </w:rPr>
              <w:t>1,437.958</w:t>
            </w:r>
            <w:r w:rsidRPr="00AD1C96">
              <w:rPr>
                <w:rFonts w:ascii="Times New Roman" w:hAnsi="Times New Roman"/>
                <w:sz w:val="18"/>
                <w:szCs w:val="18"/>
                <w:lang w:val="fr-FR"/>
              </w:rPr>
              <w:t xml:space="preserve"> US$ plus contribution du PNUD</w:t>
            </w:r>
            <w:r>
              <w:rPr>
                <w:rFonts w:ascii="Times New Roman" w:hAnsi="Times New Roman"/>
                <w:sz w:val="18"/>
                <w:szCs w:val="18"/>
                <w:lang w:val="fr-FR"/>
              </w:rPr>
              <w:t> : 340</w:t>
            </w:r>
            <w:r w:rsidRPr="00AD1C96">
              <w:rPr>
                <w:rFonts w:ascii="Times New Roman" w:hAnsi="Times New Roman"/>
                <w:sz w:val="18"/>
                <w:szCs w:val="18"/>
                <w:lang w:val="fr-FR"/>
              </w:rPr>
              <w:t xml:space="preserve">.000 </w:t>
            </w:r>
            <w:r>
              <w:rPr>
                <w:rFonts w:ascii="Times New Roman" w:hAnsi="Times New Roman"/>
                <w:sz w:val="18"/>
                <w:szCs w:val="18"/>
                <w:lang w:val="fr-FR"/>
              </w:rPr>
              <w:t>US$</w:t>
            </w:r>
          </w:p>
        </w:tc>
      </w:tr>
      <w:tr w:rsidR="00104773" w:rsidRPr="00AD1C96" w:rsidTr="00841DF1">
        <w:trPr>
          <w:trHeight w:val="340"/>
        </w:trPr>
        <w:tc>
          <w:tcPr>
            <w:tcW w:w="3261" w:type="dxa"/>
            <w:tcBorders>
              <w:left w:val="double" w:sz="6" w:space="0" w:color="auto"/>
            </w:tcBorders>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Date de transfert des fonds/NY</w:t>
            </w:r>
          </w:p>
        </w:tc>
        <w:tc>
          <w:tcPr>
            <w:tcW w:w="7088" w:type="dxa"/>
            <w:gridSpan w:val="3"/>
            <w:tcBorders>
              <w:right w:val="double" w:sz="6" w:space="0" w:color="auto"/>
            </w:tcBorders>
          </w:tcPr>
          <w:p w:rsidR="00104773" w:rsidRPr="00AD1C96" w:rsidRDefault="00104773" w:rsidP="00841DF1">
            <w:pPr>
              <w:rPr>
                <w:rFonts w:ascii="Times New Roman" w:hAnsi="Times New Roman"/>
                <w:sz w:val="18"/>
                <w:szCs w:val="18"/>
                <w:lang w:val="fr-FR"/>
              </w:rPr>
            </w:pPr>
            <w:r w:rsidRPr="00AD1C96">
              <w:rPr>
                <w:rFonts w:ascii="Times New Roman" w:hAnsi="Times New Roman"/>
                <w:sz w:val="18"/>
                <w:szCs w:val="18"/>
                <w:lang w:val="fr-FR"/>
              </w:rPr>
              <w:t>28 juin 2008</w:t>
            </w:r>
          </w:p>
        </w:tc>
      </w:tr>
      <w:tr w:rsidR="00104773" w:rsidRPr="00AD1C96" w:rsidTr="00841DF1">
        <w:trPr>
          <w:trHeight w:val="340"/>
        </w:trPr>
        <w:tc>
          <w:tcPr>
            <w:tcW w:w="3261" w:type="dxa"/>
            <w:tcBorders>
              <w:left w:val="double" w:sz="6" w:space="0" w:color="auto"/>
            </w:tcBorders>
          </w:tcPr>
          <w:p w:rsidR="00104773" w:rsidRPr="00AD1C96" w:rsidRDefault="00104773" w:rsidP="00841DF1">
            <w:pPr>
              <w:rPr>
                <w:rFonts w:ascii="Times New Roman" w:hAnsi="Times New Roman"/>
                <w:sz w:val="18"/>
                <w:szCs w:val="18"/>
                <w:lang w:val="fr-FR"/>
              </w:rPr>
            </w:pPr>
            <w:r w:rsidRPr="00AD1C96">
              <w:rPr>
                <w:rFonts w:ascii="Times New Roman" w:hAnsi="Times New Roman"/>
                <w:b/>
                <w:sz w:val="18"/>
                <w:szCs w:val="18"/>
                <w:lang w:val="fr-FR"/>
              </w:rPr>
              <w:t xml:space="preserve">Date de démarrage : </w:t>
            </w:r>
            <w:r w:rsidRPr="007A6670">
              <w:rPr>
                <w:rFonts w:ascii="Times New Roman" w:hAnsi="Times New Roman"/>
                <w:sz w:val="18"/>
                <w:szCs w:val="18"/>
                <w:lang w:val="fr-FR"/>
              </w:rPr>
              <w:t>13 août 2008</w:t>
            </w:r>
          </w:p>
        </w:tc>
        <w:tc>
          <w:tcPr>
            <w:tcW w:w="7088" w:type="dxa"/>
            <w:gridSpan w:val="3"/>
            <w:tcBorders>
              <w:right w:val="double" w:sz="6" w:space="0" w:color="auto"/>
            </w:tcBorders>
          </w:tcPr>
          <w:p w:rsidR="00104773" w:rsidRPr="00AD1C96" w:rsidRDefault="00104773" w:rsidP="00841DF1">
            <w:pPr>
              <w:rPr>
                <w:rFonts w:ascii="Times New Roman" w:hAnsi="Times New Roman"/>
                <w:b/>
                <w:sz w:val="18"/>
                <w:szCs w:val="18"/>
                <w:lang w:val="fr-FR"/>
              </w:rPr>
            </w:pPr>
            <w:r w:rsidRPr="00AD1C96">
              <w:rPr>
                <w:rFonts w:ascii="Times New Roman" w:hAnsi="Times New Roman"/>
                <w:b/>
                <w:sz w:val="18"/>
                <w:szCs w:val="18"/>
                <w:lang w:val="fr-FR"/>
              </w:rPr>
              <w:t>Date prévue pour la clôture du projet</w:t>
            </w:r>
            <w:r w:rsidRPr="00AD1C96">
              <w:rPr>
                <w:rFonts w:ascii="Times New Roman" w:hAnsi="Times New Roman"/>
                <w:sz w:val="18"/>
                <w:szCs w:val="18"/>
                <w:lang w:val="fr-FR"/>
              </w:rPr>
              <w:t> :</w:t>
            </w:r>
            <w:r w:rsidRPr="00AD1C96">
              <w:rPr>
                <w:rFonts w:ascii="Times New Roman" w:hAnsi="Times New Roman"/>
                <w:b/>
                <w:sz w:val="18"/>
                <w:szCs w:val="18"/>
                <w:lang w:val="fr-FR"/>
              </w:rPr>
              <w:t xml:space="preserve"> </w:t>
            </w:r>
            <w:r w:rsidRPr="007A6670">
              <w:rPr>
                <w:rFonts w:ascii="Times New Roman" w:hAnsi="Times New Roman"/>
                <w:b/>
                <w:sz w:val="18"/>
                <w:szCs w:val="18"/>
                <w:lang w:val="fr-FR"/>
              </w:rPr>
              <w:t>3</w:t>
            </w:r>
            <w:r>
              <w:rPr>
                <w:rFonts w:ascii="Times New Roman" w:hAnsi="Times New Roman"/>
                <w:b/>
                <w:sz w:val="18"/>
                <w:szCs w:val="18"/>
                <w:lang w:val="fr-FR"/>
              </w:rPr>
              <w:t>0</w:t>
            </w:r>
            <w:r w:rsidRPr="007A6670">
              <w:rPr>
                <w:rFonts w:ascii="Times New Roman" w:hAnsi="Times New Roman"/>
                <w:b/>
                <w:sz w:val="18"/>
                <w:szCs w:val="18"/>
                <w:lang w:val="fr-FR"/>
              </w:rPr>
              <w:t xml:space="preserve"> </w:t>
            </w:r>
            <w:r>
              <w:rPr>
                <w:rFonts w:ascii="Times New Roman" w:hAnsi="Times New Roman"/>
                <w:b/>
                <w:sz w:val="18"/>
                <w:szCs w:val="18"/>
                <w:lang w:val="fr-FR"/>
              </w:rPr>
              <w:t>Avril</w:t>
            </w:r>
            <w:r w:rsidRPr="007A6670">
              <w:rPr>
                <w:rFonts w:ascii="Times New Roman" w:hAnsi="Times New Roman"/>
                <w:b/>
                <w:sz w:val="18"/>
                <w:szCs w:val="18"/>
                <w:lang w:val="fr-FR"/>
              </w:rPr>
              <w:t xml:space="preserve"> 2010</w:t>
            </w:r>
            <w:r w:rsidRPr="00AD1C96">
              <w:rPr>
                <w:rFonts w:ascii="Times New Roman" w:hAnsi="Times New Roman"/>
                <w:b/>
                <w:sz w:val="18"/>
                <w:szCs w:val="18"/>
                <w:lang w:val="fr-FR"/>
              </w:rPr>
              <w:t xml:space="preserve"> </w:t>
            </w:r>
          </w:p>
        </w:tc>
      </w:tr>
      <w:tr w:rsidR="00104773" w:rsidRPr="00AD1C96" w:rsidTr="00841DF1">
        <w:trPr>
          <w:trHeight w:val="340"/>
        </w:trPr>
        <w:tc>
          <w:tcPr>
            <w:tcW w:w="3261" w:type="dxa"/>
            <w:tcBorders>
              <w:left w:val="double" w:sz="6" w:space="0" w:color="auto"/>
              <w:bottom w:val="single" w:sz="4" w:space="0" w:color="auto"/>
            </w:tcBorders>
          </w:tcPr>
          <w:p w:rsidR="00104773" w:rsidRPr="00AD1C96" w:rsidRDefault="00104773" w:rsidP="00841DF1">
            <w:pPr>
              <w:rPr>
                <w:rFonts w:ascii="Times New Roman" w:hAnsi="Times New Roman"/>
                <w:sz w:val="18"/>
                <w:szCs w:val="18"/>
                <w:lang w:val="fr-FR"/>
              </w:rPr>
            </w:pPr>
            <w:r w:rsidRPr="00AD1C96">
              <w:rPr>
                <w:rFonts w:ascii="Times New Roman" w:hAnsi="Times New Roman"/>
                <w:b/>
                <w:sz w:val="18"/>
                <w:szCs w:val="18"/>
                <w:lang w:val="fr-FR"/>
              </w:rPr>
              <w:t xml:space="preserve">Retard  par rapport à la date de clôture  initiale : </w:t>
            </w:r>
            <w:r>
              <w:rPr>
                <w:rFonts w:ascii="Times New Roman" w:hAnsi="Times New Roman"/>
                <w:b/>
                <w:sz w:val="18"/>
                <w:szCs w:val="18"/>
                <w:lang w:val="fr-FR"/>
              </w:rPr>
              <w:t>9</w:t>
            </w:r>
            <w:r w:rsidRPr="007A6670">
              <w:rPr>
                <w:rFonts w:ascii="Times New Roman" w:hAnsi="Times New Roman"/>
                <w:b/>
                <w:sz w:val="18"/>
                <w:szCs w:val="18"/>
                <w:lang w:val="fr-FR"/>
              </w:rPr>
              <w:t> mois</w:t>
            </w:r>
          </w:p>
        </w:tc>
        <w:tc>
          <w:tcPr>
            <w:tcW w:w="7088" w:type="dxa"/>
            <w:gridSpan w:val="3"/>
            <w:tcBorders>
              <w:bottom w:val="single" w:sz="4" w:space="0" w:color="auto"/>
              <w:right w:val="double" w:sz="6" w:space="0" w:color="auto"/>
            </w:tcBorders>
          </w:tcPr>
          <w:p w:rsidR="00104773" w:rsidRPr="00AD1C96" w:rsidRDefault="00104773" w:rsidP="00841DF1">
            <w:pPr>
              <w:spacing w:after="0" w:line="240" w:lineRule="auto"/>
              <w:jc w:val="both"/>
              <w:rPr>
                <w:rFonts w:ascii="Times New Roman" w:hAnsi="Times New Roman"/>
                <w:sz w:val="18"/>
                <w:szCs w:val="18"/>
                <w:lang w:val="fr-FR"/>
              </w:rPr>
            </w:pPr>
            <w:r w:rsidRPr="00AD1C96">
              <w:rPr>
                <w:rFonts w:ascii="Times New Roman" w:hAnsi="Times New Roman"/>
                <w:b/>
                <w:sz w:val="18"/>
                <w:szCs w:val="18"/>
                <w:lang w:val="fr-FR"/>
              </w:rPr>
              <w:t>Commentaires sur le retard :</w:t>
            </w:r>
            <w:r w:rsidRPr="00AD1C96">
              <w:rPr>
                <w:rFonts w:ascii="Times New Roman" w:hAnsi="Times New Roman"/>
                <w:sz w:val="18"/>
                <w:szCs w:val="18"/>
                <w:lang w:val="fr-FR"/>
              </w:rPr>
              <w:t xml:space="preserve"> </w:t>
            </w:r>
            <w:r w:rsidRPr="002B0CF1">
              <w:rPr>
                <w:rFonts w:ascii="Times New Roman" w:hAnsi="Times New Roman"/>
                <w:sz w:val="18"/>
                <w:szCs w:val="18"/>
                <w:lang w:val="fr-FR"/>
              </w:rPr>
              <w:t>Période de mise œuvre du projet plus longue</w:t>
            </w:r>
            <w:r>
              <w:rPr>
                <w:rFonts w:ascii="Times New Roman" w:hAnsi="Times New Roman"/>
                <w:sz w:val="18"/>
                <w:szCs w:val="18"/>
                <w:lang w:val="fr-FR"/>
              </w:rPr>
              <w:t xml:space="preserve"> que prévue</w:t>
            </w:r>
            <w:r w:rsidRPr="002B0CF1">
              <w:rPr>
                <w:rFonts w:ascii="Times New Roman" w:hAnsi="Times New Roman"/>
                <w:sz w:val="18"/>
                <w:szCs w:val="18"/>
                <w:lang w:val="fr-FR"/>
              </w:rPr>
              <w:t xml:space="preserve"> principalement en raison</w:t>
            </w:r>
            <w:r>
              <w:rPr>
                <w:rFonts w:ascii="Times New Roman" w:hAnsi="Times New Roman"/>
                <w:sz w:val="18"/>
                <w:szCs w:val="18"/>
                <w:lang w:val="fr-FR"/>
              </w:rPr>
              <w:t xml:space="preserve"> : (i) </w:t>
            </w:r>
            <w:r w:rsidRPr="002B0CF1">
              <w:rPr>
                <w:rFonts w:ascii="Times New Roman" w:hAnsi="Times New Roman"/>
                <w:sz w:val="18"/>
                <w:szCs w:val="18"/>
                <w:lang w:val="fr-FR"/>
              </w:rPr>
              <w:t xml:space="preserve">des délais de recrutement du personnel et d’acquisition des biens et services tels </w:t>
            </w:r>
            <w:r>
              <w:rPr>
                <w:rFonts w:ascii="Times New Roman" w:hAnsi="Times New Roman"/>
                <w:sz w:val="18"/>
                <w:szCs w:val="18"/>
                <w:lang w:val="fr-FR"/>
              </w:rPr>
              <w:t xml:space="preserve">que </w:t>
            </w:r>
            <w:r w:rsidRPr="002B0CF1">
              <w:rPr>
                <w:rFonts w:ascii="Times New Roman" w:hAnsi="Times New Roman"/>
                <w:sz w:val="18"/>
                <w:szCs w:val="18"/>
                <w:lang w:val="fr-FR"/>
              </w:rPr>
              <w:t>l’élaboration de la méthodologie et des outils de consultations</w:t>
            </w:r>
            <w:r>
              <w:rPr>
                <w:rFonts w:ascii="Times New Roman" w:hAnsi="Times New Roman"/>
                <w:sz w:val="18"/>
                <w:szCs w:val="18"/>
                <w:lang w:val="fr-FR"/>
              </w:rPr>
              <w:t xml:space="preserve"> et (ii) de la durée de la préparation et de l’</w:t>
            </w:r>
            <w:r w:rsidRPr="002B0CF1">
              <w:rPr>
                <w:rFonts w:ascii="Times New Roman" w:hAnsi="Times New Roman"/>
                <w:sz w:val="18"/>
                <w:szCs w:val="18"/>
                <w:lang w:val="fr-FR"/>
              </w:rPr>
              <w:t xml:space="preserve">organisation des consultations </w:t>
            </w:r>
            <w:r>
              <w:rPr>
                <w:rFonts w:ascii="Times New Roman" w:hAnsi="Times New Roman"/>
                <w:sz w:val="18"/>
                <w:szCs w:val="18"/>
                <w:lang w:val="fr-FR"/>
              </w:rPr>
              <w:t>qui avait été sous estimées. La mobilisation des fonds pour la tenue des consultations de la diaspora se sont vues reportées de deux mois.</w:t>
            </w:r>
          </w:p>
        </w:tc>
      </w:tr>
      <w:tr w:rsidR="00104773" w:rsidRPr="00AD1C96" w:rsidTr="00841DF1">
        <w:tc>
          <w:tcPr>
            <w:tcW w:w="10349" w:type="dxa"/>
            <w:gridSpan w:val="4"/>
            <w:tcBorders>
              <w:top w:val="single" w:sz="4" w:space="0" w:color="auto"/>
              <w:left w:val="nil"/>
              <w:bottom w:val="double" w:sz="6" w:space="0" w:color="auto"/>
              <w:right w:val="nil"/>
            </w:tcBorders>
          </w:tcPr>
          <w:p w:rsidR="00104773" w:rsidRDefault="00104773" w:rsidP="00841DF1">
            <w:pPr>
              <w:outlineLvl w:val="0"/>
              <w:rPr>
                <w:rFonts w:ascii="Times New Roman" w:hAnsi="Times New Roman"/>
                <w:b/>
                <w:sz w:val="18"/>
                <w:szCs w:val="18"/>
                <w:lang w:val="fr-FR"/>
              </w:rPr>
            </w:pPr>
          </w:p>
          <w:p w:rsidR="00104773" w:rsidRPr="00AD1C96" w:rsidRDefault="00104773" w:rsidP="00841DF1">
            <w:pPr>
              <w:outlineLvl w:val="0"/>
              <w:rPr>
                <w:rFonts w:ascii="Times New Roman" w:hAnsi="Times New Roman"/>
                <w:b/>
                <w:sz w:val="18"/>
                <w:szCs w:val="18"/>
                <w:lang w:val="fr-FR"/>
              </w:rPr>
            </w:pPr>
            <w:r w:rsidRPr="00AD1C96">
              <w:rPr>
                <w:rFonts w:ascii="Times New Roman" w:hAnsi="Times New Roman"/>
                <w:b/>
                <w:sz w:val="18"/>
                <w:szCs w:val="18"/>
                <w:lang w:val="fr-FR"/>
              </w:rPr>
              <w:t>Réalisations quantitatives par rapport aux objectifs et aux résultats</w:t>
            </w:r>
          </w:p>
        </w:tc>
      </w:tr>
      <w:tr w:rsidR="00104773" w:rsidRPr="00AD1C96" w:rsidTr="00841DF1">
        <w:tc>
          <w:tcPr>
            <w:tcW w:w="3970" w:type="dxa"/>
            <w:gridSpan w:val="2"/>
            <w:tcBorders>
              <w:top w:val="single" w:sz="4" w:space="0" w:color="auto"/>
              <w:left w:val="double" w:sz="6" w:space="0" w:color="auto"/>
              <w:bottom w:val="double" w:sz="6" w:space="0" w:color="auto"/>
              <w:right w:val="single" w:sz="4" w:space="0" w:color="auto"/>
            </w:tcBorders>
          </w:tcPr>
          <w:p w:rsidR="00104773" w:rsidRPr="00AD1C96" w:rsidRDefault="00104773" w:rsidP="00841DF1">
            <w:pPr>
              <w:outlineLvl w:val="0"/>
              <w:rPr>
                <w:rFonts w:ascii="Times New Roman" w:hAnsi="Times New Roman"/>
                <w:b/>
                <w:sz w:val="18"/>
                <w:szCs w:val="18"/>
                <w:lang w:val="fr-FR"/>
              </w:rPr>
            </w:pPr>
            <w:r w:rsidRPr="00AD1C96">
              <w:rPr>
                <w:rFonts w:ascii="Times New Roman" w:hAnsi="Times New Roman"/>
                <w:b/>
                <w:sz w:val="18"/>
                <w:szCs w:val="18"/>
                <w:lang w:val="fr-FR"/>
              </w:rPr>
              <w:t xml:space="preserve">Résultats attendus </w:t>
            </w:r>
          </w:p>
        </w:tc>
        <w:tc>
          <w:tcPr>
            <w:tcW w:w="2693" w:type="dxa"/>
            <w:tcBorders>
              <w:top w:val="single" w:sz="4" w:space="0" w:color="auto"/>
              <w:left w:val="single" w:sz="4" w:space="0" w:color="auto"/>
              <w:bottom w:val="double" w:sz="6" w:space="0" w:color="auto"/>
              <w:right w:val="single" w:sz="4" w:space="0" w:color="auto"/>
            </w:tcBorders>
          </w:tcPr>
          <w:p w:rsidR="00104773" w:rsidRPr="00AD1C96" w:rsidRDefault="00104773" w:rsidP="00841DF1">
            <w:pPr>
              <w:outlineLvl w:val="0"/>
              <w:rPr>
                <w:rFonts w:ascii="Times New Roman" w:hAnsi="Times New Roman"/>
                <w:b/>
                <w:sz w:val="18"/>
                <w:szCs w:val="18"/>
                <w:lang w:val="fr-FR"/>
              </w:rPr>
            </w:pPr>
            <w:r w:rsidRPr="00AD1C96">
              <w:rPr>
                <w:rFonts w:ascii="Times New Roman" w:hAnsi="Times New Roman"/>
                <w:b/>
                <w:sz w:val="18"/>
                <w:szCs w:val="18"/>
                <w:lang w:val="fr-FR"/>
              </w:rPr>
              <w:t xml:space="preserve">Activités prévues </w:t>
            </w:r>
          </w:p>
        </w:tc>
        <w:tc>
          <w:tcPr>
            <w:tcW w:w="3686" w:type="dxa"/>
            <w:tcBorders>
              <w:top w:val="single" w:sz="4" w:space="0" w:color="auto"/>
              <w:left w:val="single" w:sz="4" w:space="0" w:color="auto"/>
              <w:bottom w:val="double" w:sz="6" w:space="0" w:color="auto"/>
              <w:right w:val="double" w:sz="6" w:space="0" w:color="auto"/>
            </w:tcBorders>
          </w:tcPr>
          <w:p w:rsidR="00104773" w:rsidRPr="00AD1C96" w:rsidRDefault="00104773" w:rsidP="00841DF1">
            <w:pPr>
              <w:jc w:val="center"/>
              <w:outlineLvl w:val="0"/>
              <w:rPr>
                <w:rFonts w:ascii="Times New Roman" w:hAnsi="Times New Roman"/>
                <w:b/>
                <w:sz w:val="18"/>
                <w:szCs w:val="18"/>
                <w:lang w:val="fr-FR"/>
              </w:rPr>
            </w:pPr>
            <w:r w:rsidRPr="00AD1C96">
              <w:rPr>
                <w:rFonts w:ascii="Times New Roman" w:hAnsi="Times New Roman"/>
                <w:b/>
                <w:sz w:val="18"/>
                <w:szCs w:val="18"/>
                <w:lang w:val="fr-FR"/>
              </w:rPr>
              <w:t>Réalisations</w:t>
            </w:r>
          </w:p>
        </w:tc>
      </w:tr>
      <w:tr w:rsidR="00104773" w:rsidRPr="00AD1C96" w:rsidTr="00841DF1">
        <w:tc>
          <w:tcPr>
            <w:tcW w:w="3970" w:type="dxa"/>
            <w:gridSpan w:val="2"/>
            <w:tcBorders>
              <w:top w:val="double" w:sz="6" w:space="0" w:color="auto"/>
              <w:left w:val="double" w:sz="6" w:space="0" w:color="auto"/>
              <w:right w:val="single" w:sz="4" w:space="0" w:color="auto"/>
            </w:tcBorders>
          </w:tcPr>
          <w:p w:rsidR="00104773" w:rsidRPr="00AD1C96" w:rsidRDefault="00104773" w:rsidP="00841DF1">
            <w:pPr>
              <w:widowControl w:val="0"/>
              <w:tabs>
                <w:tab w:val="left" w:pos="-720"/>
                <w:tab w:val="left" w:pos="4500"/>
              </w:tabs>
              <w:suppressAutoHyphens/>
              <w:spacing w:after="54"/>
              <w:jc w:val="both"/>
              <w:rPr>
                <w:rFonts w:ascii="Times New Roman" w:hAnsi="Times New Roman"/>
                <w:sz w:val="18"/>
                <w:szCs w:val="18"/>
                <w:lang w:val="fr-FR"/>
              </w:rPr>
            </w:pPr>
            <w:r w:rsidRPr="00AD1C96">
              <w:rPr>
                <w:rFonts w:ascii="Times New Roman" w:hAnsi="Times New Roman"/>
                <w:b/>
                <w:sz w:val="18"/>
                <w:szCs w:val="18"/>
                <w:lang w:val="fr-FR"/>
              </w:rPr>
              <w:t xml:space="preserve">Résultat 1 : </w:t>
            </w:r>
            <w:r w:rsidRPr="00AD1C96">
              <w:rPr>
                <w:rFonts w:ascii="Times New Roman" w:hAnsi="Times New Roman"/>
                <w:sz w:val="18"/>
                <w:szCs w:val="18"/>
                <w:lang w:val="fr-FR"/>
              </w:rPr>
              <w:t>Un environnement favorable à l’appropriation des mécanismes de la justice de transition et à la participation des populations au processus de réconciliation est créé.</w:t>
            </w:r>
          </w:p>
          <w:p w:rsidR="00104773" w:rsidRPr="00AD1C96" w:rsidRDefault="00104773" w:rsidP="00841DF1">
            <w:pPr>
              <w:widowControl w:val="0"/>
              <w:tabs>
                <w:tab w:val="left" w:pos="-720"/>
                <w:tab w:val="left" w:pos="4500"/>
              </w:tabs>
              <w:suppressAutoHyphens/>
              <w:spacing w:after="54"/>
              <w:jc w:val="both"/>
              <w:rPr>
                <w:rFonts w:ascii="Times New Roman" w:hAnsi="Times New Roman"/>
                <w:sz w:val="18"/>
                <w:szCs w:val="18"/>
                <w:lang w:val="fr-FR"/>
              </w:rPr>
            </w:pPr>
          </w:p>
          <w:p w:rsidR="00104773" w:rsidRPr="00AD1C96" w:rsidRDefault="00104773" w:rsidP="00841DF1">
            <w:pPr>
              <w:widowControl w:val="0"/>
              <w:tabs>
                <w:tab w:val="left" w:pos="-720"/>
                <w:tab w:val="left" w:pos="4500"/>
              </w:tabs>
              <w:suppressAutoHyphens/>
              <w:spacing w:after="54"/>
              <w:jc w:val="both"/>
              <w:rPr>
                <w:rFonts w:ascii="Times New Roman" w:hAnsi="Times New Roman"/>
                <w:sz w:val="18"/>
                <w:szCs w:val="18"/>
                <w:lang w:val="fr-FR"/>
              </w:rPr>
            </w:pPr>
          </w:p>
        </w:tc>
        <w:tc>
          <w:tcPr>
            <w:tcW w:w="2693" w:type="dxa"/>
            <w:tcBorders>
              <w:top w:val="double" w:sz="6" w:space="0" w:color="auto"/>
              <w:left w:val="single" w:sz="4" w:space="0" w:color="auto"/>
              <w:right w:val="single" w:sz="4" w:space="0" w:color="auto"/>
            </w:tcBorders>
            <w:shd w:val="clear" w:color="auto" w:fill="auto"/>
          </w:tcPr>
          <w:p w:rsidR="00104773" w:rsidRPr="00AD1C96" w:rsidRDefault="00104773" w:rsidP="00841DF1">
            <w:pPr>
              <w:spacing w:after="120"/>
              <w:ind w:left="360"/>
              <w:jc w:val="both"/>
              <w:rPr>
                <w:rFonts w:ascii="Times New Roman" w:hAnsi="Times New Roman"/>
                <w:bCs/>
                <w:sz w:val="18"/>
                <w:szCs w:val="18"/>
                <w:lang w:val="fr-FR"/>
              </w:rPr>
            </w:pPr>
          </w:p>
        </w:tc>
        <w:tc>
          <w:tcPr>
            <w:tcW w:w="3686" w:type="dxa"/>
            <w:tcBorders>
              <w:top w:val="double" w:sz="6" w:space="0" w:color="auto"/>
              <w:left w:val="single" w:sz="4" w:space="0" w:color="auto"/>
              <w:right w:val="double" w:sz="6" w:space="0" w:color="auto"/>
            </w:tcBorders>
            <w:shd w:val="clear" w:color="auto" w:fill="auto"/>
          </w:tcPr>
          <w:p w:rsidR="00104773" w:rsidRPr="00D9795E" w:rsidRDefault="00104773" w:rsidP="00841DF1">
            <w:pPr>
              <w:ind w:left="360"/>
              <w:jc w:val="both"/>
              <w:rPr>
                <w:rFonts w:ascii="Times New Roman" w:hAnsi="Times New Roman"/>
                <w:bCs/>
                <w:sz w:val="18"/>
                <w:szCs w:val="18"/>
                <w:lang w:val="fr-FR"/>
              </w:rPr>
            </w:pPr>
            <w:r w:rsidRPr="00D9795E">
              <w:rPr>
                <w:rFonts w:ascii="Times New Roman" w:hAnsi="Times New Roman"/>
                <w:sz w:val="18"/>
                <w:szCs w:val="18"/>
                <w:lang w:val="fr-FR"/>
              </w:rPr>
              <w:t xml:space="preserve"> </w:t>
            </w:r>
          </w:p>
        </w:tc>
      </w:tr>
      <w:tr w:rsidR="00104773" w:rsidRPr="00AD1C96" w:rsidTr="00841DF1">
        <w:trPr>
          <w:trHeight w:val="1195"/>
        </w:trPr>
        <w:tc>
          <w:tcPr>
            <w:tcW w:w="3970" w:type="dxa"/>
            <w:gridSpan w:val="2"/>
            <w:tcBorders>
              <w:top w:val="single" w:sz="4" w:space="0" w:color="auto"/>
              <w:left w:val="double" w:sz="6" w:space="0" w:color="auto"/>
              <w:right w:val="single" w:sz="4" w:space="0" w:color="auto"/>
            </w:tcBorders>
          </w:tcPr>
          <w:p w:rsidR="00104773" w:rsidRPr="00AD1C96" w:rsidRDefault="00104773" w:rsidP="00841DF1">
            <w:pPr>
              <w:widowControl w:val="0"/>
              <w:spacing w:after="0" w:line="240" w:lineRule="auto"/>
              <w:jc w:val="both"/>
              <w:rPr>
                <w:rFonts w:ascii="Times New Roman" w:hAnsi="Times New Roman"/>
                <w:sz w:val="18"/>
                <w:szCs w:val="18"/>
                <w:lang w:val="fr-FR"/>
              </w:rPr>
            </w:pPr>
            <w:r w:rsidRPr="00AD1C96">
              <w:rPr>
                <w:rFonts w:ascii="Times New Roman" w:hAnsi="Times New Roman"/>
                <w:b/>
                <w:sz w:val="18"/>
                <w:szCs w:val="18"/>
                <w:lang w:val="fr-FR"/>
              </w:rPr>
              <w:t>Résultat n° 2:</w:t>
            </w:r>
            <w:r w:rsidRPr="00AD1C96">
              <w:rPr>
                <w:rFonts w:ascii="Times New Roman" w:hAnsi="Times New Roman"/>
                <w:b/>
                <w:sz w:val="18"/>
                <w:szCs w:val="18"/>
                <w:lang w:val="fr-FR"/>
              </w:rPr>
              <w:tab/>
            </w:r>
            <w:r w:rsidRPr="00AD1C96">
              <w:rPr>
                <w:rFonts w:ascii="Times New Roman" w:hAnsi="Times New Roman"/>
                <w:sz w:val="18"/>
                <w:szCs w:val="18"/>
                <w:lang w:val="fr-FR"/>
              </w:rPr>
              <w:t>La population burundaise donne ses vues sur les modalités de la mise en place des mécanismes de la justice de transition au Burundi.</w:t>
            </w:r>
          </w:p>
        </w:tc>
        <w:tc>
          <w:tcPr>
            <w:tcW w:w="2693" w:type="dxa"/>
            <w:tcBorders>
              <w:top w:val="single" w:sz="4" w:space="0" w:color="auto"/>
              <w:left w:val="single" w:sz="4" w:space="0" w:color="auto"/>
              <w:right w:val="single" w:sz="4" w:space="0" w:color="auto"/>
            </w:tcBorders>
          </w:tcPr>
          <w:p w:rsidR="00104773" w:rsidRPr="003D09AE" w:rsidRDefault="00104773" w:rsidP="00104773">
            <w:pPr>
              <w:numPr>
                <w:ilvl w:val="0"/>
                <w:numId w:val="1"/>
              </w:numPr>
              <w:spacing w:after="120"/>
              <w:jc w:val="both"/>
              <w:rPr>
                <w:rFonts w:ascii="Times New Roman" w:hAnsi="Times New Roman"/>
                <w:bCs/>
                <w:sz w:val="18"/>
                <w:szCs w:val="18"/>
                <w:lang w:val="fr-FR"/>
              </w:rPr>
            </w:pPr>
            <w:r w:rsidRPr="003D09AE">
              <w:rPr>
                <w:rFonts w:ascii="Times New Roman" w:hAnsi="Times New Roman"/>
                <w:bCs/>
                <w:sz w:val="18"/>
                <w:szCs w:val="18"/>
                <w:lang w:val="fr-FR"/>
              </w:rPr>
              <w:t>Activité 2.2 : Organisation des consultations pour la diaspora.</w:t>
            </w:r>
          </w:p>
        </w:tc>
        <w:tc>
          <w:tcPr>
            <w:tcW w:w="3686" w:type="dxa"/>
            <w:tcBorders>
              <w:top w:val="single" w:sz="4" w:space="0" w:color="auto"/>
              <w:left w:val="single" w:sz="4" w:space="0" w:color="auto"/>
              <w:right w:val="double" w:sz="6" w:space="0" w:color="auto"/>
            </w:tcBorders>
          </w:tcPr>
          <w:p w:rsidR="00104773" w:rsidRPr="003D09AE" w:rsidRDefault="00104773" w:rsidP="00104773">
            <w:pPr>
              <w:numPr>
                <w:ilvl w:val="0"/>
                <w:numId w:val="4"/>
              </w:numPr>
              <w:spacing w:after="0" w:line="240" w:lineRule="auto"/>
              <w:jc w:val="both"/>
              <w:rPr>
                <w:rFonts w:ascii="Times New Roman" w:hAnsi="Times New Roman"/>
                <w:sz w:val="18"/>
                <w:szCs w:val="18"/>
                <w:lang w:val="fr-FR" w:eastAsia="ja-JP"/>
              </w:rPr>
            </w:pPr>
            <w:r w:rsidRPr="003D09AE">
              <w:rPr>
                <w:rFonts w:ascii="Times New Roman" w:hAnsi="Times New Roman"/>
                <w:sz w:val="18"/>
                <w:szCs w:val="18"/>
                <w:lang w:val="fr-FR" w:eastAsia="ja-JP"/>
              </w:rPr>
              <w:t xml:space="preserve">Finalisation des consultations de la diaspora burundaise à Dar es Salam pour les burundais vivant en Tanzanie, Kenya, Rwanda et Uganda et à Bruxelles pour </w:t>
            </w:r>
            <w:proofErr w:type="gramStart"/>
            <w:r w:rsidRPr="003D09AE">
              <w:rPr>
                <w:rFonts w:ascii="Times New Roman" w:hAnsi="Times New Roman"/>
                <w:sz w:val="18"/>
                <w:szCs w:val="18"/>
                <w:lang w:val="fr-FR" w:eastAsia="ja-JP"/>
              </w:rPr>
              <w:t>les burundais vivant</w:t>
            </w:r>
            <w:proofErr w:type="gramEnd"/>
            <w:r w:rsidRPr="003D09AE">
              <w:rPr>
                <w:rFonts w:ascii="Times New Roman" w:hAnsi="Times New Roman"/>
                <w:sz w:val="18"/>
                <w:szCs w:val="18"/>
                <w:lang w:val="fr-FR" w:eastAsia="ja-JP"/>
              </w:rPr>
              <w:t xml:space="preserve"> en Europe.</w:t>
            </w:r>
          </w:p>
          <w:p w:rsidR="00104773" w:rsidRPr="003D09AE" w:rsidRDefault="00104773" w:rsidP="00841DF1">
            <w:pPr>
              <w:spacing w:after="0" w:line="240" w:lineRule="auto"/>
              <w:jc w:val="both"/>
              <w:rPr>
                <w:rFonts w:ascii="Times New Roman" w:hAnsi="Times New Roman"/>
                <w:bCs/>
                <w:sz w:val="18"/>
                <w:szCs w:val="18"/>
                <w:lang w:val="fr-FR"/>
              </w:rPr>
            </w:pPr>
          </w:p>
        </w:tc>
      </w:tr>
      <w:tr w:rsidR="00104773" w:rsidRPr="00AD1C96" w:rsidTr="00841DF1">
        <w:tc>
          <w:tcPr>
            <w:tcW w:w="3970" w:type="dxa"/>
            <w:gridSpan w:val="2"/>
            <w:tcBorders>
              <w:top w:val="single" w:sz="4" w:space="0" w:color="auto"/>
              <w:left w:val="double" w:sz="6" w:space="0" w:color="auto"/>
              <w:bottom w:val="single" w:sz="4" w:space="0" w:color="auto"/>
              <w:right w:val="single" w:sz="4" w:space="0" w:color="auto"/>
            </w:tcBorders>
          </w:tcPr>
          <w:p w:rsidR="00104773" w:rsidRPr="00AD1C96" w:rsidRDefault="00104773" w:rsidP="00841DF1">
            <w:pPr>
              <w:widowControl w:val="0"/>
              <w:spacing w:after="0" w:line="240" w:lineRule="auto"/>
              <w:jc w:val="both"/>
              <w:rPr>
                <w:rFonts w:ascii="Times New Roman" w:hAnsi="Times New Roman"/>
                <w:sz w:val="18"/>
                <w:szCs w:val="18"/>
                <w:lang w:val="fr-FR"/>
              </w:rPr>
            </w:pPr>
            <w:r w:rsidRPr="00AD1C96">
              <w:rPr>
                <w:rFonts w:ascii="Times New Roman" w:hAnsi="Times New Roman"/>
                <w:b/>
                <w:sz w:val="18"/>
                <w:szCs w:val="18"/>
                <w:lang w:val="fr-FR"/>
              </w:rPr>
              <w:t xml:space="preserve">Résultat 3 : </w:t>
            </w:r>
            <w:r w:rsidRPr="00AD1C96">
              <w:rPr>
                <w:rFonts w:ascii="Times New Roman" w:hAnsi="Times New Roman"/>
                <w:b/>
                <w:sz w:val="18"/>
                <w:szCs w:val="18"/>
                <w:lang w:val="fr-FR"/>
              </w:rPr>
              <w:tab/>
            </w:r>
            <w:r w:rsidRPr="00AD1C96">
              <w:rPr>
                <w:rFonts w:ascii="Times New Roman" w:hAnsi="Times New Roman"/>
                <w:bCs/>
                <w:sz w:val="18"/>
                <w:szCs w:val="18"/>
                <w:lang w:val="fr-FR"/>
              </w:rPr>
              <w:t>Les vues de la population burundaise sur les modalités de mise en place des mécanismes de la justice de transition ainsi que les recommandations du CPT sont consignées dans un rapport et diffusées.</w:t>
            </w:r>
            <w:r w:rsidRPr="00AD1C96">
              <w:rPr>
                <w:rFonts w:ascii="Times New Roman" w:hAnsi="Times New Roman"/>
                <w:sz w:val="18"/>
                <w:szCs w:val="18"/>
                <w:lang w:val="fr-FR"/>
              </w:rPr>
              <w:t xml:space="preserve">                  </w:t>
            </w:r>
          </w:p>
        </w:tc>
        <w:tc>
          <w:tcPr>
            <w:tcW w:w="2693" w:type="dxa"/>
            <w:tcBorders>
              <w:top w:val="single" w:sz="4" w:space="0" w:color="auto"/>
              <w:left w:val="single" w:sz="4" w:space="0" w:color="auto"/>
              <w:bottom w:val="single" w:sz="4" w:space="0" w:color="auto"/>
              <w:right w:val="single" w:sz="4" w:space="0" w:color="auto"/>
            </w:tcBorders>
          </w:tcPr>
          <w:p w:rsidR="00104773" w:rsidRPr="003D09AE" w:rsidRDefault="00104773" w:rsidP="00104773">
            <w:pPr>
              <w:numPr>
                <w:ilvl w:val="0"/>
                <w:numId w:val="2"/>
              </w:numPr>
              <w:ind w:left="360"/>
              <w:jc w:val="both"/>
              <w:rPr>
                <w:rFonts w:ascii="Times New Roman" w:hAnsi="Times New Roman"/>
                <w:bCs/>
                <w:sz w:val="18"/>
                <w:szCs w:val="18"/>
                <w:lang w:val="fr-FR"/>
              </w:rPr>
            </w:pPr>
            <w:r w:rsidRPr="003D09AE">
              <w:rPr>
                <w:rFonts w:ascii="Times New Roman" w:hAnsi="Times New Roman"/>
                <w:bCs/>
                <w:sz w:val="18"/>
                <w:szCs w:val="18"/>
                <w:lang w:val="fr-FR"/>
              </w:rPr>
              <w:t>Intégration des résultats des dernières consultations y compris celles de la diaspora.</w:t>
            </w:r>
          </w:p>
        </w:tc>
        <w:tc>
          <w:tcPr>
            <w:tcW w:w="3686" w:type="dxa"/>
            <w:tcBorders>
              <w:top w:val="single" w:sz="4" w:space="0" w:color="auto"/>
              <w:left w:val="single" w:sz="4" w:space="0" w:color="auto"/>
              <w:bottom w:val="single" w:sz="4" w:space="0" w:color="auto"/>
              <w:right w:val="double" w:sz="6" w:space="0" w:color="auto"/>
            </w:tcBorders>
          </w:tcPr>
          <w:p w:rsidR="00104773" w:rsidRPr="003D09AE" w:rsidRDefault="00104773" w:rsidP="00104773">
            <w:pPr>
              <w:numPr>
                <w:ilvl w:val="0"/>
                <w:numId w:val="4"/>
              </w:numPr>
              <w:spacing w:after="0" w:line="240" w:lineRule="auto"/>
              <w:jc w:val="both"/>
              <w:rPr>
                <w:rFonts w:ascii="Times New Roman" w:hAnsi="Times New Roman"/>
                <w:sz w:val="18"/>
                <w:szCs w:val="18"/>
                <w:lang w:val="fr-FR" w:eastAsia="ja-JP"/>
              </w:rPr>
            </w:pPr>
            <w:r w:rsidRPr="003D09AE">
              <w:rPr>
                <w:rFonts w:ascii="Times New Roman" w:hAnsi="Times New Roman"/>
                <w:sz w:val="18"/>
                <w:szCs w:val="18"/>
                <w:lang w:val="fr-FR" w:eastAsia="ja-JP"/>
              </w:rPr>
              <w:t>Saisie des données issues des dernières consultations  et intégration dans le rapport en cours de finalisation.</w:t>
            </w:r>
          </w:p>
          <w:p w:rsidR="00104773" w:rsidRPr="003D09AE" w:rsidRDefault="00104773" w:rsidP="00841DF1">
            <w:pPr>
              <w:ind w:left="360"/>
              <w:jc w:val="both"/>
              <w:rPr>
                <w:rFonts w:ascii="Times New Roman" w:hAnsi="Times New Roman"/>
                <w:sz w:val="18"/>
                <w:szCs w:val="18"/>
                <w:lang w:val="fr-FR"/>
              </w:rPr>
            </w:pPr>
          </w:p>
        </w:tc>
      </w:tr>
      <w:tr w:rsidR="00104773" w:rsidRPr="00AD1C96" w:rsidTr="00841DF1">
        <w:tc>
          <w:tcPr>
            <w:tcW w:w="10349" w:type="dxa"/>
            <w:gridSpan w:val="4"/>
            <w:tcBorders>
              <w:top w:val="single" w:sz="4" w:space="0" w:color="auto"/>
              <w:left w:val="double" w:sz="6" w:space="0" w:color="auto"/>
              <w:bottom w:val="double" w:sz="6" w:space="0" w:color="auto"/>
              <w:right w:val="double" w:sz="6" w:space="0" w:color="auto"/>
            </w:tcBorders>
          </w:tcPr>
          <w:p w:rsidR="00104773" w:rsidRPr="00052DAB" w:rsidRDefault="00104773" w:rsidP="00841DF1">
            <w:pPr>
              <w:jc w:val="both"/>
              <w:rPr>
                <w:rFonts w:ascii="Times New Roman" w:hAnsi="Times New Roman"/>
                <w:b/>
                <w:color w:val="000099"/>
                <w:sz w:val="18"/>
                <w:szCs w:val="18"/>
                <w:lang w:val="fr-FR"/>
              </w:rPr>
            </w:pPr>
            <w:r w:rsidRPr="00052DAB">
              <w:rPr>
                <w:rFonts w:ascii="Times New Roman" w:hAnsi="Times New Roman"/>
                <w:b/>
                <w:color w:val="000099"/>
                <w:sz w:val="18"/>
                <w:szCs w:val="18"/>
                <w:lang w:val="fr-FR"/>
              </w:rPr>
              <w:t>Taux d’exécution budgétaire : 82.00%</w:t>
            </w:r>
          </w:p>
        </w:tc>
      </w:tr>
      <w:tr w:rsidR="00104773" w:rsidRPr="00696FBA" w:rsidTr="00841DF1">
        <w:tblPrEx>
          <w:tblLook w:val="04A0"/>
        </w:tblPrEx>
        <w:tc>
          <w:tcPr>
            <w:tcW w:w="10349" w:type="dxa"/>
            <w:gridSpan w:val="4"/>
            <w:tcBorders>
              <w:top w:val="double" w:sz="6" w:space="0" w:color="auto"/>
              <w:left w:val="double" w:sz="6" w:space="0" w:color="auto"/>
              <w:right w:val="double" w:sz="6" w:space="0" w:color="auto"/>
            </w:tcBorders>
          </w:tcPr>
          <w:p w:rsidR="00104773" w:rsidRPr="003D09AE" w:rsidRDefault="00104773" w:rsidP="00841DF1">
            <w:pPr>
              <w:jc w:val="both"/>
              <w:rPr>
                <w:rFonts w:ascii="Times New Roman" w:eastAsia="Times New Roman" w:hAnsi="Times New Roman"/>
                <w:b/>
                <w:sz w:val="18"/>
                <w:szCs w:val="18"/>
                <w:lang w:val="fr-FR"/>
              </w:rPr>
            </w:pPr>
            <w:r w:rsidRPr="003D09AE">
              <w:rPr>
                <w:rFonts w:ascii="Times New Roman" w:eastAsia="Times New Roman" w:hAnsi="Times New Roman"/>
                <w:b/>
                <w:sz w:val="18"/>
                <w:szCs w:val="18"/>
                <w:lang w:val="fr-FR"/>
              </w:rPr>
              <w:t>Appréciation qualitative par rapport aux objectifs et aux résultats : </w:t>
            </w:r>
          </w:p>
          <w:p w:rsidR="00104773" w:rsidRPr="003D09AE" w:rsidRDefault="00104773" w:rsidP="00841DF1">
            <w:pPr>
              <w:jc w:val="both"/>
              <w:rPr>
                <w:rFonts w:ascii="Times New Roman" w:eastAsia="Times New Roman" w:hAnsi="Times New Roman"/>
                <w:sz w:val="18"/>
                <w:szCs w:val="18"/>
                <w:lang w:val="fr-FR"/>
              </w:rPr>
            </w:pPr>
            <w:r w:rsidRPr="003D09AE">
              <w:rPr>
                <w:rFonts w:ascii="Times New Roman" w:hAnsi="Times New Roman"/>
                <w:sz w:val="18"/>
                <w:szCs w:val="18"/>
                <w:lang w:val="fr-FR"/>
              </w:rPr>
              <w:t>Les consultations de la diaspora se sont bien  déroulées mais ont connu un faible taux de participation (52,862%)  par rapport à celles de l’intérieur du pays</w:t>
            </w:r>
            <w:r>
              <w:rPr>
                <w:rFonts w:ascii="Times New Roman" w:hAnsi="Times New Roman"/>
                <w:sz w:val="18"/>
                <w:szCs w:val="18"/>
                <w:lang w:val="fr-FR"/>
              </w:rPr>
              <w:t xml:space="preserve"> (81.27% en moyenne). Le </w:t>
            </w:r>
            <w:r w:rsidRPr="00B32E1D">
              <w:rPr>
                <w:rFonts w:ascii="Times New Roman" w:hAnsi="Times New Roman"/>
                <w:sz w:val="18"/>
                <w:szCs w:val="18"/>
                <w:lang w:val="fr-FR"/>
              </w:rPr>
              <w:t xml:space="preserve">taux de participation des femmes </w:t>
            </w:r>
            <w:r>
              <w:rPr>
                <w:rFonts w:ascii="Times New Roman" w:hAnsi="Times New Roman"/>
                <w:sz w:val="18"/>
                <w:szCs w:val="18"/>
                <w:lang w:val="fr-FR"/>
              </w:rPr>
              <w:t xml:space="preserve">fut </w:t>
            </w:r>
            <w:r w:rsidRPr="00B32E1D">
              <w:rPr>
                <w:rFonts w:ascii="Times New Roman" w:hAnsi="Times New Roman"/>
                <w:sz w:val="18"/>
                <w:szCs w:val="18"/>
                <w:lang w:val="fr-FR"/>
              </w:rPr>
              <w:t xml:space="preserve">de 38.1% à Dar es </w:t>
            </w:r>
            <w:r>
              <w:rPr>
                <w:rFonts w:ascii="Times New Roman" w:hAnsi="Times New Roman"/>
                <w:sz w:val="18"/>
                <w:szCs w:val="18"/>
                <w:lang w:val="fr-FR"/>
              </w:rPr>
              <w:t>S</w:t>
            </w:r>
            <w:r w:rsidRPr="00B32E1D">
              <w:rPr>
                <w:rFonts w:ascii="Times New Roman" w:hAnsi="Times New Roman"/>
                <w:sz w:val="18"/>
                <w:szCs w:val="18"/>
                <w:lang w:val="fr-FR"/>
              </w:rPr>
              <w:t>alam et de 29.7% à Bruxelles</w:t>
            </w:r>
            <w:r w:rsidRPr="003D09AE">
              <w:rPr>
                <w:rFonts w:ascii="Times New Roman" w:hAnsi="Times New Roman"/>
                <w:sz w:val="18"/>
                <w:szCs w:val="18"/>
                <w:lang w:val="fr-FR"/>
              </w:rPr>
              <w:t xml:space="preserve">. </w:t>
            </w:r>
          </w:p>
        </w:tc>
      </w:tr>
      <w:tr w:rsidR="00104773" w:rsidRPr="00696FBA" w:rsidTr="00841DF1">
        <w:tblPrEx>
          <w:tblLook w:val="04A0"/>
        </w:tblPrEx>
        <w:tc>
          <w:tcPr>
            <w:tcW w:w="10349" w:type="dxa"/>
            <w:gridSpan w:val="4"/>
            <w:tcBorders>
              <w:left w:val="double" w:sz="6" w:space="0" w:color="auto"/>
              <w:right w:val="double" w:sz="6" w:space="0" w:color="auto"/>
            </w:tcBorders>
          </w:tcPr>
          <w:p w:rsidR="00104773" w:rsidRPr="003D09AE" w:rsidRDefault="00104773" w:rsidP="00841DF1">
            <w:pPr>
              <w:tabs>
                <w:tab w:val="left" w:pos="395"/>
              </w:tabs>
              <w:spacing w:after="120" w:line="240" w:lineRule="auto"/>
              <w:jc w:val="both"/>
              <w:rPr>
                <w:rFonts w:ascii="Times New Roman" w:hAnsi="Times New Roman"/>
                <w:b/>
                <w:sz w:val="18"/>
                <w:szCs w:val="18"/>
                <w:lang w:val="fr-FR" w:eastAsia="ja-JP"/>
              </w:rPr>
            </w:pPr>
            <w:r w:rsidRPr="003D09AE">
              <w:rPr>
                <w:rFonts w:ascii="Times New Roman" w:hAnsi="Times New Roman"/>
                <w:b/>
                <w:sz w:val="18"/>
                <w:szCs w:val="18"/>
                <w:lang w:val="fr-FR" w:eastAsia="ja-JP"/>
              </w:rPr>
              <w:t>Contraintes majeures :</w:t>
            </w:r>
          </w:p>
          <w:p w:rsidR="00104773" w:rsidRPr="003D09AE" w:rsidRDefault="00104773" w:rsidP="00104773">
            <w:pPr>
              <w:numPr>
                <w:ilvl w:val="0"/>
                <w:numId w:val="3"/>
              </w:numPr>
              <w:tabs>
                <w:tab w:val="left" w:pos="395"/>
              </w:tabs>
              <w:spacing w:after="0" w:line="240" w:lineRule="auto"/>
              <w:ind w:left="714" w:hanging="357"/>
              <w:contextualSpacing/>
              <w:jc w:val="both"/>
              <w:rPr>
                <w:rFonts w:ascii="Times New Roman" w:hAnsi="Times New Roman"/>
                <w:sz w:val="18"/>
                <w:szCs w:val="18"/>
                <w:lang w:val="fr-FR" w:eastAsia="ja-JP"/>
              </w:rPr>
            </w:pPr>
            <w:r w:rsidRPr="003D09AE">
              <w:rPr>
                <w:rFonts w:ascii="Times New Roman" w:hAnsi="Times New Roman"/>
                <w:sz w:val="18"/>
                <w:szCs w:val="18"/>
                <w:lang w:val="fr-FR" w:eastAsia="ja-JP"/>
              </w:rPr>
              <w:t>Les inscriptions aux consultations de la diaspora n’ont pas été massives en Afrique parce que l’internet</w:t>
            </w:r>
            <w:r>
              <w:rPr>
                <w:rFonts w:ascii="Times New Roman" w:hAnsi="Times New Roman"/>
                <w:sz w:val="18"/>
                <w:szCs w:val="18"/>
                <w:lang w:val="fr-FR" w:eastAsia="ja-JP"/>
              </w:rPr>
              <w:t>,</w:t>
            </w:r>
            <w:r w:rsidRPr="003D09AE">
              <w:rPr>
                <w:rFonts w:ascii="Times New Roman" w:hAnsi="Times New Roman"/>
                <w:sz w:val="18"/>
                <w:szCs w:val="18"/>
                <w:lang w:val="fr-FR" w:eastAsia="ja-JP"/>
              </w:rPr>
              <w:t xml:space="preserve"> qui ét</w:t>
            </w:r>
            <w:r>
              <w:rPr>
                <w:rFonts w:ascii="Times New Roman" w:hAnsi="Times New Roman"/>
                <w:sz w:val="18"/>
                <w:szCs w:val="18"/>
                <w:lang w:val="fr-FR" w:eastAsia="ja-JP"/>
              </w:rPr>
              <w:t>ait</w:t>
            </w:r>
            <w:r w:rsidRPr="003D09AE">
              <w:rPr>
                <w:rFonts w:ascii="Times New Roman" w:hAnsi="Times New Roman"/>
                <w:sz w:val="18"/>
                <w:szCs w:val="18"/>
                <w:lang w:val="fr-FR" w:eastAsia="ja-JP"/>
              </w:rPr>
              <w:t xml:space="preserve"> l’outil </w:t>
            </w:r>
            <w:r w:rsidRPr="003D09AE">
              <w:rPr>
                <w:rFonts w:ascii="Times New Roman" w:hAnsi="Times New Roman"/>
                <w:sz w:val="18"/>
                <w:szCs w:val="18"/>
                <w:lang w:val="fr-FR" w:eastAsia="ja-JP"/>
              </w:rPr>
              <w:lastRenderedPageBreak/>
              <w:t>d’inscription</w:t>
            </w:r>
            <w:r>
              <w:rPr>
                <w:rFonts w:ascii="Times New Roman" w:hAnsi="Times New Roman"/>
                <w:sz w:val="18"/>
                <w:szCs w:val="18"/>
                <w:lang w:val="fr-FR" w:eastAsia="ja-JP"/>
              </w:rPr>
              <w:t>,</w:t>
            </w:r>
            <w:r w:rsidRPr="003D09AE">
              <w:rPr>
                <w:rFonts w:ascii="Times New Roman" w:hAnsi="Times New Roman"/>
                <w:sz w:val="18"/>
                <w:szCs w:val="18"/>
                <w:lang w:val="fr-FR" w:eastAsia="ja-JP"/>
              </w:rPr>
              <w:t xml:space="preserve"> n’est pas facilement accessible à tout le monde.</w:t>
            </w:r>
          </w:p>
          <w:p w:rsidR="00104773" w:rsidRPr="003D09AE" w:rsidRDefault="00104773" w:rsidP="00104773">
            <w:pPr>
              <w:numPr>
                <w:ilvl w:val="0"/>
                <w:numId w:val="3"/>
              </w:numPr>
              <w:tabs>
                <w:tab w:val="left" w:pos="395"/>
              </w:tabs>
              <w:spacing w:after="0" w:line="240" w:lineRule="auto"/>
              <w:ind w:left="714" w:hanging="357"/>
              <w:contextualSpacing/>
              <w:jc w:val="both"/>
              <w:rPr>
                <w:rFonts w:ascii="Times New Roman" w:hAnsi="Times New Roman"/>
                <w:sz w:val="18"/>
                <w:szCs w:val="18"/>
                <w:lang w:val="fr-FR" w:eastAsia="ja-JP"/>
              </w:rPr>
            </w:pPr>
            <w:r w:rsidRPr="003D09AE">
              <w:rPr>
                <w:rFonts w:ascii="Times New Roman" w:hAnsi="Times New Roman"/>
                <w:sz w:val="18"/>
                <w:szCs w:val="18"/>
                <w:lang w:val="fr-FR" w:eastAsia="ja-JP"/>
              </w:rPr>
              <w:t xml:space="preserve">Le désistement des partenaires internationaux dans le financement des consultations de la diaspora </w:t>
            </w:r>
            <w:r>
              <w:rPr>
                <w:rFonts w:ascii="Times New Roman" w:hAnsi="Times New Roman"/>
                <w:sz w:val="18"/>
                <w:szCs w:val="18"/>
                <w:lang w:val="fr-FR" w:eastAsia="ja-JP"/>
              </w:rPr>
              <w:t>a</w:t>
            </w:r>
            <w:r w:rsidRPr="003D09AE">
              <w:rPr>
                <w:rFonts w:ascii="Times New Roman" w:hAnsi="Times New Roman"/>
                <w:sz w:val="18"/>
                <w:szCs w:val="18"/>
                <w:lang w:val="fr-FR" w:eastAsia="ja-JP"/>
              </w:rPr>
              <w:t xml:space="preserve"> retardé la tenue de ces consultations qui ont eu lieu au mois de mars alors qu’elles étaient prévues </w:t>
            </w:r>
            <w:r>
              <w:rPr>
                <w:rFonts w:ascii="Times New Roman" w:hAnsi="Times New Roman"/>
                <w:sz w:val="18"/>
                <w:szCs w:val="18"/>
                <w:lang w:val="fr-FR" w:eastAsia="ja-JP"/>
              </w:rPr>
              <w:t>pour le</w:t>
            </w:r>
            <w:r w:rsidRPr="003D09AE">
              <w:rPr>
                <w:rFonts w:ascii="Times New Roman" w:hAnsi="Times New Roman"/>
                <w:sz w:val="18"/>
                <w:szCs w:val="18"/>
                <w:lang w:val="fr-FR" w:eastAsia="ja-JP"/>
              </w:rPr>
              <w:t xml:space="preserve"> mois de janvier</w:t>
            </w:r>
            <w:r>
              <w:rPr>
                <w:rFonts w:ascii="Times New Roman" w:hAnsi="Times New Roman"/>
                <w:sz w:val="18"/>
                <w:szCs w:val="18"/>
                <w:lang w:val="fr-FR" w:eastAsia="ja-JP"/>
              </w:rPr>
              <w:t>. Cela</w:t>
            </w:r>
            <w:r w:rsidRPr="003D09AE">
              <w:rPr>
                <w:rFonts w:ascii="Times New Roman" w:hAnsi="Times New Roman"/>
                <w:sz w:val="18"/>
                <w:szCs w:val="18"/>
                <w:lang w:val="fr-FR" w:eastAsia="ja-JP"/>
              </w:rPr>
              <w:t xml:space="preserve"> fait repousser la clôture du projet au mois d’avril.</w:t>
            </w:r>
          </w:p>
          <w:p w:rsidR="00104773" w:rsidRPr="003D09AE" w:rsidRDefault="00104773" w:rsidP="00104773">
            <w:pPr>
              <w:numPr>
                <w:ilvl w:val="0"/>
                <w:numId w:val="3"/>
              </w:numPr>
              <w:tabs>
                <w:tab w:val="left" w:pos="395"/>
              </w:tabs>
              <w:spacing w:after="120" w:line="240" w:lineRule="auto"/>
              <w:jc w:val="both"/>
              <w:rPr>
                <w:rFonts w:ascii="Times New Roman" w:eastAsia="Times New Roman" w:hAnsi="Times New Roman"/>
                <w:b/>
                <w:sz w:val="18"/>
                <w:szCs w:val="18"/>
                <w:lang w:val="fr-FR"/>
              </w:rPr>
            </w:pPr>
            <w:r w:rsidRPr="003D09AE">
              <w:rPr>
                <w:rFonts w:ascii="Times New Roman" w:hAnsi="Times New Roman"/>
                <w:sz w:val="18"/>
                <w:szCs w:val="18"/>
                <w:lang w:val="fr-FR" w:eastAsia="ja-JP"/>
              </w:rPr>
              <w:t xml:space="preserve">Les contraintes budgétaires ont fait que les consultations de la diaspora soient tenues dans deux continents (Afrique et Europe) alors qu’elles étaient </w:t>
            </w:r>
            <w:r>
              <w:rPr>
                <w:rFonts w:ascii="Times New Roman" w:hAnsi="Times New Roman"/>
                <w:sz w:val="18"/>
                <w:szCs w:val="18"/>
                <w:lang w:val="fr-FR" w:eastAsia="ja-JP"/>
              </w:rPr>
              <w:t xml:space="preserve">aussi </w:t>
            </w:r>
            <w:r w:rsidRPr="003D09AE">
              <w:rPr>
                <w:rFonts w:ascii="Times New Roman" w:hAnsi="Times New Roman"/>
                <w:sz w:val="18"/>
                <w:szCs w:val="18"/>
                <w:lang w:val="fr-FR" w:eastAsia="ja-JP"/>
              </w:rPr>
              <w:t>prévues au Canada pour la diaspora du continent américain.</w:t>
            </w:r>
          </w:p>
        </w:tc>
      </w:tr>
      <w:tr w:rsidR="00104773" w:rsidRPr="00696FBA" w:rsidTr="00841DF1">
        <w:tblPrEx>
          <w:tblLook w:val="04A0"/>
        </w:tblPrEx>
        <w:tc>
          <w:tcPr>
            <w:tcW w:w="10349" w:type="dxa"/>
            <w:gridSpan w:val="4"/>
            <w:tcBorders>
              <w:left w:val="double" w:sz="6" w:space="0" w:color="auto"/>
              <w:bottom w:val="double" w:sz="6" w:space="0" w:color="auto"/>
              <w:right w:val="double" w:sz="6" w:space="0" w:color="auto"/>
            </w:tcBorders>
          </w:tcPr>
          <w:p w:rsidR="00104773" w:rsidRPr="003D09AE" w:rsidRDefault="00104773" w:rsidP="00841DF1">
            <w:pPr>
              <w:jc w:val="both"/>
              <w:rPr>
                <w:rFonts w:ascii="Times New Roman" w:eastAsia="Times New Roman" w:hAnsi="Times New Roman"/>
                <w:b/>
                <w:sz w:val="18"/>
                <w:szCs w:val="18"/>
                <w:lang w:val="fr-FR"/>
              </w:rPr>
            </w:pPr>
            <w:r w:rsidRPr="003D09AE">
              <w:rPr>
                <w:rFonts w:ascii="Times New Roman" w:eastAsia="Times New Roman" w:hAnsi="Times New Roman"/>
                <w:b/>
                <w:sz w:val="18"/>
                <w:szCs w:val="18"/>
                <w:lang w:val="fr-FR"/>
              </w:rPr>
              <w:lastRenderedPageBreak/>
              <w:t xml:space="preserve">Prochaines étapes : </w:t>
            </w:r>
          </w:p>
          <w:p w:rsidR="00104773" w:rsidRPr="003D09AE" w:rsidRDefault="00104773" w:rsidP="00104773">
            <w:pPr>
              <w:numPr>
                <w:ilvl w:val="0"/>
                <w:numId w:val="5"/>
              </w:numPr>
              <w:spacing w:after="0" w:line="240" w:lineRule="auto"/>
              <w:jc w:val="both"/>
              <w:rPr>
                <w:rFonts w:ascii="Times New Roman" w:hAnsi="Times New Roman"/>
                <w:sz w:val="18"/>
                <w:szCs w:val="18"/>
                <w:lang w:val="fr-FR" w:eastAsia="ja-JP"/>
              </w:rPr>
            </w:pPr>
            <w:r w:rsidRPr="003D09AE">
              <w:rPr>
                <w:rFonts w:ascii="Times New Roman" w:hAnsi="Times New Roman"/>
                <w:sz w:val="18"/>
                <w:szCs w:val="18"/>
                <w:lang w:val="fr-FR" w:eastAsia="ja-JP"/>
              </w:rPr>
              <w:t>Finaliser le rapport des consultations ;</w:t>
            </w:r>
          </w:p>
          <w:p w:rsidR="00104773" w:rsidRPr="003D09AE" w:rsidRDefault="00104773" w:rsidP="00104773">
            <w:pPr>
              <w:numPr>
                <w:ilvl w:val="0"/>
                <w:numId w:val="5"/>
              </w:numPr>
              <w:spacing w:after="0" w:line="240" w:lineRule="auto"/>
              <w:jc w:val="both"/>
              <w:rPr>
                <w:rFonts w:ascii="Times New Roman" w:hAnsi="Times New Roman"/>
                <w:sz w:val="18"/>
                <w:szCs w:val="18"/>
                <w:lang w:val="fr-FR" w:eastAsia="ja-JP"/>
              </w:rPr>
            </w:pPr>
            <w:r w:rsidRPr="003D09AE">
              <w:rPr>
                <w:rFonts w:ascii="Times New Roman" w:hAnsi="Times New Roman"/>
                <w:sz w:val="18"/>
                <w:szCs w:val="18"/>
                <w:lang w:val="fr-FR" w:eastAsia="ja-JP"/>
              </w:rPr>
              <w:t>Remettre le rapport final au Président de la République et au Représentant Exécutif du Secrétaire Général des Nations Unies ;</w:t>
            </w:r>
          </w:p>
          <w:p w:rsidR="00104773" w:rsidRPr="004454AA" w:rsidRDefault="00104773" w:rsidP="00104773">
            <w:pPr>
              <w:numPr>
                <w:ilvl w:val="0"/>
                <w:numId w:val="5"/>
              </w:numPr>
              <w:spacing w:after="0" w:line="240" w:lineRule="auto"/>
              <w:jc w:val="both"/>
              <w:rPr>
                <w:rFonts w:ascii="Times New Roman" w:eastAsia="Times New Roman" w:hAnsi="Times New Roman"/>
                <w:b/>
                <w:sz w:val="18"/>
                <w:szCs w:val="18"/>
                <w:lang w:val="fr-FR"/>
              </w:rPr>
            </w:pPr>
            <w:r w:rsidRPr="003D09AE">
              <w:rPr>
                <w:rFonts w:ascii="Times New Roman" w:hAnsi="Times New Roman"/>
                <w:sz w:val="18"/>
                <w:szCs w:val="18"/>
                <w:lang w:val="fr-FR" w:eastAsia="ja-JP"/>
              </w:rPr>
              <w:t xml:space="preserve">Traduire </w:t>
            </w:r>
            <w:r>
              <w:rPr>
                <w:rFonts w:ascii="Times New Roman" w:hAnsi="Times New Roman"/>
                <w:sz w:val="18"/>
                <w:szCs w:val="18"/>
                <w:lang w:val="fr-FR" w:eastAsia="ja-JP"/>
              </w:rPr>
              <w:t xml:space="preserve">le rapport </w:t>
            </w:r>
            <w:r w:rsidRPr="003D09AE">
              <w:rPr>
                <w:rFonts w:ascii="Times New Roman" w:hAnsi="Times New Roman"/>
                <w:sz w:val="18"/>
                <w:szCs w:val="18"/>
                <w:lang w:val="fr-FR" w:eastAsia="ja-JP"/>
              </w:rPr>
              <w:t>en kirundi et assurer une large diffusion du rapport final des consultations nationales.</w:t>
            </w:r>
            <w:r w:rsidRPr="003D09AE">
              <w:rPr>
                <w:b/>
                <w:bCs/>
                <w:lang w:val="fr-FR"/>
              </w:rPr>
              <w:br w:type="page"/>
            </w:r>
            <w:r w:rsidRPr="003D09AE">
              <w:rPr>
                <w:rFonts w:ascii="Times New Roman" w:hAnsi="Times New Roman"/>
                <w:b/>
                <w:bCs/>
                <w:sz w:val="18"/>
                <w:szCs w:val="18"/>
                <w:lang w:val="fr-FR"/>
              </w:rPr>
              <w:br w:type="page"/>
            </w:r>
          </w:p>
          <w:p w:rsidR="00104773" w:rsidRPr="003D09AE" w:rsidRDefault="00104773" w:rsidP="00841DF1">
            <w:pPr>
              <w:spacing w:after="0" w:line="240" w:lineRule="auto"/>
              <w:ind w:left="720"/>
              <w:jc w:val="both"/>
              <w:rPr>
                <w:rFonts w:ascii="Times New Roman" w:eastAsia="Times New Roman" w:hAnsi="Times New Roman"/>
                <w:b/>
                <w:sz w:val="18"/>
                <w:szCs w:val="18"/>
                <w:lang w:val="fr-FR"/>
              </w:rPr>
            </w:pPr>
          </w:p>
        </w:tc>
      </w:tr>
    </w:tbl>
    <w:p w:rsidR="000675A1" w:rsidRPr="00104773" w:rsidRDefault="00104773" w:rsidP="00104773">
      <w:pPr>
        <w:rPr>
          <w:lang w:val="fr-FR"/>
        </w:rPr>
      </w:pPr>
    </w:p>
    <w:sectPr w:rsidR="000675A1" w:rsidRPr="00104773" w:rsidSect="00076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397"/>
    <w:multiLevelType w:val="hybridMultilevel"/>
    <w:tmpl w:val="DCF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44DF4"/>
    <w:multiLevelType w:val="hybridMultilevel"/>
    <w:tmpl w:val="9C528A86"/>
    <w:lvl w:ilvl="0" w:tplc="9FC4AF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8561B"/>
    <w:multiLevelType w:val="hybridMultilevel"/>
    <w:tmpl w:val="3F888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E83CAE"/>
    <w:multiLevelType w:val="hybridMultilevel"/>
    <w:tmpl w:val="330A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5E67AD"/>
    <w:multiLevelType w:val="hybridMultilevel"/>
    <w:tmpl w:val="34D8A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773"/>
    <w:rsid w:val="000761B3"/>
    <w:rsid w:val="000A2346"/>
    <w:rsid w:val="00104773"/>
    <w:rsid w:val="001529CA"/>
    <w:rsid w:val="00314561"/>
    <w:rsid w:val="0031723B"/>
    <w:rsid w:val="00680E00"/>
    <w:rsid w:val="008D3BAF"/>
    <w:rsid w:val="00982B6C"/>
    <w:rsid w:val="00A43328"/>
    <w:rsid w:val="00A972D0"/>
    <w:rsid w:val="00E205D9"/>
    <w:rsid w:val="00E575A6"/>
    <w:rsid w:val="00E6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73"/>
    <w:pPr>
      <w:spacing w:before="0" w:beforeAutospacing="0" w:after="200" w:afterAutospacing="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Cristina.Bertarelli</dc:creator>
  <cp:keywords/>
  <dc:description/>
  <cp:lastModifiedBy>Cristina.Bertarelli</cp:lastModifiedBy>
  <cp:revision>1</cp:revision>
  <dcterms:created xsi:type="dcterms:W3CDTF">2010-04-20T17:47:00Z</dcterms:created>
  <dcterms:modified xsi:type="dcterms:W3CDTF">2010-04-20T17:51:00Z</dcterms:modified>
</cp:coreProperties>
</file>