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389" w:rsidRDefault="005C7389" w:rsidP="005C7389">
      <w:pPr>
        <w:jc w:val="center"/>
      </w:pPr>
      <w:r>
        <w:rPr>
          <w:rFonts w:ascii="Arial" w:hAnsi="Arial"/>
          <w:noProof/>
          <w:spacing w:val="-3"/>
          <w:sz w:val="20"/>
          <w:lang w:val="en-US"/>
        </w:rPr>
        <w:drawing>
          <wp:inline distT="0" distB="0" distL="0" distR="0">
            <wp:extent cx="1028700" cy="8001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0838" t="3618" r="10838" b="16402"/>
                    <a:stretch>
                      <a:fillRect/>
                    </a:stretch>
                  </pic:blipFill>
                  <pic:spPr bwMode="auto">
                    <a:xfrm>
                      <a:off x="0" y="0"/>
                      <a:ext cx="1028700" cy="800100"/>
                    </a:xfrm>
                    <a:prstGeom prst="rect">
                      <a:avLst/>
                    </a:prstGeom>
                    <a:solidFill>
                      <a:srgbClr val="3366FF"/>
                    </a:solidFill>
                    <a:ln w="9525">
                      <a:noFill/>
                      <a:miter lim="800000"/>
                      <a:headEnd/>
                      <a:tailEnd/>
                    </a:ln>
                  </pic:spPr>
                </pic:pic>
              </a:graphicData>
            </a:graphic>
          </wp:inline>
        </w:drawing>
      </w:r>
    </w:p>
    <w:p w:rsidR="005C7389" w:rsidRPr="00625C8B" w:rsidRDefault="005C7389" w:rsidP="005C7389">
      <w:pPr>
        <w:jc w:val="center"/>
      </w:pPr>
    </w:p>
    <w:p w:rsidR="005C7389" w:rsidRPr="00625C8B" w:rsidRDefault="005C7389" w:rsidP="005C7389">
      <w:pPr>
        <w:jc w:val="center"/>
        <w:rPr>
          <w:b/>
          <w:bCs/>
          <w:caps/>
          <w:lang w:val="en-US"/>
        </w:rPr>
      </w:pPr>
      <w:r w:rsidRPr="00625C8B">
        <w:rPr>
          <w:b/>
          <w:bCs/>
          <w:caps/>
          <w:lang w:val="en-US"/>
        </w:rPr>
        <w:t>PEACEBUILDING FUND</w:t>
      </w:r>
    </w:p>
    <w:p w:rsidR="005C7389" w:rsidRPr="00625C8B" w:rsidRDefault="005C7389" w:rsidP="005C7389">
      <w:pPr>
        <w:jc w:val="center"/>
        <w:rPr>
          <w:b/>
        </w:rPr>
      </w:pPr>
      <w:r w:rsidRPr="00625C8B">
        <w:rPr>
          <w:b/>
        </w:rPr>
        <w:t xml:space="preserve">Guinée-Bissau </w:t>
      </w:r>
    </w:p>
    <w:p w:rsidR="005C7389" w:rsidRPr="00625C8B" w:rsidRDefault="005C7389" w:rsidP="005C7389"/>
    <w:p w:rsidR="005C7389" w:rsidRPr="00625C8B" w:rsidRDefault="005C7389" w:rsidP="005C7389">
      <w:pPr>
        <w:jc w:val="center"/>
        <w:rPr>
          <w:b/>
          <w:bCs/>
          <w:caps/>
          <w:lang w:val="en-US"/>
        </w:rPr>
      </w:pPr>
      <w:r w:rsidRPr="00625C8B">
        <w:rPr>
          <w:b/>
          <w:bCs/>
          <w:caps/>
          <w:lang w:val="en-US"/>
        </w:rPr>
        <w:t xml:space="preserve">ANNUAL project NARRATIVE progress report </w:t>
      </w:r>
    </w:p>
    <w:p w:rsidR="005C7389" w:rsidRPr="00625C8B" w:rsidRDefault="005C7389" w:rsidP="005C7389">
      <w:pPr>
        <w:pStyle w:val="Heading1"/>
        <w:spacing w:before="0" w:after="0"/>
        <w:ind w:left="1440" w:hanging="1440"/>
        <w:jc w:val="center"/>
        <w:rPr>
          <w:rFonts w:ascii="Times New Roman" w:hAnsi="Times New Roman" w:cs="Times New Roman"/>
          <w:color w:val="auto"/>
          <w:sz w:val="24"/>
          <w:szCs w:val="24"/>
          <w:u w:val="single"/>
          <w:lang w:val="en-US"/>
        </w:rPr>
      </w:pPr>
    </w:p>
    <w:p w:rsidR="005C7389" w:rsidRPr="00625C8B" w:rsidRDefault="005C7389" w:rsidP="005C7389">
      <w:pPr>
        <w:pStyle w:val="Heading1"/>
        <w:spacing w:before="0" w:after="0"/>
        <w:ind w:left="1440" w:hanging="1440"/>
        <w:jc w:val="center"/>
        <w:rPr>
          <w:rFonts w:ascii="Times New Roman" w:hAnsi="Times New Roman" w:cs="Times New Roman"/>
          <w:color w:val="auto"/>
          <w:sz w:val="24"/>
          <w:szCs w:val="24"/>
          <w:u w:val="single"/>
          <w:lang w:val="en-US"/>
        </w:rPr>
      </w:pPr>
      <w:r w:rsidRPr="00625C8B">
        <w:rPr>
          <w:rFonts w:ascii="Times New Roman" w:hAnsi="Times New Roman" w:cs="Times New Roman"/>
          <w:color w:val="auto"/>
          <w:sz w:val="24"/>
          <w:szCs w:val="24"/>
          <w:u w:val="single"/>
          <w:lang w:val="en-US"/>
        </w:rPr>
        <w:t>REPORT COVER PAGE</w:t>
      </w:r>
    </w:p>
    <w:p w:rsidR="005C7389" w:rsidRPr="00625C8B" w:rsidRDefault="005C7389" w:rsidP="005C7389">
      <w:pPr>
        <w:rPr>
          <w:lang w:val="en-US"/>
        </w:rPr>
      </w:pPr>
    </w:p>
    <w:tbl>
      <w:tblPr>
        <w:tblW w:w="0" w:type="auto"/>
        <w:tblLook w:val="01E0"/>
      </w:tblPr>
      <w:tblGrid>
        <w:gridCol w:w="4732"/>
        <w:gridCol w:w="236"/>
        <w:gridCol w:w="4277"/>
      </w:tblGrid>
      <w:tr w:rsidR="005C7389" w:rsidRPr="00625C8B" w:rsidTr="00483E7E">
        <w:tc>
          <w:tcPr>
            <w:tcW w:w="4732" w:type="dxa"/>
            <w:vMerge w:val="restart"/>
            <w:tcBorders>
              <w:top w:val="single" w:sz="4" w:space="0" w:color="auto"/>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fr-FR"/>
              </w:rPr>
            </w:pPr>
            <w:r w:rsidRPr="00625C8B">
              <w:rPr>
                <w:rFonts w:ascii="Times New Roman" w:hAnsi="Times New Roman" w:cs="Times New Roman"/>
                <w:i w:val="0"/>
                <w:sz w:val="24"/>
                <w:szCs w:val="24"/>
                <w:lang w:val="fr-FR"/>
              </w:rPr>
              <w:t xml:space="preserve">Recipient Organization(s): </w:t>
            </w:r>
            <w:r w:rsidRPr="00625C8B">
              <w:rPr>
                <w:rFonts w:ascii="Times New Roman" w:hAnsi="Times New Roman" w:cs="Times New Roman"/>
                <w:sz w:val="24"/>
                <w:szCs w:val="24"/>
                <w:lang w:val="fr-FR"/>
              </w:rPr>
              <w:t>Programme des Nations Unies pour le développement</w:t>
            </w:r>
          </w:p>
        </w:tc>
        <w:tc>
          <w:tcPr>
            <w:tcW w:w="236" w:type="dxa"/>
            <w:tcBorders>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fr-FR"/>
              </w:rPr>
            </w:pPr>
          </w:p>
        </w:tc>
        <w:tc>
          <w:tcPr>
            <w:tcW w:w="4277" w:type="dxa"/>
            <w:vMerge w:val="restart"/>
            <w:tcBorders>
              <w:top w:val="single" w:sz="4" w:space="0" w:color="auto"/>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en-US"/>
              </w:rPr>
            </w:pPr>
            <w:r w:rsidRPr="00625C8B">
              <w:rPr>
                <w:rFonts w:ascii="Times New Roman" w:hAnsi="Times New Roman" w:cs="Times New Roman"/>
                <w:i w:val="0"/>
                <w:sz w:val="24"/>
                <w:szCs w:val="24"/>
                <w:lang w:val="en-US"/>
              </w:rPr>
              <w:t xml:space="preserve">PBF Priority Area: </w:t>
            </w:r>
          </w:p>
          <w:p w:rsidR="005C7389" w:rsidRPr="00625C8B" w:rsidRDefault="005C7389" w:rsidP="00483E7E">
            <w:pPr>
              <w:pStyle w:val="Heading2"/>
              <w:spacing w:before="0" w:after="0"/>
              <w:rPr>
                <w:rFonts w:ascii="Times New Roman" w:hAnsi="Times New Roman" w:cs="Times New Roman"/>
                <w:b w:val="0"/>
                <w:sz w:val="24"/>
                <w:szCs w:val="24"/>
                <w:lang w:val="en-US"/>
              </w:rPr>
            </w:pPr>
            <w:r w:rsidRPr="00625C8B">
              <w:rPr>
                <w:rFonts w:ascii="Times New Roman" w:hAnsi="Times New Roman" w:cs="Times New Roman"/>
                <w:b w:val="0"/>
                <w:sz w:val="24"/>
                <w:szCs w:val="24"/>
                <w:lang w:val="en-US"/>
              </w:rPr>
              <w:t>(Not applicable for Emergency Window projects)</w:t>
            </w:r>
          </w:p>
          <w:p w:rsidR="005C7389" w:rsidRPr="00625C8B" w:rsidRDefault="005C7389" w:rsidP="00483E7E">
            <w:pPr>
              <w:rPr>
                <w:lang w:val="en-US"/>
              </w:rPr>
            </w:pPr>
          </w:p>
        </w:tc>
      </w:tr>
      <w:tr w:rsidR="005C7389" w:rsidRPr="00625C8B" w:rsidTr="00483E7E">
        <w:trPr>
          <w:trHeight w:val="396"/>
        </w:trPr>
        <w:tc>
          <w:tcPr>
            <w:tcW w:w="4732" w:type="dxa"/>
            <w:vMerge/>
            <w:tcBorders>
              <w:left w:val="single" w:sz="4" w:space="0" w:color="auto"/>
              <w:bottom w:val="single" w:sz="4" w:space="0" w:color="auto"/>
              <w:right w:val="single" w:sz="4" w:space="0" w:color="auto"/>
            </w:tcBorders>
          </w:tcPr>
          <w:p w:rsidR="005C7389" w:rsidRPr="00625C8B" w:rsidRDefault="005C7389" w:rsidP="00483E7E">
            <w:pPr>
              <w:pStyle w:val="BodyText"/>
              <w:rPr>
                <w:rFonts w:ascii="Times New Roman" w:hAnsi="Times New Roman"/>
                <w:sz w:val="24"/>
                <w:lang w:val="en-US"/>
              </w:rPr>
            </w:pPr>
          </w:p>
        </w:tc>
        <w:tc>
          <w:tcPr>
            <w:tcW w:w="236" w:type="dxa"/>
            <w:tcBorders>
              <w:left w:val="single" w:sz="4" w:space="0" w:color="auto"/>
              <w:right w:val="single" w:sz="4" w:space="0" w:color="auto"/>
            </w:tcBorders>
          </w:tcPr>
          <w:p w:rsidR="005C7389" w:rsidRPr="00625C8B" w:rsidRDefault="005C7389" w:rsidP="00483E7E">
            <w:pPr>
              <w:pStyle w:val="BodyText"/>
              <w:rPr>
                <w:rFonts w:ascii="Times New Roman" w:hAnsi="Times New Roman"/>
                <w:sz w:val="24"/>
                <w:lang w:val="en-US"/>
              </w:rPr>
            </w:pPr>
          </w:p>
        </w:tc>
        <w:tc>
          <w:tcPr>
            <w:tcW w:w="4277" w:type="dxa"/>
            <w:vMerge/>
            <w:tcBorders>
              <w:left w:val="single" w:sz="4" w:space="0" w:color="auto"/>
              <w:bottom w:val="single" w:sz="4" w:space="0" w:color="auto"/>
              <w:right w:val="single" w:sz="4" w:space="0" w:color="auto"/>
            </w:tcBorders>
          </w:tcPr>
          <w:p w:rsidR="005C7389" w:rsidRPr="00625C8B" w:rsidRDefault="005C7389" w:rsidP="00483E7E">
            <w:pPr>
              <w:pStyle w:val="BodyText"/>
              <w:rPr>
                <w:rFonts w:ascii="Times New Roman" w:hAnsi="Times New Roman"/>
                <w:color w:val="auto"/>
                <w:sz w:val="24"/>
                <w:lang w:val="en-US"/>
              </w:rPr>
            </w:pPr>
          </w:p>
        </w:tc>
      </w:tr>
    </w:tbl>
    <w:p w:rsidR="005C7389" w:rsidRPr="00625C8B" w:rsidRDefault="005C7389" w:rsidP="005C7389">
      <w:pPr>
        <w:rPr>
          <w:lang w:val="en-US"/>
        </w:rPr>
      </w:pPr>
    </w:p>
    <w:tbl>
      <w:tblPr>
        <w:tblW w:w="0" w:type="auto"/>
        <w:tblLook w:val="01E0"/>
      </w:tblPr>
      <w:tblGrid>
        <w:gridCol w:w="4732"/>
        <w:gridCol w:w="236"/>
        <w:gridCol w:w="4277"/>
      </w:tblGrid>
      <w:tr w:rsidR="005C7389" w:rsidRPr="00625C8B" w:rsidTr="00483E7E">
        <w:tc>
          <w:tcPr>
            <w:tcW w:w="4732" w:type="dxa"/>
            <w:vMerge w:val="restart"/>
            <w:tcBorders>
              <w:top w:val="single" w:sz="4" w:space="0" w:color="auto"/>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en-US"/>
              </w:rPr>
            </w:pPr>
            <w:r w:rsidRPr="00625C8B">
              <w:rPr>
                <w:rFonts w:ascii="Times New Roman" w:hAnsi="Times New Roman" w:cs="Times New Roman"/>
                <w:i w:val="0"/>
                <w:sz w:val="24"/>
                <w:szCs w:val="24"/>
                <w:lang w:val="en-US"/>
              </w:rPr>
              <w:t>PBF Project No: 62500</w:t>
            </w:r>
          </w:p>
          <w:p w:rsidR="005C7389" w:rsidRPr="00625C8B" w:rsidRDefault="005C7389" w:rsidP="00483E7E">
            <w:pPr>
              <w:rPr>
                <w:b/>
                <w:lang w:val="en-US"/>
              </w:rPr>
            </w:pPr>
            <w:r w:rsidRPr="00625C8B">
              <w:rPr>
                <w:b/>
                <w:lang w:val="en-US"/>
              </w:rPr>
              <w:t xml:space="preserve">New Atlas No: 66674 </w:t>
            </w:r>
            <w:r w:rsidRPr="00625C8B">
              <w:rPr>
                <w:i/>
                <w:lang w:val="en-US"/>
              </w:rPr>
              <w:t>(as per enclosed list)</w:t>
            </w:r>
          </w:p>
          <w:p w:rsidR="005C7389" w:rsidRPr="00625C8B" w:rsidRDefault="005C7389" w:rsidP="00483E7E">
            <w:pPr>
              <w:pStyle w:val="Heading2"/>
              <w:spacing w:before="0" w:after="0"/>
              <w:rPr>
                <w:rFonts w:ascii="Times New Roman" w:hAnsi="Times New Roman" w:cs="Times New Roman"/>
                <w:i w:val="0"/>
                <w:sz w:val="24"/>
                <w:szCs w:val="24"/>
                <w:lang w:val="en-US"/>
              </w:rPr>
            </w:pPr>
          </w:p>
          <w:p w:rsidR="005C7389" w:rsidRPr="00625C8B" w:rsidRDefault="005C7389" w:rsidP="00483E7E">
            <w:pPr>
              <w:rPr>
                <w:lang w:val="fr-FR"/>
              </w:rPr>
            </w:pPr>
            <w:r w:rsidRPr="00625C8B">
              <w:rPr>
                <w:i/>
                <w:lang w:val="fr-FR"/>
              </w:rPr>
              <w:t>PBF Project Title:</w:t>
            </w:r>
            <w:r w:rsidRPr="00625C8B">
              <w:rPr>
                <w:lang w:val="fr-FR"/>
              </w:rPr>
              <w:t xml:space="preserve"> Emploi et formation professionnelle des jeunes</w:t>
            </w:r>
          </w:p>
          <w:p w:rsidR="005C7389" w:rsidRPr="00625C8B" w:rsidRDefault="005C7389" w:rsidP="00483E7E">
            <w:pPr>
              <w:pStyle w:val="Heading2"/>
              <w:spacing w:before="0" w:after="0"/>
              <w:rPr>
                <w:rFonts w:ascii="Times New Roman" w:hAnsi="Times New Roman" w:cs="Times New Roman"/>
                <w:i w:val="0"/>
                <w:sz w:val="24"/>
                <w:szCs w:val="24"/>
                <w:lang w:val="fr-FR"/>
              </w:rPr>
            </w:pPr>
          </w:p>
          <w:p w:rsidR="005C7389" w:rsidRPr="00625C8B" w:rsidRDefault="005C7389" w:rsidP="00483E7E">
            <w:pPr>
              <w:rPr>
                <w:lang w:val="fr-FR"/>
              </w:rPr>
            </w:pPr>
          </w:p>
        </w:tc>
        <w:tc>
          <w:tcPr>
            <w:tcW w:w="236" w:type="dxa"/>
            <w:tcBorders>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fr-FR"/>
              </w:rPr>
            </w:pPr>
          </w:p>
        </w:tc>
        <w:tc>
          <w:tcPr>
            <w:tcW w:w="4277" w:type="dxa"/>
            <w:vMerge w:val="restart"/>
            <w:tcBorders>
              <w:top w:val="single" w:sz="4" w:space="0" w:color="auto"/>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en-US"/>
              </w:rPr>
            </w:pPr>
            <w:r w:rsidRPr="00625C8B">
              <w:rPr>
                <w:rFonts w:ascii="Times New Roman" w:hAnsi="Times New Roman" w:cs="Times New Roman"/>
                <w:i w:val="0"/>
                <w:sz w:val="24"/>
                <w:szCs w:val="24"/>
                <w:lang w:val="en-US"/>
              </w:rPr>
              <w:t xml:space="preserve">Report Number: </w:t>
            </w:r>
          </w:p>
          <w:p w:rsidR="005C7389" w:rsidRPr="00625C8B" w:rsidRDefault="005C7389" w:rsidP="00483E7E">
            <w:pPr>
              <w:rPr>
                <w:i/>
                <w:lang w:val="en-US"/>
              </w:rPr>
            </w:pPr>
          </w:p>
        </w:tc>
      </w:tr>
      <w:tr w:rsidR="005C7389" w:rsidRPr="00625C8B" w:rsidTr="00483E7E">
        <w:trPr>
          <w:trHeight w:val="621"/>
        </w:trPr>
        <w:tc>
          <w:tcPr>
            <w:tcW w:w="4732" w:type="dxa"/>
            <w:vMerge/>
            <w:tcBorders>
              <w:left w:val="single" w:sz="4" w:space="0" w:color="auto"/>
              <w:bottom w:val="single" w:sz="4" w:space="0" w:color="auto"/>
              <w:right w:val="single" w:sz="4" w:space="0" w:color="auto"/>
            </w:tcBorders>
          </w:tcPr>
          <w:p w:rsidR="005C7389" w:rsidRPr="00625C8B" w:rsidRDefault="005C7389" w:rsidP="00483E7E">
            <w:pPr>
              <w:pStyle w:val="BodyText"/>
              <w:spacing w:before="0" w:after="0"/>
              <w:rPr>
                <w:rFonts w:ascii="Times New Roman" w:hAnsi="Times New Roman"/>
                <w:color w:val="auto"/>
                <w:sz w:val="24"/>
                <w:lang w:val="en-US"/>
              </w:rPr>
            </w:pPr>
          </w:p>
        </w:tc>
        <w:tc>
          <w:tcPr>
            <w:tcW w:w="236" w:type="dxa"/>
            <w:tcBorders>
              <w:left w:val="single" w:sz="4" w:space="0" w:color="auto"/>
              <w:right w:val="single" w:sz="4" w:space="0" w:color="auto"/>
            </w:tcBorders>
          </w:tcPr>
          <w:p w:rsidR="005C7389" w:rsidRPr="00625C8B" w:rsidRDefault="005C7389" w:rsidP="00483E7E">
            <w:pPr>
              <w:pStyle w:val="BodyText"/>
              <w:spacing w:before="0" w:after="0"/>
              <w:rPr>
                <w:rFonts w:ascii="Times New Roman" w:hAnsi="Times New Roman"/>
                <w:color w:val="auto"/>
                <w:sz w:val="24"/>
                <w:lang w:val="en-US"/>
              </w:rPr>
            </w:pPr>
          </w:p>
        </w:tc>
        <w:tc>
          <w:tcPr>
            <w:tcW w:w="4277" w:type="dxa"/>
            <w:vMerge/>
            <w:tcBorders>
              <w:left w:val="single" w:sz="4" w:space="0" w:color="auto"/>
              <w:bottom w:val="single" w:sz="4" w:space="0" w:color="auto"/>
              <w:right w:val="single" w:sz="4" w:space="0" w:color="auto"/>
            </w:tcBorders>
          </w:tcPr>
          <w:p w:rsidR="005C7389" w:rsidRPr="00625C8B" w:rsidRDefault="005C7389" w:rsidP="00483E7E">
            <w:pPr>
              <w:pStyle w:val="BodyText"/>
              <w:spacing w:before="0" w:after="0"/>
              <w:rPr>
                <w:rFonts w:ascii="Times New Roman" w:hAnsi="Times New Roman"/>
                <w:i/>
                <w:color w:val="auto"/>
                <w:sz w:val="24"/>
                <w:lang w:val="en-US"/>
              </w:rPr>
            </w:pPr>
          </w:p>
        </w:tc>
      </w:tr>
    </w:tbl>
    <w:p w:rsidR="005C7389" w:rsidRPr="00625C8B" w:rsidRDefault="005C7389" w:rsidP="005C7389">
      <w:pPr>
        <w:rPr>
          <w:lang w:val="en-US"/>
        </w:rPr>
      </w:pPr>
    </w:p>
    <w:tbl>
      <w:tblPr>
        <w:tblW w:w="0" w:type="auto"/>
        <w:tblLook w:val="01E0"/>
      </w:tblPr>
      <w:tblGrid>
        <w:gridCol w:w="4732"/>
        <w:gridCol w:w="236"/>
        <w:gridCol w:w="4277"/>
      </w:tblGrid>
      <w:tr w:rsidR="005C7389" w:rsidRPr="00625C8B" w:rsidTr="00483E7E">
        <w:tc>
          <w:tcPr>
            <w:tcW w:w="4732" w:type="dxa"/>
            <w:tcBorders>
              <w:top w:val="single" w:sz="4" w:space="0" w:color="auto"/>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en-US"/>
              </w:rPr>
            </w:pPr>
            <w:r w:rsidRPr="00625C8B">
              <w:rPr>
                <w:rFonts w:ascii="Times New Roman" w:hAnsi="Times New Roman" w:cs="Times New Roman"/>
                <w:i w:val="0"/>
                <w:sz w:val="24"/>
                <w:szCs w:val="24"/>
                <w:lang w:val="en-US"/>
              </w:rPr>
              <w:t xml:space="preserve">Reporting Period: </w:t>
            </w:r>
            <w:r w:rsidRPr="00625C8B">
              <w:rPr>
                <w:rFonts w:ascii="Times New Roman" w:hAnsi="Times New Roman" w:cs="Times New Roman"/>
                <w:i w:val="0"/>
                <w:sz w:val="24"/>
                <w:szCs w:val="24"/>
                <w:lang w:val="en-US"/>
              </w:rPr>
              <w:tab/>
            </w:r>
          </w:p>
        </w:tc>
        <w:tc>
          <w:tcPr>
            <w:tcW w:w="236" w:type="dxa"/>
            <w:tcBorders>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sz w:val="24"/>
                <w:szCs w:val="24"/>
                <w:lang w:val="en-US"/>
              </w:rPr>
            </w:pPr>
          </w:p>
        </w:tc>
        <w:tc>
          <w:tcPr>
            <w:tcW w:w="4277" w:type="dxa"/>
            <w:tcBorders>
              <w:top w:val="single" w:sz="4" w:space="0" w:color="auto"/>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en-US"/>
              </w:rPr>
            </w:pPr>
            <w:r w:rsidRPr="00625C8B">
              <w:rPr>
                <w:rFonts w:ascii="Times New Roman" w:hAnsi="Times New Roman" w:cs="Times New Roman"/>
                <w:i w:val="0"/>
                <w:sz w:val="24"/>
                <w:szCs w:val="24"/>
                <w:lang w:val="en-US"/>
              </w:rPr>
              <w:t>Project Budget:</w:t>
            </w:r>
          </w:p>
        </w:tc>
      </w:tr>
      <w:tr w:rsidR="005C7389" w:rsidRPr="00625C8B" w:rsidTr="00483E7E">
        <w:trPr>
          <w:trHeight w:val="684"/>
        </w:trPr>
        <w:tc>
          <w:tcPr>
            <w:tcW w:w="4732" w:type="dxa"/>
            <w:tcBorders>
              <w:left w:val="single" w:sz="4" w:space="0" w:color="auto"/>
              <w:bottom w:val="single" w:sz="4" w:space="0" w:color="auto"/>
              <w:right w:val="single" w:sz="4" w:space="0" w:color="auto"/>
            </w:tcBorders>
          </w:tcPr>
          <w:p w:rsidR="005C7389" w:rsidRPr="00625C8B" w:rsidRDefault="00574221" w:rsidP="00BF0224">
            <w:pPr>
              <w:pStyle w:val="BodyText"/>
              <w:spacing w:before="0" w:after="0"/>
              <w:rPr>
                <w:rFonts w:ascii="Times New Roman" w:hAnsi="Times New Roman"/>
                <w:color w:val="auto"/>
                <w:sz w:val="24"/>
                <w:lang w:val="en-US"/>
              </w:rPr>
            </w:pPr>
            <w:r>
              <w:rPr>
                <w:rFonts w:ascii="Times New Roman" w:hAnsi="Times New Roman"/>
                <w:color w:val="auto"/>
                <w:sz w:val="24"/>
                <w:lang w:val="en-US"/>
              </w:rPr>
              <w:t>Janvier</w:t>
            </w:r>
            <w:r w:rsidR="00FF00D7">
              <w:rPr>
                <w:rFonts w:ascii="Times New Roman" w:hAnsi="Times New Roman"/>
                <w:color w:val="auto"/>
                <w:sz w:val="24"/>
                <w:lang w:val="en-US"/>
              </w:rPr>
              <w:t xml:space="preserve"> 2009</w:t>
            </w:r>
            <w:r w:rsidR="005C7389" w:rsidRPr="00625C8B">
              <w:rPr>
                <w:rFonts w:ascii="Times New Roman" w:hAnsi="Times New Roman"/>
                <w:color w:val="auto"/>
                <w:sz w:val="24"/>
                <w:lang w:val="en-US"/>
              </w:rPr>
              <w:t xml:space="preserve"> </w:t>
            </w:r>
            <w:r w:rsidR="004F455E">
              <w:rPr>
                <w:rFonts w:ascii="Times New Roman" w:hAnsi="Times New Roman"/>
                <w:color w:val="auto"/>
                <w:sz w:val="24"/>
                <w:lang w:val="en-US"/>
              </w:rPr>
              <w:t>– D</w:t>
            </w:r>
            <w:r w:rsidR="004573B2">
              <w:rPr>
                <w:rFonts w:ascii="Times New Roman" w:hAnsi="Times New Roman"/>
                <w:color w:val="auto"/>
                <w:sz w:val="24"/>
                <w:lang w:val="en-US"/>
              </w:rPr>
              <w:t>é</w:t>
            </w:r>
            <w:r w:rsidR="004F455E">
              <w:rPr>
                <w:rFonts w:ascii="Times New Roman" w:hAnsi="Times New Roman"/>
                <w:color w:val="auto"/>
                <w:sz w:val="24"/>
                <w:lang w:val="en-US"/>
              </w:rPr>
              <w:t>cembre 2009</w:t>
            </w:r>
          </w:p>
        </w:tc>
        <w:tc>
          <w:tcPr>
            <w:tcW w:w="236" w:type="dxa"/>
            <w:tcBorders>
              <w:left w:val="single" w:sz="4" w:space="0" w:color="auto"/>
              <w:right w:val="single" w:sz="4" w:space="0" w:color="auto"/>
            </w:tcBorders>
          </w:tcPr>
          <w:p w:rsidR="005C7389" w:rsidRPr="00625C8B" w:rsidRDefault="005C7389" w:rsidP="00483E7E">
            <w:pPr>
              <w:pStyle w:val="BodyText"/>
              <w:spacing w:before="0" w:after="0"/>
              <w:rPr>
                <w:rFonts w:ascii="Times New Roman" w:hAnsi="Times New Roman"/>
                <w:color w:val="auto"/>
                <w:sz w:val="24"/>
                <w:lang w:val="en-US"/>
              </w:rPr>
            </w:pPr>
          </w:p>
        </w:tc>
        <w:tc>
          <w:tcPr>
            <w:tcW w:w="4277" w:type="dxa"/>
            <w:tcBorders>
              <w:left w:val="single" w:sz="4" w:space="0" w:color="auto"/>
              <w:bottom w:val="single" w:sz="4" w:space="0" w:color="auto"/>
              <w:right w:val="single" w:sz="4" w:space="0" w:color="auto"/>
            </w:tcBorders>
          </w:tcPr>
          <w:p w:rsidR="005C7389" w:rsidRPr="00625C8B" w:rsidRDefault="005C7389" w:rsidP="00483E7E">
            <w:pPr>
              <w:pStyle w:val="BodyText"/>
              <w:spacing w:before="0" w:after="0"/>
              <w:rPr>
                <w:rFonts w:ascii="Times New Roman" w:hAnsi="Times New Roman"/>
                <w:color w:val="auto"/>
                <w:sz w:val="24"/>
                <w:lang w:val="en-US"/>
              </w:rPr>
            </w:pPr>
            <w:r w:rsidRPr="00625C8B">
              <w:rPr>
                <w:rFonts w:ascii="Times New Roman" w:hAnsi="Times New Roman"/>
                <w:color w:val="auto"/>
                <w:sz w:val="24"/>
                <w:lang w:val="en-US"/>
              </w:rPr>
              <w:t>PBF-funding: $ 1 500 000</w:t>
            </w:r>
          </w:p>
          <w:p w:rsidR="005C7389" w:rsidRDefault="005C7389" w:rsidP="00483E7E">
            <w:pPr>
              <w:pStyle w:val="BodyText"/>
              <w:spacing w:before="0" w:after="0"/>
              <w:rPr>
                <w:rFonts w:ascii="Times New Roman" w:hAnsi="Times New Roman"/>
                <w:color w:val="auto"/>
                <w:sz w:val="24"/>
                <w:lang w:val="en-US"/>
              </w:rPr>
            </w:pPr>
            <w:r w:rsidRPr="00625C8B">
              <w:rPr>
                <w:rFonts w:ascii="Times New Roman" w:hAnsi="Times New Roman"/>
                <w:color w:val="auto"/>
                <w:sz w:val="24"/>
                <w:lang w:val="en-US"/>
              </w:rPr>
              <w:t xml:space="preserve">Other </w:t>
            </w:r>
            <w:r w:rsidR="00742E20">
              <w:rPr>
                <w:rFonts w:ascii="Times New Roman" w:hAnsi="Times New Roman"/>
                <w:color w:val="auto"/>
                <w:sz w:val="24"/>
                <w:lang w:val="en-US"/>
              </w:rPr>
              <w:t xml:space="preserve">funding: </w:t>
            </w:r>
            <w:r w:rsidR="009B3ABB">
              <w:rPr>
                <w:rFonts w:ascii="Times New Roman" w:hAnsi="Times New Roman"/>
                <w:color w:val="auto"/>
                <w:sz w:val="24"/>
                <w:lang w:val="en-US"/>
              </w:rPr>
              <w:t xml:space="preserve">Japan TF /300.000 </w:t>
            </w:r>
          </w:p>
          <w:p w:rsidR="00736FB1" w:rsidRPr="00625C8B" w:rsidRDefault="00736FB1" w:rsidP="009B3ABB">
            <w:pPr>
              <w:pStyle w:val="BodyText"/>
              <w:spacing w:before="0" w:after="0"/>
              <w:rPr>
                <w:rFonts w:ascii="Times New Roman" w:hAnsi="Times New Roman"/>
                <w:i/>
                <w:color w:val="auto"/>
                <w:sz w:val="24"/>
                <w:lang w:val="en-US"/>
              </w:rPr>
            </w:pPr>
            <w:r>
              <w:rPr>
                <w:rFonts w:ascii="Times New Roman" w:hAnsi="Times New Roman"/>
                <w:color w:val="auto"/>
                <w:sz w:val="24"/>
                <w:lang w:val="en-US"/>
              </w:rPr>
              <w:t>Other funding</w:t>
            </w:r>
            <w:r w:rsidR="009B3ABB">
              <w:rPr>
                <w:rFonts w:ascii="Times New Roman" w:hAnsi="Times New Roman"/>
                <w:color w:val="auto"/>
                <w:sz w:val="24"/>
                <w:lang w:val="en-US"/>
              </w:rPr>
              <w:t xml:space="preserve">: projet regional YERP( funded by Spain) : $ 650.000 </w:t>
            </w:r>
            <w:r w:rsidRPr="00625C8B">
              <w:rPr>
                <w:rFonts w:ascii="Times New Roman" w:hAnsi="Times New Roman"/>
                <w:color w:val="auto"/>
                <w:sz w:val="24"/>
                <w:lang w:val="en-US"/>
              </w:rPr>
              <w:t xml:space="preserve"> </w:t>
            </w:r>
          </w:p>
        </w:tc>
      </w:tr>
    </w:tbl>
    <w:p w:rsidR="005C7389" w:rsidRPr="00625C8B" w:rsidRDefault="005C7389" w:rsidP="005C7389">
      <w:pPr>
        <w:rPr>
          <w:lang w:val="en-US"/>
        </w:rPr>
      </w:pPr>
    </w:p>
    <w:tbl>
      <w:tblPr>
        <w:tblW w:w="0" w:type="auto"/>
        <w:tblLook w:val="01E0"/>
      </w:tblPr>
      <w:tblGrid>
        <w:gridCol w:w="4732"/>
        <w:gridCol w:w="236"/>
        <w:gridCol w:w="4277"/>
      </w:tblGrid>
      <w:tr w:rsidR="005C7389" w:rsidRPr="00625C8B" w:rsidTr="00483E7E">
        <w:tc>
          <w:tcPr>
            <w:tcW w:w="4732" w:type="dxa"/>
            <w:tcBorders>
              <w:top w:val="single" w:sz="4" w:space="0" w:color="auto"/>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en-US"/>
              </w:rPr>
            </w:pPr>
            <w:r w:rsidRPr="00625C8B">
              <w:rPr>
                <w:rFonts w:ascii="Times New Roman" w:hAnsi="Times New Roman" w:cs="Times New Roman"/>
                <w:i w:val="0"/>
                <w:sz w:val="24"/>
                <w:szCs w:val="24"/>
                <w:lang w:val="en-US"/>
              </w:rPr>
              <w:t>List Implementing Partners:</w:t>
            </w:r>
          </w:p>
        </w:tc>
        <w:tc>
          <w:tcPr>
            <w:tcW w:w="236" w:type="dxa"/>
            <w:tcBorders>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sz w:val="24"/>
                <w:szCs w:val="24"/>
                <w:lang w:val="en-US"/>
              </w:rPr>
            </w:pPr>
          </w:p>
        </w:tc>
        <w:tc>
          <w:tcPr>
            <w:tcW w:w="4277" w:type="dxa"/>
            <w:tcBorders>
              <w:top w:val="single" w:sz="4" w:space="0" w:color="auto"/>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en-US"/>
              </w:rPr>
            </w:pPr>
            <w:r w:rsidRPr="00625C8B">
              <w:rPr>
                <w:rFonts w:ascii="Times New Roman" w:hAnsi="Times New Roman" w:cs="Times New Roman"/>
                <w:i w:val="0"/>
                <w:sz w:val="24"/>
                <w:szCs w:val="24"/>
                <w:lang w:val="en-US"/>
              </w:rPr>
              <w:t>Project Coverage/Scope:</w:t>
            </w:r>
          </w:p>
        </w:tc>
      </w:tr>
      <w:tr w:rsidR="005C7389" w:rsidRPr="009B3ABB" w:rsidTr="00483E7E">
        <w:trPr>
          <w:trHeight w:val="459"/>
        </w:trPr>
        <w:tc>
          <w:tcPr>
            <w:tcW w:w="4732" w:type="dxa"/>
            <w:tcBorders>
              <w:left w:val="single" w:sz="4" w:space="0" w:color="auto"/>
              <w:bottom w:val="single" w:sz="4" w:space="0" w:color="auto"/>
              <w:right w:val="single" w:sz="4" w:space="0" w:color="auto"/>
            </w:tcBorders>
          </w:tcPr>
          <w:p w:rsidR="005C7389" w:rsidRPr="00625C8B" w:rsidRDefault="002C2334" w:rsidP="005C7389">
            <w:pPr>
              <w:pStyle w:val="BodyText"/>
              <w:numPr>
                <w:ilvl w:val="0"/>
                <w:numId w:val="2"/>
              </w:numPr>
              <w:tabs>
                <w:tab w:val="clear" w:pos="360"/>
              </w:tabs>
              <w:spacing w:before="0" w:after="0"/>
              <w:rPr>
                <w:rFonts w:ascii="Times New Roman" w:hAnsi="Times New Roman"/>
                <w:i/>
                <w:color w:val="auto"/>
                <w:sz w:val="24"/>
                <w:lang w:val="en-US"/>
              </w:rPr>
            </w:pPr>
            <w:r>
              <w:rPr>
                <w:rFonts w:ascii="Times New Roman" w:hAnsi="Times New Roman"/>
                <w:i/>
                <w:color w:val="auto"/>
                <w:sz w:val="24"/>
                <w:lang w:val="en-US"/>
              </w:rPr>
              <w:t>UNDP</w:t>
            </w:r>
          </w:p>
          <w:p w:rsidR="005C7389" w:rsidRPr="00625C8B" w:rsidRDefault="005C7389" w:rsidP="005C7389">
            <w:pPr>
              <w:pStyle w:val="BodyText"/>
              <w:numPr>
                <w:ilvl w:val="0"/>
                <w:numId w:val="2"/>
              </w:numPr>
              <w:tabs>
                <w:tab w:val="clear" w:pos="360"/>
              </w:tabs>
              <w:spacing w:before="0" w:after="0"/>
              <w:rPr>
                <w:rFonts w:ascii="Times New Roman" w:hAnsi="Times New Roman"/>
                <w:i/>
                <w:color w:val="auto"/>
                <w:sz w:val="24"/>
                <w:lang w:val="en-US"/>
              </w:rPr>
            </w:pPr>
            <w:r w:rsidRPr="00625C8B">
              <w:rPr>
                <w:rFonts w:ascii="Times New Roman" w:hAnsi="Times New Roman"/>
                <w:i/>
                <w:color w:val="auto"/>
                <w:sz w:val="24"/>
                <w:lang w:val="en-US"/>
              </w:rPr>
              <w:t xml:space="preserve">BIT </w:t>
            </w:r>
          </w:p>
          <w:p w:rsidR="005C7389" w:rsidRPr="00625C8B" w:rsidRDefault="005C7389" w:rsidP="005C7389">
            <w:pPr>
              <w:pStyle w:val="BodyText"/>
              <w:numPr>
                <w:ilvl w:val="0"/>
                <w:numId w:val="2"/>
              </w:numPr>
              <w:tabs>
                <w:tab w:val="clear" w:pos="360"/>
              </w:tabs>
              <w:spacing w:before="0" w:after="0"/>
              <w:rPr>
                <w:rFonts w:ascii="Times New Roman" w:hAnsi="Times New Roman"/>
                <w:color w:val="0000FF"/>
                <w:sz w:val="24"/>
                <w:lang w:val="fr-FR"/>
              </w:rPr>
            </w:pPr>
            <w:r w:rsidRPr="009B3ABB">
              <w:rPr>
                <w:rFonts w:ascii="Times New Roman" w:hAnsi="Times New Roman"/>
                <w:i/>
                <w:color w:val="auto"/>
                <w:sz w:val="24"/>
                <w:lang w:val="en-US"/>
              </w:rPr>
              <w:t>Institut National de la Jeunesse et Institut de la Format</w:t>
            </w:r>
            <w:r w:rsidRPr="00625C8B">
              <w:rPr>
                <w:rFonts w:ascii="Times New Roman" w:hAnsi="Times New Roman"/>
                <w:i/>
                <w:color w:val="auto"/>
                <w:sz w:val="24"/>
                <w:lang w:val="fr-FR"/>
              </w:rPr>
              <w:t>ion Technique et professionnel</w:t>
            </w:r>
            <w:r w:rsidR="002C2334">
              <w:rPr>
                <w:rFonts w:ascii="Times New Roman" w:hAnsi="Times New Roman"/>
                <w:i/>
                <w:color w:val="auto"/>
                <w:sz w:val="24"/>
                <w:lang w:val="fr-FR"/>
              </w:rPr>
              <w:t>le</w:t>
            </w:r>
            <w:r w:rsidRPr="00625C8B">
              <w:rPr>
                <w:rFonts w:ascii="Times New Roman" w:hAnsi="Times New Roman"/>
                <w:i/>
                <w:color w:val="auto"/>
                <w:sz w:val="24"/>
                <w:lang w:val="fr-FR"/>
              </w:rPr>
              <w:t xml:space="preserve"> </w:t>
            </w:r>
          </w:p>
        </w:tc>
        <w:tc>
          <w:tcPr>
            <w:tcW w:w="236" w:type="dxa"/>
            <w:tcBorders>
              <w:left w:val="single" w:sz="4" w:space="0" w:color="auto"/>
              <w:right w:val="single" w:sz="4" w:space="0" w:color="auto"/>
            </w:tcBorders>
          </w:tcPr>
          <w:p w:rsidR="005C7389" w:rsidRPr="00625C8B" w:rsidRDefault="005C7389" w:rsidP="00483E7E">
            <w:pPr>
              <w:pStyle w:val="BodyText"/>
              <w:spacing w:before="0" w:after="0"/>
              <w:rPr>
                <w:rFonts w:ascii="Times New Roman" w:hAnsi="Times New Roman"/>
                <w:color w:val="auto"/>
                <w:sz w:val="24"/>
                <w:lang w:val="fr-FR"/>
              </w:rPr>
            </w:pPr>
          </w:p>
        </w:tc>
        <w:tc>
          <w:tcPr>
            <w:tcW w:w="4277" w:type="dxa"/>
            <w:tcBorders>
              <w:left w:val="single" w:sz="4" w:space="0" w:color="auto"/>
              <w:bottom w:val="single" w:sz="4" w:space="0" w:color="auto"/>
              <w:right w:val="single" w:sz="4" w:space="0" w:color="auto"/>
            </w:tcBorders>
          </w:tcPr>
          <w:p w:rsidR="005C7389" w:rsidRPr="00625C8B" w:rsidRDefault="005C7389" w:rsidP="00483E7E">
            <w:pPr>
              <w:pStyle w:val="BodyText"/>
              <w:spacing w:before="0" w:after="0"/>
              <w:jc w:val="left"/>
              <w:rPr>
                <w:rFonts w:ascii="Times New Roman" w:hAnsi="Times New Roman"/>
                <w:color w:val="auto"/>
                <w:sz w:val="24"/>
                <w:lang w:val="fr-FR"/>
              </w:rPr>
            </w:pPr>
            <w:r w:rsidRPr="00625C8B">
              <w:rPr>
                <w:rFonts w:ascii="Times New Roman" w:hAnsi="Times New Roman"/>
                <w:i/>
                <w:color w:val="auto"/>
                <w:sz w:val="24"/>
                <w:lang w:val="fr-FR"/>
              </w:rPr>
              <w:t>Capital</w:t>
            </w:r>
            <w:r w:rsidR="00FF00D7">
              <w:rPr>
                <w:rFonts w:ascii="Times New Roman" w:hAnsi="Times New Roman"/>
                <w:i/>
                <w:color w:val="auto"/>
                <w:sz w:val="24"/>
                <w:lang w:val="fr-FR"/>
              </w:rPr>
              <w:t>, Bissau,</w:t>
            </w:r>
            <w:r w:rsidRPr="00625C8B">
              <w:rPr>
                <w:rFonts w:ascii="Times New Roman" w:hAnsi="Times New Roman"/>
                <w:i/>
                <w:color w:val="auto"/>
                <w:sz w:val="24"/>
                <w:lang w:val="fr-FR"/>
              </w:rPr>
              <w:t xml:space="preserve"> et trois</w:t>
            </w:r>
            <w:r w:rsidR="00FF00D7">
              <w:rPr>
                <w:rFonts w:ascii="Times New Roman" w:hAnsi="Times New Roman"/>
                <w:i/>
                <w:color w:val="auto"/>
                <w:sz w:val="24"/>
                <w:lang w:val="fr-FR"/>
              </w:rPr>
              <w:t xml:space="preserve"> régions (</w:t>
            </w:r>
            <w:r w:rsidRPr="00625C8B">
              <w:rPr>
                <w:rFonts w:ascii="Times New Roman" w:hAnsi="Times New Roman"/>
                <w:i/>
                <w:color w:val="auto"/>
                <w:sz w:val="24"/>
                <w:lang w:val="fr-FR"/>
              </w:rPr>
              <w:t xml:space="preserve"> Buba</w:t>
            </w:r>
            <w:r w:rsidR="00FF00D7">
              <w:rPr>
                <w:rFonts w:ascii="Times New Roman" w:hAnsi="Times New Roman"/>
                <w:i/>
                <w:color w:val="auto"/>
                <w:sz w:val="24"/>
                <w:lang w:val="fr-FR"/>
              </w:rPr>
              <w:t xml:space="preserve">, Gabú </w:t>
            </w:r>
            <w:r w:rsidRPr="00625C8B">
              <w:rPr>
                <w:rFonts w:ascii="Times New Roman" w:hAnsi="Times New Roman"/>
                <w:i/>
                <w:color w:val="auto"/>
                <w:sz w:val="24"/>
                <w:lang w:val="fr-FR"/>
              </w:rPr>
              <w:t xml:space="preserve"> et Cachéu) </w:t>
            </w:r>
          </w:p>
        </w:tc>
      </w:tr>
    </w:tbl>
    <w:p w:rsidR="005C7389" w:rsidRPr="00625C8B" w:rsidRDefault="005C7389" w:rsidP="005C7389">
      <w:pPr>
        <w:rPr>
          <w:lang w:val="fr-FR"/>
        </w:rPr>
      </w:pPr>
    </w:p>
    <w:tbl>
      <w:tblPr>
        <w:tblW w:w="0" w:type="auto"/>
        <w:tblLook w:val="01E0"/>
      </w:tblPr>
      <w:tblGrid>
        <w:gridCol w:w="4732"/>
        <w:gridCol w:w="236"/>
        <w:gridCol w:w="4277"/>
      </w:tblGrid>
      <w:tr w:rsidR="005C7389" w:rsidRPr="00625C8B" w:rsidTr="00483E7E">
        <w:tc>
          <w:tcPr>
            <w:tcW w:w="4732" w:type="dxa"/>
            <w:tcBorders>
              <w:top w:val="single" w:sz="4" w:space="0" w:color="auto"/>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fr-FR"/>
              </w:rPr>
            </w:pPr>
            <w:r w:rsidRPr="00625C8B">
              <w:rPr>
                <w:rFonts w:ascii="Times New Roman" w:hAnsi="Times New Roman" w:cs="Times New Roman"/>
                <w:i w:val="0"/>
                <w:sz w:val="24"/>
                <w:szCs w:val="24"/>
                <w:lang w:val="fr-FR"/>
              </w:rPr>
              <w:t>Abbreviations and acronyms:</w:t>
            </w:r>
          </w:p>
          <w:p w:rsidR="0051570F" w:rsidRPr="00625C8B" w:rsidRDefault="0051570F" w:rsidP="0051570F">
            <w:pPr>
              <w:rPr>
                <w:lang w:val="fr-FR"/>
              </w:rPr>
            </w:pPr>
          </w:p>
        </w:tc>
        <w:tc>
          <w:tcPr>
            <w:tcW w:w="236" w:type="dxa"/>
            <w:tcBorders>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sz w:val="24"/>
                <w:szCs w:val="24"/>
                <w:lang w:val="fr-FR"/>
              </w:rPr>
            </w:pPr>
          </w:p>
        </w:tc>
        <w:tc>
          <w:tcPr>
            <w:tcW w:w="4277" w:type="dxa"/>
            <w:vMerge w:val="restart"/>
            <w:tcBorders>
              <w:top w:val="single" w:sz="4" w:space="0" w:color="auto"/>
              <w:left w:val="single" w:sz="4" w:space="0" w:color="auto"/>
              <w:right w:val="single" w:sz="4" w:space="0" w:color="auto"/>
            </w:tcBorders>
          </w:tcPr>
          <w:p w:rsidR="005C7389" w:rsidRPr="00625C8B" w:rsidRDefault="005C7389" w:rsidP="00483E7E">
            <w:pPr>
              <w:pStyle w:val="Heading2"/>
              <w:spacing w:before="0" w:after="0"/>
              <w:rPr>
                <w:rFonts w:ascii="Times New Roman" w:hAnsi="Times New Roman" w:cs="Times New Roman"/>
                <w:i w:val="0"/>
                <w:sz w:val="24"/>
                <w:szCs w:val="24"/>
                <w:lang w:val="fr-FR"/>
              </w:rPr>
            </w:pPr>
            <w:r w:rsidRPr="00625C8B">
              <w:rPr>
                <w:rFonts w:ascii="Times New Roman" w:hAnsi="Times New Roman" w:cs="Times New Roman"/>
                <w:i w:val="0"/>
                <w:sz w:val="24"/>
                <w:szCs w:val="24"/>
                <w:lang w:val="fr-FR"/>
              </w:rPr>
              <w:t>Project Duration:</w:t>
            </w:r>
          </w:p>
          <w:p w:rsidR="005C7389" w:rsidRPr="00625C8B" w:rsidRDefault="005C7389" w:rsidP="00483E7E">
            <w:pPr>
              <w:pStyle w:val="BodyText"/>
              <w:spacing w:before="0" w:after="0"/>
              <w:jc w:val="left"/>
              <w:rPr>
                <w:rFonts w:ascii="Times New Roman" w:hAnsi="Times New Roman"/>
                <w:color w:val="auto"/>
                <w:sz w:val="24"/>
                <w:u w:val="single"/>
                <w:lang w:val="fr-FR"/>
              </w:rPr>
            </w:pPr>
            <w:r w:rsidRPr="00625C8B">
              <w:rPr>
                <w:rFonts w:ascii="Times New Roman" w:hAnsi="Times New Roman"/>
                <w:color w:val="auto"/>
                <w:sz w:val="24"/>
                <w:u w:val="single"/>
                <w:lang w:val="fr-FR"/>
              </w:rPr>
              <w:t>Start Date:</w:t>
            </w:r>
          </w:p>
          <w:p w:rsidR="005C7389" w:rsidRPr="00625C8B" w:rsidRDefault="00A24839" w:rsidP="005C7389">
            <w:pPr>
              <w:pStyle w:val="BodyText"/>
              <w:numPr>
                <w:ilvl w:val="0"/>
                <w:numId w:val="3"/>
              </w:numPr>
              <w:spacing w:before="0" w:after="0"/>
              <w:ind w:left="252" w:hanging="252"/>
              <w:jc w:val="left"/>
              <w:rPr>
                <w:rFonts w:ascii="Times New Roman" w:hAnsi="Times New Roman"/>
                <w:color w:val="auto"/>
                <w:sz w:val="24"/>
                <w:u w:val="single"/>
                <w:lang w:val="fr-FR"/>
              </w:rPr>
            </w:pPr>
            <w:r>
              <w:rPr>
                <w:rFonts w:ascii="Times New Roman" w:hAnsi="Times New Roman"/>
                <w:i/>
                <w:color w:val="auto"/>
                <w:sz w:val="24"/>
                <w:lang w:val="fr-FR"/>
              </w:rPr>
              <w:t>Juillet 200</w:t>
            </w:r>
            <w:r w:rsidR="005C7389" w:rsidRPr="00625C8B">
              <w:rPr>
                <w:rFonts w:ascii="Times New Roman" w:hAnsi="Times New Roman"/>
                <w:i/>
                <w:color w:val="auto"/>
                <w:sz w:val="24"/>
                <w:lang w:val="fr-FR"/>
              </w:rPr>
              <w:t xml:space="preserve">8 </w:t>
            </w:r>
          </w:p>
          <w:p w:rsidR="005C7389" w:rsidRPr="00625C8B" w:rsidRDefault="005C7389" w:rsidP="00483E7E">
            <w:pPr>
              <w:pStyle w:val="BodyText"/>
              <w:spacing w:before="0" w:after="0"/>
              <w:jc w:val="left"/>
              <w:rPr>
                <w:rFonts w:ascii="Times New Roman" w:hAnsi="Times New Roman"/>
                <w:color w:val="auto"/>
                <w:sz w:val="24"/>
                <w:u w:val="single"/>
                <w:lang w:val="en-US"/>
              </w:rPr>
            </w:pPr>
            <w:r w:rsidRPr="00625C8B">
              <w:rPr>
                <w:rFonts w:ascii="Times New Roman" w:hAnsi="Times New Roman"/>
                <w:color w:val="auto"/>
                <w:sz w:val="24"/>
                <w:u w:val="single"/>
                <w:lang w:val="en-US"/>
              </w:rPr>
              <w:t>End date:</w:t>
            </w:r>
          </w:p>
          <w:p w:rsidR="005C7389" w:rsidRPr="00625C8B" w:rsidRDefault="00FF00D7" w:rsidP="005C7389">
            <w:pPr>
              <w:pStyle w:val="BodyText"/>
              <w:numPr>
                <w:ilvl w:val="0"/>
                <w:numId w:val="3"/>
              </w:numPr>
              <w:spacing w:before="0" w:after="0"/>
              <w:ind w:left="252" w:hanging="252"/>
              <w:jc w:val="left"/>
              <w:rPr>
                <w:rFonts w:ascii="Times New Roman" w:hAnsi="Times New Roman"/>
                <w:i/>
                <w:color w:val="auto"/>
                <w:sz w:val="24"/>
                <w:lang w:val="en-US"/>
              </w:rPr>
            </w:pPr>
            <w:r>
              <w:rPr>
                <w:rFonts w:ascii="Times New Roman" w:hAnsi="Times New Roman"/>
                <w:i/>
                <w:color w:val="auto"/>
                <w:sz w:val="24"/>
                <w:lang w:val="en-US"/>
              </w:rPr>
              <w:t>December</w:t>
            </w:r>
            <w:r w:rsidR="004F455E">
              <w:rPr>
                <w:rFonts w:ascii="Times New Roman" w:hAnsi="Times New Roman"/>
                <w:i/>
                <w:color w:val="auto"/>
                <w:sz w:val="24"/>
                <w:lang w:val="en-US"/>
              </w:rPr>
              <w:t xml:space="preserve"> 2010</w:t>
            </w:r>
          </w:p>
          <w:p w:rsidR="005C7389" w:rsidRPr="00625C8B" w:rsidRDefault="00A24839" w:rsidP="00A24839">
            <w:pPr>
              <w:pStyle w:val="BodyText"/>
              <w:tabs>
                <w:tab w:val="left" w:pos="2805"/>
              </w:tabs>
              <w:spacing w:before="0" w:after="0"/>
              <w:ind w:left="252"/>
              <w:jc w:val="left"/>
              <w:rPr>
                <w:rFonts w:ascii="Times New Roman" w:hAnsi="Times New Roman"/>
                <w:sz w:val="24"/>
                <w:lang w:val="en-US"/>
              </w:rPr>
            </w:pPr>
            <w:r>
              <w:rPr>
                <w:rFonts w:ascii="Times New Roman" w:hAnsi="Times New Roman"/>
                <w:sz w:val="24"/>
                <w:lang w:val="en-US"/>
              </w:rPr>
              <w:tab/>
            </w:r>
          </w:p>
        </w:tc>
      </w:tr>
      <w:tr w:rsidR="005C7389" w:rsidRPr="00625C8B" w:rsidTr="00483E7E">
        <w:trPr>
          <w:trHeight w:val="1440"/>
        </w:trPr>
        <w:tc>
          <w:tcPr>
            <w:tcW w:w="4732" w:type="dxa"/>
            <w:tcBorders>
              <w:left w:val="single" w:sz="4" w:space="0" w:color="auto"/>
              <w:bottom w:val="single" w:sz="4" w:space="0" w:color="auto"/>
              <w:right w:val="single" w:sz="4" w:space="0" w:color="auto"/>
            </w:tcBorders>
          </w:tcPr>
          <w:p w:rsidR="005C7389" w:rsidRPr="00625C8B" w:rsidRDefault="0051570F" w:rsidP="0051570F">
            <w:pPr>
              <w:widowControl w:val="0"/>
              <w:jc w:val="both"/>
              <w:rPr>
                <w:i/>
                <w:lang w:val="en-US"/>
              </w:rPr>
            </w:pPr>
            <w:r w:rsidRPr="00625C8B">
              <w:rPr>
                <w:i/>
                <w:lang w:val="en-US"/>
              </w:rPr>
              <w:t>CENFI</w:t>
            </w:r>
          </w:p>
          <w:p w:rsidR="0051570F" w:rsidRPr="00625C8B" w:rsidRDefault="0051570F" w:rsidP="0051570F">
            <w:pPr>
              <w:widowControl w:val="0"/>
              <w:jc w:val="both"/>
              <w:rPr>
                <w:i/>
                <w:lang w:val="en-US"/>
              </w:rPr>
            </w:pPr>
            <w:r w:rsidRPr="00625C8B">
              <w:rPr>
                <w:i/>
                <w:lang w:val="en-US"/>
              </w:rPr>
              <w:t>ITFP</w:t>
            </w:r>
          </w:p>
          <w:p w:rsidR="0051570F" w:rsidRPr="00625C8B" w:rsidRDefault="0051570F" w:rsidP="0051570F">
            <w:pPr>
              <w:widowControl w:val="0"/>
              <w:jc w:val="both"/>
              <w:rPr>
                <w:i/>
                <w:lang w:val="en-US"/>
              </w:rPr>
            </w:pPr>
            <w:r w:rsidRPr="00625C8B">
              <w:rPr>
                <w:i/>
                <w:lang w:val="en-US"/>
              </w:rPr>
              <w:t>INJ</w:t>
            </w:r>
          </w:p>
        </w:tc>
        <w:tc>
          <w:tcPr>
            <w:tcW w:w="236" w:type="dxa"/>
            <w:tcBorders>
              <w:left w:val="single" w:sz="4" w:space="0" w:color="auto"/>
              <w:right w:val="single" w:sz="4" w:space="0" w:color="auto"/>
            </w:tcBorders>
          </w:tcPr>
          <w:p w:rsidR="005C7389" w:rsidRPr="00625C8B" w:rsidRDefault="005C7389" w:rsidP="00483E7E">
            <w:pPr>
              <w:pStyle w:val="BodyText"/>
              <w:spacing w:before="0" w:after="0"/>
              <w:rPr>
                <w:rFonts w:ascii="Times New Roman" w:hAnsi="Times New Roman"/>
                <w:color w:val="auto"/>
                <w:sz w:val="24"/>
                <w:lang w:val="en-US"/>
              </w:rPr>
            </w:pPr>
          </w:p>
        </w:tc>
        <w:tc>
          <w:tcPr>
            <w:tcW w:w="4277" w:type="dxa"/>
            <w:vMerge/>
            <w:tcBorders>
              <w:left w:val="single" w:sz="4" w:space="0" w:color="auto"/>
              <w:bottom w:val="single" w:sz="4" w:space="0" w:color="auto"/>
              <w:right w:val="single" w:sz="4" w:space="0" w:color="auto"/>
            </w:tcBorders>
          </w:tcPr>
          <w:p w:rsidR="005C7389" w:rsidRPr="00625C8B" w:rsidRDefault="005C7389" w:rsidP="005C7389">
            <w:pPr>
              <w:pStyle w:val="BodyText"/>
              <w:numPr>
                <w:ilvl w:val="0"/>
                <w:numId w:val="1"/>
              </w:numPr>
              <w:tabs>
                <w:tab w:val="clear" w:pos="720"/>
              </w:tabs>
              <w:spacing w:before="0" w:after="0"/>
              <w:ind w:left="432"/>
              <w:jc w:val="left"/>
              <w:rPr>
                <w:rFonts w:ascii="Times New Roman" w:hAnsi="Times New Roman"/>
                <w:i/>
                <w:color w:val="0000FF"/>
                <w:sz w:val="24"/>
                <w:lang w:val="en-US"/>
              </w:rPr>
            </w:pPr>
          </w:p>
        </w:tc>
      </w:tr>
    </w:tbl>
    <w:p w:rsidR="005C7389" w:rsidRPr="00625C8B" w:rsidRDefault="005C7389" w:rsidP="005C7389">
      <w:pPr>
        <w:rPr>
          <w:lang w:val="en-US"/>
        </w:rPr>
        <w:sectPr w:rsidR="005C7389" w:rsidRPr="00625C8B" w:rsidSect="005C7389">
          <w:footerReference w:type="default" r:id="rId9"/>
          <w:footerReference w:type="first" r:id="rId10"/>
          <w:pgSz w:w="12240" w:h="15840" w:code="1"/>
          <w:pgMar w:top="900" w:right="1440" w:bottom="1440" w:left="1440" w:header="576" w:footer="720" w:gutter="0"/>
          <w:cols w:space="720"/>
          <w:docGrid w:linePitch="360"/>
        </w:sectPr>
      </w:pPr>
    </w:p>
    <w:p w:rsidR="005C7389" w:rsidRPr="00625C8B" w:rsidRDefault="005C7389" w:rsidP="005C7389">
      <w:pPr>
        <w:tabs>
          <w:tab w:val="left" w:pos="-720"/>
          <w:tab w:val="left" w:pos="4500"/>
        </w:tabs>
        <w:suppressAutoHyphens/>
        <w:spacing w:before="90"/>
        <w:rPr>
          <w:b/>
          <w:bCs/>
          <w:spacing w:val="-2"/>
          <w:u w:val="single"/>
          <w:lang w:val="fr-FR"/>
        </w:rPr>
      </w:pPr>
    </w:p>
    <w:p w:rsidR="005C7389" w:rsidRPr="009D5B6A" w:rsidRDefault="005C7389" w:rsidP="005C7389">
      <w:pPr>
        <w:pStyle w:val="ListParagraph"/>
        <w:numPr>
          <w:ilvl w:val="0"/>
          <w:numId w:val="8"/>
        </w:numPr>
        <w:tabs>
          <w:tab w:val="left" w:pos="-720"/>
          <w:tab w:val="left" w:pos="4500"/>
        </w:tabs>
        <w:suppressAutoHyphens/>
        <w:spacing w:before="90"/>
        <w:rPr>
          <w:b/>
          <w:bCs/>
          <w:spacing w:val="-2"/>
          <w:sz w:val="28"/>
          <w:szCs w:val="28"/>
          <w:lang w:val="fr-FR"/>
        </w:rPr>
      </w:pPr>
      <w:r w:rsidRPr="009D5B6A">
        <w:rPr>
          <w:b/>
          <w:bCs/>
          <w:spacing w:val="-2"/>
          <w:sz w:val="28"/>
          <w:szCs w:val="28"/>
          <w:lang w:val="fr-FR"/>
        </w:rPr>
        <w:t>Objectifs et résultats du projet</w:t>
      </w:r>
    </w:p>
    <w:p w:rsidR="005C7389" w:rsidRPr="00625C8B" w:rsidRDefault="005C7389" w:rsidP="005C7389">
      <w:pPr>
        <w:tabs>
          <w:tab w:val="left" w:pos="-720"/>
          <w:tab w:val="left" w:pos="4500"/>
        </w:tabs>
        <w:suppressAutoHyphens/>
        <w:spacing w:before="90"/>
        <w:rPr>
          <w:b/>
          <w:bCs/>
          <w:spacing w:val="-2"/>
          <w:u w:val="single"/>
          <w:lang w:val="fr-FR"/>
        </w:rPr>
      </w:pPr>
    </w:p>
    <w:p w:rsidR="005C7389" w:rsidRPr="004573B2" w:rsidRDefault="005C7389" w:rsidP="004573B2">
      <w:pPr>
        <w:pStyle w:val="ListParagraph"/>
        <w:numPr>
          <w:ilvl w:val="1"/>
          <w:numId w:val="13"/>
        </w:numPr>
        <w:tabs>
          <w:tab w:val="left" w:pos="-720"/>
          <w:tab w:val="left" w:pos="4500"/>
        </w:tabs>
        <w:suppressAutoHyphens/>
        <w:spacing w:before="90"/>
        <w:rPr>
          <w:b/>
          <w:bCs/>
          <w:spacing w:val="-2"/>
          <w:lang w:val="fr-FR"/>
        </w:rPr>
      </w:pPr>
      <w:r w:rsidRPr="004573B2">
        <w:rPr>
          <w:b/>
          <w:bCs/>
          <w:spacing w:val="-2"/>
          <w:lang w:val="fr-FR"/>
        </w:rPr>
        <w:t>Objectif</w:t>
      </w:r>
      <w:r w:rsidR="00AE4786" w:rsidRPr="004573B2">
        <w:rPr>
          <w:b/>
          <w:bCs/>
          <w:spacing w:val="-2"/>
          <w:lang w:val="fr-FR"/>
        </w:rPr>
        <w:t>s</w:t>
      </w:r>
      <w:r w:rsidR="003118D6" w:rsidRPr="004573B2">
        <w:rPr>
          <w:b/>
          <w:bCs/>
          <w:spacing w:val="-2"/>
          <w:lang w:val="fr-FR"/>
        </w:rPr>
        <w:t xml:space="preserve">  immédiat</w:t>
      </w:r>
      <w:r w:rsidR="00AE4786" w:rsidRPr="004573B2">
        <w:rPr>
          <w:b/>
          <w:bCs/>
          <w:spacing w:val="-2"/>
          <w:lang w:val="fr-FR"/>
        </w:rPr>
        <w:t xml:space="preserve"> et de </w:t>
      </w:r>
      <w:r w:rsidRPr="004573B2">
        <w:rPr>
          <w:b/>
          <w:bCs/>
          <w:spacing w:val="-2"/>
          <w:lang w:val="fr-FR"/>
        </w:rPr>
        <w:t>consolidation de la paix</w:t>
      </w:r>
      <w:r w:rsidR="003118D6" w:rsidRPr="004573B2">
        <w:rPr>
          <w:b/>
          <w:bCs/>
          <w:spacing w:val="-2"/>
          <w:lang w:val="fr-FR"/>
        </w:rPr>
        <w:t xml:space="preserve"> </w:t>
      </w:r>
      <w:r w:rsidRPr="004573B2">
        <w:rPr>
          <w:b/>
          <w:bCs/>
          <w:spacing w:val="-2"/>
          <w:lang w:val="fr-FR"/>
        </w:rPr>
        <w:t xml:space="preserve">: </w:t>
      </w:r>
    </w:p>
    <w:p w:rsidR="005C7389" w:rsidRPr="00625C8B" w:rsidRDefault="005C7389" w:rsidP="005C7389">
      <w:pPr>
        <w:tabs>
          <w:tab w:val="left" w:pos="-720"/>
          <w:tab w:val="left" w:pos="4500"/>
        </w:tabs>
        <w:suppressAutoHyphens/>
        <w:rPr>
          <w:spacing w:val="-2"/>
          <w:lang w:val="fr-FR"/>
        </w:rPr>
      </w:pPr>
    </w:p>
    <w:p w:rsidR="005C7389" w:rsidRPr="00625C8B" w:rsidRDefault="003118D6" w:rsidP="00ED6A03">
      <w:pPr>
        <w:tabs>
          <w:tab w:val="left" w:pos="-720"/>
          <w:tab w:val="left" w:pos="4500"/>
        </w:tabs>
        <w:suppressAutoHyphens/>
        <w:jc w:val="both"/>
        <w:rPr>
          <w:spacing w:val="-2"/>
          <w:lang w:val="fr-FR"/>
        </w:rPr>
      </w:pPr>
      <w:r w:rsidRPr="003118D6">
        <w:rPr>
          <w:spacing w:val="-2"/>
          <w:lang w:val="fr-FR"/>
        </w:rPr>
        <w:t xml:space="preserve">Développer les capacités des jeunes </w:t>
      </w:r>
      <w:r w:rsidR="00A24839">
        <w:rPr>
          <w:spacing w:val="-2"/>
          <w:lang w:val="fr-FR"/>
        </w:rPr>
        <w:t xml:space="preserve">bénéficiaires du projet  </w:t>
      </w:r>
      <w:r w:rsidRPr="003118D6">
        <w:rPr>
          <w:spacing w:val="-2"/>
          <w:lang w:val="fr-FR"/>
        </w:rPr>
        <w:t xml:space="preserve">à accéder au travail décent afin de </w:t>
      </w:r>
      <w:r w:rsidR="00A24839">
        <w:rPr>
          <w:spacing w:val="-2"/>
          <w:lang w:val="fr-FR"/>
        </w:rPr>
        <w:t xml:space="preserve">leur </w:t>
      </w:r>
      <w:r w:rsidRPr="003118D6">
        <w:rPr>
          <w:spacing w:val="-2"/>
          <w:lang w:val="fr-FR"/>
        </w:rPr>
        <w:t xml:space="preserve">permettre </w:t>
      </w:r>
      <w:r w:rsidR="00A24839">
        <w:rPr>
          <w:spacing w:val="-2"/>
          <w:lang w:val="fr-FR"/>
        </w:rPr>
        <w:t xml:space="preserve">de </w:t>
      </w:r>
      <w:r w:rsidR="005C7389" w:rsidRPr="00625C8B">
        <w:rPr>
          <w:spacing w:val="-2"/>
          <w:lang w:val="fr-FR"/>
        </w:rPr>
        <w:t>sortir de leur situation précaire et de devenir un facteur de paix en servant d’exemple pour les autres jeunes</w:t>
      </w:r>
      <w:r w:rsidR="00A24839">
        <w:rPr>
          <w:spacing w:val="-2"/>
          <w:lang w:val="fr-FR"/>
        </w:rPr>
        <w:t xml:space="preserve">. </w:t>
      </w:r>
      <w:r>
        <w:rPr>
          <w:spacing w:val="-2"/>
          <w:lang w:val="fr-FR"/>
        </w:rPr>
        <w:t xml:space="preserve"> </w:t>
      </w:r>
    </w:p>
    <w:p w:rsidR="005C7389" w:rsidRPr="00625C8B" w:rsidRDefault="005C7389" w:rsidP="005C7389">
      <w:pPr>
        <w:jc w:val="both"/>
        <w:rPr>
          <w:lang w:val="fr-FR"/>
        </w:rPr>
      </w:pPr>
    </w:p>
    <w:p w:rsidR="005C7389" w:rsidRPr="00625C8B" w:rsidRDefault="005C7389" w:rsidP="005C7389">
      <w:pPr>
        <w:jc w:val="both"/>
        <w:rPr>
          <w:lang w:val="fr-FR"/>
        </w:rPr>
      </w:pPr>
      <w:r w:rsidRPr="00625C8B">
        <w:rPr>
          <w:lang w:val="fr-FR"/>
        </w:rPr>
        <w:t xml:space="preserve">Pour atteindre ces objectifs, les résultats suivants sont prévus :  </w:t>
      </w:r>
    </w:p>
    <w:p w:rsidR="005C7389" w:rsidRPr="00625C8B" w:rsidRDefault="005C7389" w:rsidP="005C7389">
      <w:pPr>
        <w:jc w:val="both"/>
        <w:rPr>
          <w:lang w:val="fr-FR"/>
        </w:rPr>
      </w:pPr>
    </w:p>
    <w:p w:rsidR="005C7389" w:rsidRPr="00625C8B" w:rsidRDefault="002C2334" w:rsidP="005C7389">
      <w:pPr>
        <w:pStyle w:val="ListParagraph"/>
        <w:widowControl w:val="0"/>
        <w:numPr>
          <w:ilvl w:val="0"/>
          <w:numId w:val="9"/>
        </w:numPr>
        <w:tabs>
          <w:tab w:val="left" w:pos="-720"/>
          <w:tab w:val="left" w:pos="4500"/>
        </w:tabs>
        <w:suppressAutoHyphens/>
        <w:rPr>
          <w:spacing w:val="-2"/>
          <w:lang w:val="fr-FR"/>
        </w:rPr>
      </w:pPr>
      <w:r>
        <w:rPr>
          <w:spacing w:val="-2"/>
          <w:lang w:val="fr-FR"/>
        </w:rPr>
        <w:t>Appuyer dans le d</w:t>
      </w:r>
      <w:r w:rsidR="005C7389" w:rsidRPr="00625C8B">
        <w:rPr>
          <w:spacing w:val="-2"/>
          <w:lang w:val="fr-FR"/>
        </w:rPr>
        <w:t>éveloppe</w:t>
      </w:r>
      <w:r>
        <w:rPr>
          <w:spacing w:val="-2"/>
          <w:lang w:val="fr-FR"/>
        </w:rPr>
        <w:t>ment</w:t>
      </w:r>
      <w:r w:rsidR="005C7389" w:rsidRPr="00625C8B">
        <w:rPr>
          <w:spacing w:val="-2"/>
          <w:lang w:val="fr-FR"/>
        </w:rPr>
        <w:t xml:space="preserve"> des  capacités des institutions publiques en charge de la jeunesse et de la formation professionnelle </w:t>
      </w:r>
    </w:p>
    <w:p w:rsidR="005C7389" w:rsidRPr="00625C8B" w:rsidRDefault="002C2334" w:rsidP="005C7389">
      <w:pPr>
        <w:pStyle w:val="ListParagraph"/>
        <w:widowControl w:val="0"/>
        <w:numPr>
          <w:ilvl w:val="0"/>
          <w:numId w:val="9"/>
        </w:numPr>
        <w:tabs>
          <w:tab w:val="left" w:pos="-720"/>
          <w:tab w:val="left" w:pos="4500"/>
        </w:tabs>
        <w:suppressAutoHyphens/>
        <w:rPr>
          <w:spacing w:val="-2"/>
          <w:lang w:val="fr-FR"/>
        </w:rPr>
      </w:pPr>
      <w:r>
        <w:rPr>
          <w:spacing w:val="-2"/>
          <w:lang w:val="fr-FR"/>
        </w:rPr>
        <w:t>Appuyer dans le r</w:t>
      </w:r>
      <w:r w:rsidR="005C7389" w:rsidRPr="00625C8B">
        <w:rPr>
          <w:spacing w:val="-2"/>
          <w:lang w:val="fr-FR"/>
        </w:rPr>
        <w:t>enforce des capacités des institutions de formation professionnelle.</w:t>
      </w:r>
    </w:p>
    <w:p w:rsidR="005C7389" w:rsidRPr="00625C8B" w:rsidRDefault="005C7389" w:rsidP="005C7389">
      <w:pPr>
        <w:pStyle w:val="ListParagraph"/>
        <w:widowControl w:val="0"/>
        <w:numPr>
          <w:ilvl w:val="0"/>
          <w:numId w:val="9"/>
        </w:numPr>
        <w:tabs>
          <w:tab w:val="left" w:pos="-720"/>
          <w:tab w:val="left" w:pos="4500"/>
        </w:tabs>
        <w:suppressAutoHyphens/>
        <w:rPr>
          <w:spacing w:val="-2"/>
          <w:lang w:val="fr-FR"/>
        </w:rPr>
      </w:pPr>
      <w:r w:rsidRPr="00625C8B">
        <w:rPr>
          <w:spacing w:val="-2"/>
          <w:lang w:val="fr-FR"/>
        </w:rPr>
        <w:t>Assurer l’information et sensibilisation des jeunes sur les métiers et les offr</w:t>
      </w:r>
      <w:r w:rsidR="00A24839">
        <w:rPr>
          <w:spacing w:val="-2"/>
          <w:lang w:val="fr-FR"/>
        </w:rPr>
        <w:t>es de formation professionnelle</w:t>
      </w:r>
    </w:p>
    <w:p w:rsidR="005C7389" w:rsidRPr="00625C8B" w:rsidRDefault="00A24839" w:rsidP="005C7389">
      <w:pPr>
        <w:pStyle w:val="ListParagraph"/>
        <w:widowControl w:val="0"/>
        <w:numPr>
          <w:ilvl w:val="0"/>
          <w:numId w:val="9"/>
        </w:numPr>
        <w:tabs>
          <w:tab w:val="left" w:pos="-720"/>
          <w:tab w:val="left" w:pos="4500"/>
        </w:tabs>
        <w:suppressAutoHyphens/>
        <w:rPr>
          <w:spacing w:val="-2"/>
          <w:lang w:val="fr-FR"/>
        </w:rPr>
      </w:pPr>
      <w:r>
        <w:rPr>
          <w:spacing w:val="-2"/>
          <w:lang w:val="fr-FR"/>
        </w:rPr>
        <w:t>Assurer la f</w:t>
      </w:r>
      <w:r w:rsidR="005C7389" w:rsidRPr="00625C8B">
        <w:rPr>
          <w:spacing w:val="-2"/>
          <w:lang w:val="fr-FR"/>
        </w:rPr>
        <w:t xml:space="preserve">ormation professionnelle des jeunes assurés dans les domaines prioritaires. </w:t>
      </w:r>
    </w:p>
    <w:p w:rsidR="005C7389" w:rsidRPr="00625C8B" w:rsidRDefault="00052003" w:rsidP="005C7389">
      <w:pPr>
        <w:pStyle w:val="ListParagraph"/>
        <w:widowControl w:val="0"/>
        <w:numPr>
          <w:ilvl w:val="0"/>
          <w:numId w:val="9"/>
        </w:numPr>
        <w:tabs>
          <w:tab w:val="left" w:pos="-720"/>
          <w:tab w:val="left" w:pos="4500"/>
        </w:tabs>
        <w:suppressAutoHyphens/>
        <w:rPr>
          <w:spacing w:val="-2"/>
          <w:lang w:val="fr-FR"/>
        </w:rPr>
      </w:pPr>
      <w:r>
        <w:rPr>
          <w:spacing w:val="-2"/>
          <w:lang w:val="fr-FR"/>
        </w:rPr>
        <w:t>Appuyer</w:t>
      </w:r>
      <w:r w:rsidR="005C7389" w:rsidRPr="00625C8B">
        <w:rPr>
          <w:spacing w:val="-2"/>
          <w:lang w:val="fr-FR"/>
        </w:rPr>
        <w:t xml:space="preserve"> </w:t>
      </w:r>
      <w:r>
        <w:rPr>
          <w:spacing w:val="-2"/>
          <w:lang w:val="fr-FR"/>
        </w:rPr>
        <w:t>les</w:t>
      </w:r>
      <w:r w:rsidR="005C7389" w:rsidRPr="00625C8B">
        <w:rPr>
          <w:spacing w:val="-2"/>
          <w:lang w:val="fr-FR"/>
        </w:rPr>
        <w:t xml:space="preserve"> jeunes candidat(e)s à la formulation et au développement de projets et activités génératrices de revenus à travers le </w:t>
      </w:r>
      <w:r w:rsidR="00DB78C8" w:rsidRPr="00625C8B">
        <w:rPr>
          <w:spacing w:val="-2"/>
          <w:lang w:val="fr-FR"/>
        </w:rPr>
        <w:t>microcrédit</w:t>
      </w:r>
      <w:r w:rsidR="005C7389" w:rsidRPr="00625C8B">
        <w:rPr>
          <w:spacing w:val="-2"/>
          <w:lang w:val="fr-FR"/>
        </w:rPr>
        <w:t>.</w:t>
      </w:r>
    </w:p>
    <w:p w:rsidR="005C7389" w:rsidRPr="00625C8B" w:rsidRDefault="005C7389" w:rsidP="005C7389">
      <w:pPr>
        <w:rPr>
          <w:lang w:val="fr-FR"/>
        </w:rPr>
      </w:pPr>
    </w:p>
    <w:p w:rsidR="00E22C84" w:rsidRDefault="00E22C84" w:rsidP="00E22C84">
      <w:pPr>
        <w:jc w:val="both"/>
        <w:rPr>
          <w:b/>
          <w:lang w:val="fr-FR"/>
        </w:rPr>
      </w:pPr>
      <w:r w:rsidRPr="00A26BB8">
        <w:rPr>
          <w:b/>
          <w:lang w:val="fr-FR"/>
        </w:rPr>
        <w:t xml:space="preserve">1.2. </w:t>
      </w:r>
      <w:r>
        <w:rPr>
          <w:b/>
          <w:lang w:val="fr-FR"/>
        </w:rPr>
        <w:t>Analyse stratégique de l’Organisation des Nations Unies</w:t>
      </w:r>
    </w:p>
    <w:p w:rsidR="00E22C84" w:rsidRDefault="00E22C84" w:rsidP="00E22C84">
      <w:pPr>
        <w:jc w:val="both"/>
        <w:rPr>
          <w:lang w:val="fr-FR"/>
        </w:rPr>
      </w:pPr>
    </w:p>
    <w:p w:rsidR="00E22C84" w:rsidRDefault="00E22C84" w:rsidP="00E22C84">
      <w:pPr>
        <w:jc w:val="both"/>
        <w:rPr>
          <w:lang w:val="fr-FR"/>
        </w:rPr>
      </w:pPr>
      <w:r>
        <w:rPr>
          <w:lang w:val="fr-FR"/>
        </w:rPr>
        <w:t xml:space="preserve">Les orientations du Plan Stratégique du Programme des Nations Unies (PNUD) vont à l’encontre des objectifs fixés par le projet. </w:t>
      </w:r>
      <w:r w:rsidR="001F1490">
        <w:rPr>
          <w:lang w:val="fr-FR"/>
        </w:rPr>
        <w:t>L</w:t>
      </w:r>
      <w:r>
        <w:rPr>
          <w:lang w:val="fr-FR"/>
        </w:rPr>
        <w:t xml:space="preserve">es partenaires </w:t>
      </w:r>
      <w:r w:rsidR="001F1490">
        <w:rPr>
          <w:lang w:val="fr-FR"/>
        </w:rPr>
        <w:t xml:space="preserve">nationaux du </w:t>
      </w:r>
      <w:r>
        <w:rPr>
          <w:lang w:val="fr-FR"/>
        </w:rPr>
        <w:t>projet participent dans la mise en œuvre des activités du projet : i) planification des activités trimestriel</w:t>
      </w:r>
      <w:r w:rsidR="001F1490">
        <w:rPr>
          <w:lang w:val="fr-FR"/>
        </w:rPr>
        <w:t>le</w:t>
      </w:r>
      <w:r>
        <w:rPr>
          <w:lang w:val="fr-FR"/>
        </w:rPr>
        <w:t xml:space="preserve"> et annuel</w:t>
      </w:r>
      <w:r w:rsidR="001F1490">
        <w:rPr>
          <w:lang w:val="fr-FR"/>
        </w:rPr>
        <w:t>le</w:t>
      </w:r>
      <w:r>
        <w:rPr>
          <w:lang w:val="fr-FR"/>
        </w:rPr>
        <w:t xml:space="preserve">; ii) visites de terrain conjointes ; </w:t>
      </w:r>
      <w:r w:rsidR="001F1490">
        <w:rPr>
          <w:lang w:val="fr-FR"/>
        </w:rPr>
        <w:t xml:space="preserve">iii) </w:t>
      </w:r>
      <w:r>
        <w:rPr>
          <w:lang w:val="fr-FR"/>
        </w:rPr>
        <w:t xml:space="preserve"> rencontres de discussions sur le fonctionnement e</w:t>
      </w:r>
      <w:r w:rsidR="001F1490">
        <w:rPr>
          <w:lang w:val="fr-FR"/>
        </w:rPr>
        <w:t>t le déroulement des activités, avec comme</w:t>
      </w:r>
      <w:r>
        <w:rPr>
          <w:lang w:val="fr-FR"/>
        </w:rPr>
        <w:t xml:space="preserve"> objectif de garantir l’appropriation et les objectifs nationaux de développement pour accélérer les progrès du développement humain, conformément à la première orientation du Plan stratégique du PNUD. </w:t>
      </w:r>
    </w:p>
    <w:p w:rsidR="00E22C84" w:rsidRDefault="00E22C84" w:rsidP="00E22C84">
      <w:pPr>
        <w:jc w:val="both"/>
        <w:rPr>
          <w:lang w:val="fr-FR"/>
        </w:rPr>
      </w:pPr>
    </w:p>
    <w:p w:rsidR="00E22C84" w:rsidRDefault="00E22C84" w:rsidP="00E22C84">
      <w:pPr>
        <w:shd w:val="clear" w:color="auto" w:fill="FFFFFF"/>
        <w:spacing w:line="288" w:lineRule="atLeast"/>
        <w:jc w:val="both"/>
        <w:rPr>
          <w:lang w:val="fr-FR"/>
        </w:rPr>
      </w:pPr>
      <w:r>
        <w:rPr>
          <w:lang w:val="fr-FR"/>
        </w:rPr>
        <w:t xml:space="preserve">Les jeunes, déjà largement affectés par la pauvreté </w:t>
      </w:r>
      <w:r>
        <w:rPr>
          <w:iCs/>
          <w:kern w:val="40"/>
          <w:lang w:val="fr-FR"/>
        </w:rPr>
        <w:t>(80% des pauvres ont entre 15 et 35 ans)</w:t>
      </w:r>
      <w:r w:rsidR="00E956D7">
        <w:rPr>
          <w:lang w:val="fr-FR"/>
        </w:rPr>
        <w:t xml:space="preserve">, ont </w:t>
      </w:r>
      <w:r>
        <w:rPr>
          <w:lang w:val="fr-FR"/>
        </w:rPr>
        <w:t xml:space="preserve">souvent été le vivier des luttes politico-militaires dans le pays et </w:t>
      </w:r>
      <w:r w:rsidR="00E956D7">
        <w:rPr>
          <w:lang w:val="fr-FR"/>
        </w:rPr>
        <w:t xml:space="preserve">dans </w:t>
      </w:r>
      <w:r>
        <w:rPr>
          <w:lang w:val="fr-FR"/>
        </w:rPr>
        <w:t xml:space="preserve">la sous région. Raison pour laquelle l’accent doit être mis sur la protection des jeunes pris dans l’engrenage pour ne pas sombrer dans l’alcoolisme, la toxicomanie, la criminalité et la violence. Une assistance spécifiquement orientée vers la satisfaction des besoins fondamentaux de l’être </w:t>
      </w:r>
      <w:r w:rsidR="00E956D7">
        <w:rPr>
          <w:lang w:val="fr-FR"/>
        </w:rPr>
        <w:t xml:space="preserve">humain </w:t>
      </w:r>
      <w:r>
        <w:rPr>
          <w:lang w:val="fr-FR"/>
        </w:rPr>
        <w:t xml:space="preserve">est indispensable pour maintenir sa stabilité. </w:t>
      </w:r>
    </w:p>
    <w:p w:rsidR="00E22C84" w:rsidRDefault="00E22C84" w:rsidP="00E22C84">
      <w:pPr>
        <w:shd w:val="clear" w:color="auto" w:fill="FFFFFF"/>
        <w:spacing w:line="288" w:lineRule="atLeast"/>
        <w:jc w:val="both"/>
        <w:rPr>
          <w:lang w:val="fr-FR"/>
        </w:rPr>
      </w:pPr>
    </w:p>
    <w:p w:rsidR="00E22C84" w:rsidRDefault="00E22C84" w:rsidP="00E22C84">
      <w:pPr>
        <w:shd w:val="clear" w:color="auto" w:fill="FFFFFF"/>
        <w:spacing w:line="288" w:lineRule="atLeast"/>
        <w:jc w:val="both"/>
        <w:rPr>
          <w:lang w:val="fr-FR"/>
        </w:rPr>
      </w:pPr>
      <w:r>
        <w:rPr>
          <w:lang w:val="fr-FR"/>
        </w:rPr>
        <w:t xml:space="preserve">L’absence de perspective d’emplois salariés tout comme la faiblesse des revenus qui touchent les travailleurs agricoles dans les zones rurales incitent les jeunes à l’exode rural et à l’immigration clandestine et limitent leur participation au développement économique et social de leur communauté. </w:t>
      </w:r>
    </w:p>
    <w:p w:rsidR="00E22C84" w:rsidRDefault="00E22C84" w:rsidP="00E22C84">
      <w:pPr>
        <w:shd w:val="clear" w:color="auto" w:fill="FFFFFF"/>
        <w:spacing w:line="288" w:lineRule="atLeast"/>
        <w:jc w:val="both"/>
        <w:rPr>
          <w:lang w:val="fr-FR"/>
        </w:rPr>
      </w:pPr>
    </w:p>
    <w:p w:rsidR="00E22C84" w:rsidRDefault="00E22C84" w:rsidP="00E22C84">
      <w:pPr>
        <w:shd w:val="clear" w:color="auto" w:fill="FFFFFF"/>
        <w:spacing w:line="288" w:lineRule="atLeast"/>
        <w:jc w:val="both"/>
        <w:rPr>
          <w:lang w:val="fr-FR" w:eastAsia="fr-FR"/>
        </w:rPr>
      </w:pPr>
      <w:r>
        <w:rPr>
          <w:lang w:val="fr-FR"/>
        </w:rPr>
        <w:t xml:space="preserve">Les jeunes dans les centres urbains, même lorsqu’ils ont été formés, ne trouvent pas non plus d’opportunités d’emploi et de travail décent. Le projet a pris en compte ces aspects dans la sélection des jeunes et a aussi respecté le principe de l’égalité des sexes, afin de promouvoir l’autonomisation des femmes.   </w:t>
      </w:r>
    </w:p>
    <w:p w:rsidR="00E22C84" w:rsidRDefault="00E22C84" w:rsidP="00E22C84">
      <w:pPr>
        <w:jc w:val="both"/>
        <w:rPr>
          <w:lang w:val="fr-FR"/>
        </w:rPr>
      </w:pPr>
    </w:p>
    <w:p w:rsidR="00E22C84" w:rsidRDefault="00E22C84" w:rsidP="00E22C84">
      <w:pPr>
        <w:jc w:val="both"/>
        <w:rPr>
          <w:lang w:val="fr-FR"/>
        </w:rPr>
      </w:pPr>
      <w:r>
        <w:rPr>
          <w:lang w:val="fr-FR"/>
        </w:rPr>
        <w:lastRenderedPageBreak/>
        <w:t xml:space="preserve">La promotion de l’emploi productif et du travail décent des jeunes femmes et hommes dans les zones rurales et urbaines constitue un défi majeur pour la Guinée-Bissau en vue de la réduction de la pauvreté, l’atteinte des OMD et la consolidation de la paix. </w:t>
      </w:r>
    </w:p>
    <w:p w:rsidR="00E22C84" w:rsidRDefault="00E22C84" w:rsidP="00E22C84">
      <w:pPr>
        <w:jc w:val="both"/>
        <w:rPr>
          <w:lang w:val="fr-FR"/>
        </w:rPr>
      </w:pPr>
    </w:p>
    <w:p w:rsidR="00E22C84" w:rsidRDefault="00E22C84" w:rsidP="00E22C84">
      <w:pPr>
        <w:jc w:val="both"/>
        <w:rPr>
          <w:lang w:val="fr-FR"/>
        </w:rPr>
      </w:pPr>
      <w:r>
        <w:rPr>
          <w:lang w:val="fr-FR"/>
        </w:rPr>
        <w:t>La Guinée-Bissau dans son document de stratégie nationale de réduction de la pauvreté (DENARP) met précisément l’accent sur la promotion de la croissance et de la création d’emplois pour les jeunes met précisément l’accent sur la promotion de la croissance et de la création d’emplois.</w:t>
      </w:r>
    </w:p>
    <w:p w:rsidR="00E22C84" w:rsidRDefault="00E22C84" w:rsidP="00E22C84">
      <w:pPr>
        <w:jc w:val="both"/>
        <w:rPr>
          <w:lang w:val="fr-FR"/>
        </w:rPr>
      </w:pPr>
    </w:p>
    <w:p w:rsidR="00E22C84" w:rsidRDefault="00E22C84" w:rsidP="00E22C84">
      <w:pPr>
        <w:jc w:val="both"/>
        <w:rPr>
          <w:lang w:val="fr-FR"/>
        </w:rPr>
      </w:pPr>
      <w:r>
        <w:rPr>
          <w:lang w:val="fr-FR"/>
        </w:rPr>
        <w:t xml:space="preserve">Le projet s’inscrit dans une perspective de mise en œuvre de courte durée (quick impact) qui, par la force des choses, se doit </w:t>
      </w:r>
      <w:r w:rsidR="00E956D7">
        <w:rPr>
          <w:lang w:val="fr-FR"/>
        </w:rPr>
        <w:t xml:space="preserve">d’être </w:t>
      </w:r>
      <w:r>
        <w:rPr>
          <w:lang w:val="fr-FR"/>
        </w:rPr>
        <w:t>efficace et exemplaire. C’est dans ce sens qu’en termes de stratégie</w:t>
      </w:r>
      <w:r w:rsidR="00E956D7">
        <w:rPr>
          <w:lang w:val="fr-FR"/>
        </w:rPr>
        <w:t>,</w:t>
      </w:r>
      <w:r>
        <w:rPr>
          <w:lang w:val="fr-FR"/>
        </w:rPr>
        <w:t xml:space="preserve"> le projet est sorti des schémas classiques pour opter à des approches novatrices et pragmatiques.</w:t>
      </w:r>
    </w:p>
    <w:p w:rsidR="00E22C84" w:rsidRPr="00625C8B" w:rsidRDefault="00E22C84" w:rsidP="005C7389">
      <w:pPr>
        <w:rPr>
          <w:lang w:val="fr-FR"/>
        </w:rPr>
      </w:pPr>
    </w:p>
    <w:p w:rsidR="00D53E69" w:rsidRPr="004573B2" w:rsidRDefault="00D53E69" w:rsidP="00E22C84">
      <w:pPr>
        <w:pStyle w:val="ListParagraph"/>
        <w:numPr>
          <w:ilvl w:val="1"/>
          <w:numId w:val="14"/>
        </w:numPr>
        <w:rPr>
          <w:b/>
          <w:lang w:val="fr-FR"/>
        </w:rPr>
      </w:pPr>
      <w:r w:rsidRPr="004573B2">
        <w:rPr>
          <w:b/>
          <w:lang w:val="fr-FR"/>
        </w:rPr>
        <w:t>Les principaux partenaires d’</w:t>
      </w:r>
      <w:r w:rsidR="00A80FF3" w:rsidRPr="004573B2">
        <w:rPr>
          <w:b/>
          <w:lang w:val="fr-FR"/>
        </w:rPr>
        <w:t>exé</w:t>
      </w:r>
      <w:r w:rsidRPr="004573B2">
        <w:rPr>
          <w:b/>
          <w:lang w:val="fr-FR"/>
        </w:rPr>
        <w:t>cution</w:t>
      </w:r>
    </w:p>
    <w:p w:rsidR="00D53E69" w:rsidRPr="00625C8B" w:rsidRDefault="00D53E69" w:rsidP="005C7389">
      <w:pPr>
        <w:rPr>
          <w:b/>
          <w:lang w:val="fr-FR"/>
        </w:rPr>
      </w:pPr>
    </w:p>
    <w:p w:rsidR="005C7389" w:rsidRPr="00625C8B" w:rsidRDefault="00D53E69" w:rsidP="00A80FF3">
      <w:pPr>
        <w:jc w:val="both"/>
        <w:rPr>
          <w:b/>
          <w:lang w:val="fr-FR"/>
        </w:rPr>
      </w:pPr>
      <w:r w:rsidRPr="00625C8B">
        <w:rPr>
          <w:lang w:val="fr-FR"/>
        </w:rPr>
        <w:t>Les activités devant permettre la réalisation des résultats envis</w:t>
      </w:r>
      <w:r w:rsidR="00DC20EB">
        <w:rPr>
          <w:lang w:val="fr-FR"/>
        </w:rPr>
        <w:t>agés dans le cadre du projet s</w:t>
      </w:r>
      <w:r w:rsidRPr="00625C8B">
        <w:rPr>
          <w:lang w:val="fr-FR"/>
        </w:rPr>
        <w:t xml:space="preserve">ont exécutées </w:t>
      </w:r>
      <w:r w:rsidR="008F41A0">
        <w:rPr>
          <w:lang w:val="fr-FR"/>
        </w:rPr>
        <w:t xml:space="preserve">par le PNUD </w:t>
      </w:r>
      <w:r w:rsidRPr="00625C8B">
        <w:rPr>
          <w:lang w:val="fr-FR"/>
        </w:rPr>
        <w:t xml:space="preserve">avec la participation </w:t>
      </w:r>
      <w:r w:rsidR="00DC20EB">
        <w:rPr>
          <w:lang w:val="fr-FR"/>
        </w:rPr>
        <w:t xml:space="preserve">de </w:t>
      </w:r>
      <w:r w:rsidRPr="00625C8B">
        <w:rPr>
          <w:lang w:val="fr-FR"/>
        </w:rPr>
        <w:t xml:space="preserve">l’Institut National de la Jeunesse et l’Institut </w:t>
      </w:r>
      <w:r w:rsidR="008F41A0">
        <w:rPr>
          <w:lang w:val="fr-FR"/>
        </w:rPr>
        <w:t xml:space="preserve">de la Formation Professionnelle. </w:t>
      </w:r>
      <w:r w:rsidRPr="00625C8B">
        <w:rPr>
          <w:lang w:val="fr-FR"/>
        </w:rPr>
        <w:t xml:space="preserve"> </w:t>
      </w:r>
    </w:p>
    <w:p w:rsidR="005C7389" w:rsidRPr="00625C8B" w:rsidRDefault="005C7389" w:rsidP="005C7389">
      <w:pPr>
        <w:rPr>
          <w:b/>
          <w:lang w:val="fr-FR"/>
        </w:rPr>
      </w:pPr>
    </w:p>
    <w:p w:rsidR="000F3B54" w:rsidRPr="00625C8B" w:rsidRDefault="000F3B54" w:rsidP="000F3B54">
      <w:pPr>
        <w:jc w:val="both"/>
        <w:rPr>
          <w:lang w:val="fr-FR"/>
        </w:rPr>
      </w:pPr>
      <w:r w:rsidRPr="00625C8B">
        <w:rPr>
          <w:lang w:val="fr-FR"/>
        </w:rPr>
        <w:t>Ces partenaire</w:t>
      </w:r>
      <w:r w:rsidR="00A80FF3" w:rsidRPr="00625C8B">
        <w:rPr>
          <w:lang w:val="fr-FR"/>
        </w:rPr>
        <w:t>s</w:t>
      </w:r>
      <w:r w:rsidR="00DC20EB">
        <w:rPr>
          <w:lang w:val="fr-FR"/>
        </w:rPr>
        <w:t xml:space="preserve"> de réalisation </w:t>
      </w:r>
      <w:r w:rsidR="00DC20EB" w:rsidRPr="00625C8B">
        <w:rPr>
          <w:lang w:val="fr-FR"/>
        </w:rPr>
        <w:t>assure</w:t>
      </w:r>
      <w:r w:rsidR="00DC20EB">
        <w:rPr>
          <w:lang w:val="fr-FR"/>
        </w:rPr>
        <w:t>nt</w:t>
      </w:r>
      <w:r w:rsidRPr="00625C8B">
        <w:rPr>
          <w:lang w:val="fr-FR"/>
        </w:rPr>
        <w:t xml:space="preserve"> la mise en œuvre des activités définies. </w:t>
      </w:r>
      <w:r w:rsidR="00DC20EB">
        <w:rPr>
          <w:lang w:val="fr-FR"/>
        </w:rPr>
        <w:t>Ils veillent</w:t>
      </w:r>
      <w:r w:rsidR="00A80FF3" w:rsidRPr="00625C8B">
        <w:rPr>
          <w:lang w:val="fr-FR"/>
        </w:rPr>
        <w:t xml:space="preserve"> </w:t>
      </w:r>
      <w:r w:rsidRPr="00625C8B">
        <w:rPr>
          <w:lang w:val="fr-FR"/>
        </w:rPr>
        <w:t xml:space="preserve">aussi à ce que les procédures de passation des marchés, de gestion budgétaire et de programmation soient </w:t>
      </w:r>
      <w:r w:rsidR="00DC20EB">
        <w:rPr>
          <w:lang w:val="fr-FR"/>
        </w:rPr>
        <w:t xml:space="preserve">respectées et </w:t>
      </w:r>
      <w:r w:rsidRPr="00625C8B">
        <w:rPr>
          <w:lang w:val="fr-FR"/>
        </w:rPr>
        <w:t xml:space="preserve">assimilées </w:t>
      </w:r>
      <w:r w:rsidR="00DC20EB">
        <w:rPr>
          <w:lang w:val="fr-FR"/>
        </w:rPr>
        <w:t xml:space="preserve">garantir </w:t>
      </w:r>
      <w:r w:rsidR="00DC20EB" w:rsidRPr="00625C8B">
        <w:rPr>
          <w:lang w:val="fr-FR"/>
        </w:rPr>
        <w:t xml:space="preserve">progressivement et pleinement </w:t>
      </w:r>
      <w:r w:rsidRPr="00625C8B">
        <w:rPr>
          <w:lang w:val="fr-FR"/>
        </w:rPr>
        <w:t xml:space="preserve">pour que l’appropriation nationale soit </w:t>
      </w:r>
      <w:r w:rsidR="00E65F82" w:rsidRPr="00625C8B">
        <w:rPr>
          <w:lang w:val="fr-FR"/>
        </w:rPr>
        <w:t>assurée</w:t>
      </w:r>
      <w:r w:rsidRPr="00625C8B">
        <w:rPr>
          <w:lang w:val="fr-FR"/>
        </w:rPr>
        <w:t xml:space="preserve">. </w:t>
      </w:r>
    </w:p>
    <w:p w:rsidR="006E0A18" w:rsidRPr="00625C8B" w:rsidRDefault="006E0A18">
      <w:pPr>
        <w:rPr>
          <w:lang w:val="fr-FR"/>
        </w:rPr>
      </w:pPr>
    </w:p>
    <w:p w:rsidR="00A80FF3" w:rsidRPr="00625C8B" w:rsidRDefault="00A80FF3">
      <w:pPr>
        <w:rPr>
          <w:lang w:val="fr-FR"/>
        </w:rPr>
      </w:pPr>
    </w:p>
    <w:p w:rsidR="00A80FF3" w:rsidRPr="009D5B6A" w:rsidRDefault="00A80FF3" w:rsidP="00A80FF3">
      <w:pPr>
        <w:pStyle w:val="ListParagraph"/>
        <w:numPr>
          <w:ilvl w:val="0"/>
          <w:numId w:val="8"/>
        </w:numPr>
        <w:rPr>
          <w:b/>
          <w:sz w:val="28"/>
          <w:szCs w:val="28"/>
          <w:lang w:val="fr-FR"/>
        </w:rPr>
      </w:pPr>
      <w:r w:rsidRPr="009D5B6A">
        <w:rPr>
          <w:b/>
          <w:sz w:val="28"/>
          <w:szCs w:val="28"/>
          <w:lang w:val="fr-FR"/>
        </w:rPr>
        <w:t xml:space="preserve">Ressources </w:t>
      </w:r>
    </w:p>
    <w:p w:rsidR="00A80FF3" w:rsidRPr="00625C8B" w:rsidRDefault="00A80FF3" w:rsidP="00A80FF3">
      <w:pPr>
        <w:rPr>
          <w:lang w:val="fr-FR"/>
        </w:rPr>
      </w:pPr>
    </w:p>
    <w:p w:rsidR="00A80FF3" w:rsidRPr="00625C8B" w:rsidRDefault="004573B2" w:rsidP="00A80FF3">
      <w:pPr>
        <w:rPr>
          <w:b/>
          <w:lang w:val="fr-FR"/>
        </w:rPr>
      </w:pPr>
      <w:r>
        <w:rPr>
          <w:b/>
          <w:lang w:val="fr-FR"/>
        </w:rPr>
        <w:t xml:space="preserve">2.1. </w:t>
      </w:r>
      <w:r w:rsidR="00A80FF3" w:rsidRPr="00625C8B">
        <w:rPr>
          <w:b/>
          <w:lang w:val="fr-FR"/>
        </w:rPr>
        <w:t>Ressources financière</w:t>
      </w:r>
      <w:r w:rsidR="00366B67">
        <w:rPr>
          <w:b/>
          <w:lang w:val="fr-FR"/>
        </w:rPr>
        <w:t>s</w:t>
      </w:r>
      <w:r w:rsidR="00A80FF3" w:rsidRPr="00625C8B">
        <w:rPr>
          <w:b/>
          <w:lang w:val="fr-FR"/>
        </w:rPr>
        <w:t xml:space="preserve"> </w:t>
      </w:r>
    </w:p>
    <w:p w:rsidR="00A80FF3" w:rsidRDefault="00A80FF3" w:rsidP="00A80FF3">
      <w:pPr>
        <w:rPr>
          <w:b/>
          <w:lang w:val="fr-FR"/>
        </w:rPr>
      </w:pPr>
    </w:p>
    <w:p w:rsidR="00442E7E" w:rsidRPr="00442E7E" w:rsidRDefault="00776D97" w:rsidP="00776D97">
      <w:pPr>
        <w:jc w:val="both"/>
        <w:rPr>
          <w:lang w:val="fr-FR"/>
        </w:rPr>
      </w:pPr>
      <w:r>
        <w:rPr>
          <w:lang w:val="fr-FR"/>
        </w:rPr>
        <w:t>La Guinée-Bissau a inscrit dans son document des priorités nationales la formation professionnelle et la création d´emplois pour les jeunes comme l´une des priorités majeures pour la consolidation de la paix dans ce pays. C´est dans ce cadre que c</w:t>
      </w:r>
      <w:r w:rsidR="00442E7E" w:rsidRPr="00442E7E">
        <w:rPr>
          <w:lang w:val="fr-FR"/>
        </w:rPr>
        <w:t xml:space="preserve">e projet </w:t>
      </w:r>
      <w:r>
        <w:rPr>
          <w:lang w:val="fr-FR"/>
        </w:rPr>
        <w:t xml:space="preserve">a été </w:t>
      </w:r>
      <w:r w:rsidR="00442E7E" w:rsidRPr="00442E7E">
        <w:rPr>
          <w:lang w:val="fr-FR"/>
        </w:rPr>
        <w:t xml:space="preserve"> financé par le PBF – Peace Building Fond</w:t>
      </w:r>
      <w:r>
        <w:rPr>
          <w:lang w:val="fr-FR"/>
        </w:rPr>
        <w:t xml:space="preserve"> pour un montant de 1.500.00</w:t>
      </w:r>
      <w:r w:rsidR="00442E7E">
        <w:rPr>
          <w:lang w:val="fr-FR"/>
        </w:rPr>
        <w:t xml:space="preserve"> </w:t>
      </w:r>
      <w:r>
        <w:rPr>
          <w:lang w:val="fr-FR"/>
        </w:rPr>
        <w:t>USD. Ce fond</w:t>
      </w:r>
      <w:r w:rsidR="00791789">
        <w:rPr>
          <w:lang w:val="fr-FR"/>
        </w:rPr>
        <w:t>s</w:t>
      </w:r>
      <w:r>
        <w:rPr>
          <w:lang w:val="fr-FR"/>
        </w:rPr>
        <w:t xml:space="preserve"> est destiné au développement des capacités des institutions publiques en charge de la formation professionnelle ; de l’information et de la sensibilisation des jeunes sur les métiers et les offres de formation professionnelle ; de formation professionnelle des jeunes dans des domaines prioritaires ; de l’appui aux jeunes candidats à la formulation et au développement de projets et activités génératrices de revenus.</w:t>
      </w:r>
    </w:p>
    <w:p w:rsidR="00776D97" w:rsidRDefault="00776D97" w:rsidP="003D15A3">
      <w:pPr>
        <w:jc w:val="both"/>
        <w:rPr>
          <w:lang w:val="fr-FR"/>
        </w:rPr>
      </w:pPr>
    </w:p>
    <w:p w:rsidR="00E65F82" w:rsidRPr="00625C8B" w:rsidRDefault="00E65F82" w:rsidP="003D15A3">
      <w:pPr>
        <w:jc w:val="both"/>
        <w:rPr>
          <w:lang w:val="fr-FR"/>
        </w:rPr>
      </w:pPr>
      <w:r w:rsidRPr="00625C8B">
        <w:rPr>
          <w:lang w:val="fr-FR"/>
        </w:rPr>
        <w:t xml:space="preserve">Le gouvernement du Japon a mis à la disposition des  fonds supplémentaires d’un montant de </w:t>
      </w:r>
    </w:p>
    <w:p w:rsidR="00D14CD3" w:rsidRDefault="00E65F82" w:rsidP="003D15A3">
      <w:pPr>
        <w:jc w:val="both"/>
        <w:rPr>
          <w:lang w:val="fr-FR"/>
        </w:rPr>
      </w:pPr>
      <w:r w:rsidRPr="00625C8B">
        <w:rPr>
          <w:lang w:val="fr-FR"/>
        </w:rPr>
        <w:t xml:space="preserve">$ 300 000 afin de renforcer les capacités </w:t>
      </w:r>
      <w:r w:rsidR="00A80FF3" w:rsidRPr="00625C8B">
        <w:rPr>
          <w:lang w:val="fr-FR"/>
        </w:rPr>
        <w:t xml:space="preserve"> </w:t>
      </w:r>
      <w:r w:rsidRPr="00625C8B">
        <w:rPr>
          <w:lang w:val="fr-FR"/>
        </w:rPr>
        <w:t>du Centre de formation industriel</w:t>
      </w:r>
      <w:r w:rsidR="00E956D7">
        <w:rPr>
          <w:lang w:val="fr-FR"/>
        </w:rPr>
        <w:t>le</w:t>
      </w:r>
      <w:r w:rsidRPr="00625C8B">
        <w:rPr>
          <w:lang w:val="fr-FR"/>
        </w:rPr>
        <w:t xml:space="preserve"> </w:t>
      </w:r>
      <w:r w:rsidR="0051570F" w:rsidRPr="00625C8B">
        <w:rPr>
          <w:lang w:val="fr-FR"/>
        </w:rPr>
        <w:t xml:space="preserve">(CENFI) </w:t>
      </w:r>
      <w:r w:rsidRPr="00625C8B">
        <w:rPr>
          <w:lang w:val="fr-FR"/>
        </w:rPr>
        <w:t xml:space="preserve"> et ceci pour permettre l’insertion économique et social des jeunes et par conséquence contribuer pour un climat favorable à la consolidation de la paix. </w:t>
      </w:r>
      <w:r w:rsidR="0051570F" w:rsidRPr="00625C8B">
        <w:rPr>
          <w:lang w:val="fr-FR"/>
        </w:rPr>
        <w:t xml:space="preserve">Ce financement </w:t>
      </w:r>
      <w:r w:rsidRPr="00625C8B">
        <w:rPr>
          <w:lang w:val="fr-FR"/>
        </w:rPr>
        <w:t xml:space="preserve"> </w:t>
      </w:r>
      <w:r w:rsidR="00716ED1">
        <w:rPr>
          <w:lang w:val="fr-FR"/>
        </w:rPr>
        <w:t xml:space="preserve">devrait permettre la réhabilitation des infrastructures et l’acquisition des équipements pour le CENFI dans le but de procurer aux jeunes une formation technique et professionnelle efficace ; renforcer les capacités de formateurs et du CENFI, afin de diversifier et améliorer la qualité de la formation technique et professionnelle ; amplifier l’ouverture du CENFI au monde à travers le NTCI et </w:t>
      </w:r>
      <w:r w:rsidR="00716ED1">
        <w:rPr>
          <w:lang w:val="fr-FR"/>
        </w:rPr>
        <w:lastRenderedPageBreak/>
        <w:t>autres matériels éducationnels et former 100 jeunes en six domaines de formation administré</w:t>
      </w:r>
      <w:r w:rsidR="00825230">
        <w:rPr>
          <w:lang w:val="fr-FR"/>
        </w:rPr>
        <w:t>s</w:t>
      </w:r>
      <w:r w:rsidR="00716ED1">
        <w:rPr>
          <w:lang w:val="fr-FR"/>
        </w:rPr>
        <w:t xml:space="preserve"> par le CENFI. </w:t>
      </w:r>
    </w:p>
    <w:p w:rsidR="00B40AC5" w:rsidRPr="00716ED1" w:rsidRDefault="00237657" w:rsidP="00716ED1">
      <w:pPr>
        <w:jc w:val="both"/>
        <w:rPr>
          <w:rStyle w:val="longtext1"/>
          <w:sz w:val="24"/>
          <w:szCs w:val="24"/>
          <w:lang w:val="fr-FR"/>
        </w:rPr>
      </w:pPr>
      <w:r>
        <w:rPr>
          <w:lang w:val="fr-FR"/>
        </w:rPr>
        <w:t>Le 28 Juillet 2009, il a été approuvé un budget de 500.000 USD pour l´amélioration des infrastructures du Centre national de Formation Industrielle – CENFI. Ce financement est destiné</w:t>
      </w:r>
      <w:r w:rsidR="00D14CD3">
        <w:rPr>
          <w:lang w:val="fr-FR"/>
        </w:rPr>
        <w:t xml:space="preserve"> à</w:t>
      </w:r>
      <w:r w:rsidR="00716ED1">
        <w:rPr>
          <w:lang w:val="fr-FR"/>
        </w:rPr>
        <w:t> :</w:t>
      </w:r>
      <w:r w:rsidR="00D14CD3">
        <w:rPr>
          <w:lang w:val="fr-FR"/>
        </w:rPr>
        <w:t xml:space="preserve"> évaluer les infrastructures et les besoins financières pour la réhabilitation du CENFI ;</w:t>
      </w:r>
      <w:r>
        <w:rPr>
          <w:lang w:val="fr-FR"/>
        </w:rPr>
        <w:t xml:space="preserve"> la réhabilitation des installations du CENFI</w:t>
      </w:r>
      <w:r w:rsidR="00D14CD3">
        <w:rPr>
          <w:lang w:val="fr-FR"/>
        </w:rPr>
        <w:t xml:space="preserve"> ; faciliter l´accès aux crédits des jeunes bénéficiaires porteurs de projets et d’encadrement. </w:t>
      </w:r>
    </w:p>
    <w:p w:rsidR="0085327D" w:rsidRPr="00625C8B" w:rsidRDefault="0085327D" w:rsidP="00A80FF3">
      <w:pPr>
        <w:rPr>
          <w:lang w:val="fr-FR"/>
        </w:rPr>
      </w:pPr>
    </w:p>
    <w:p w:rsidR="003D15A3" w:rsidRDefault="004573B2" w:rsidP="003D15A3">
      <w:pPr>
        <w:rPr>
          <w:b/>
          <w:lang w:val="fr-FR"/>
        </w:rPr>
      </w:pPr>
      <w:r>
        <w:rPr>
          <w:b/>
          <w:lang w:val="fr-FR"/>
        </w:rPr>
        <w:t xml:space="preserve">2.2. </w:t>
      </w:r>
      <w:r w:rsidR="003D15A3" w:rsidRPr="00625C8B">
        <w:rPr>
          <w:b/>
          <w:lang w:val="fr-FR"/>
        </w:rPr>
        <w:t>Ressources humaine</w:t>
      </w:r>
      <w:r w:rsidR="00AE4786">
        <w:rPr>
          <w:b/>
          <w:lang w:val="fr-FR"/>
        </w:rPr>
        <w:t>s</w:t>
      </w:r>
      <w:r w:rsidR="003D15A3" w:rsidRPr="00625C8B">
        <w:rPr>
          <w:b/>
          <w:lang w:val="fr-FR"/>
        </w:rPr>
        <w:t xml:space="preserve"> </w:t>
      </w:r>
    </w:p>
    <w:p w:rsidR="00625C8B" w:rsidRPr="00625C8B" w:rsidRDefault="00625C8B" w:rsidP="003D15A3">
      <w:pPr>
        <w:rPr>
          <w:b/>
          <w:lang w:val="fr-FR"/>
        </w:rPr>
      </w:pPr>
    </w:p>
    <w:p w:rsidR="00625C8B" w:rsidRPr="00625C8B" w:rsidRDefault="00625C8B" w:rsidP="00ED6A03">
      <w:pPr>
        <w:jc w:val="both"/>
        <w:rPr>
          <w:lang w:val="fr-FR"/>
        </w:rPr>
      </w:pPr>
      <w:r w:rsidRPr="00625C8B">
        <w:rPr>
          <w:lang w:val="fr-FR"/>
        </w:rPr>
        <w:t>Le proje</w:t>
      </w:r>
      <w:r w:rsidR="00D77B46">
        <w:rPr>
          <w:lang w:val="fr-FR"/>
        </w:rPr>
        <w:t xml:space="preserve">t est </w:t>
      </w:r>
      <w:r w:rsidRPr="00625C8B">
        <w:rPr>
          <w:lang w:val="fr-FR"/>
        </w:rPr>
        <w:t xml:space="preserve">exécuté </w:t>
      </w:r>
      <w:r w:rsidR="00791789">
        <w:rPr>
          <w:lang w:val="fr-FR"/>
        </w:rPr>
        <w:t>par</w:t>
      </w:r>
      <w:r w:rsidR="004962EE">
        <w:rPr>
          <w:lang w:val="fr-FR"/>
        </w:rPr>
        <w:t xml:space="preserve"> le PNUD, </w:t>
      </w:r>
      <w:r w:rsidR="004F455E">
        <w:rPr>
          <w:lang w:val="fr-FR"/>
        </w:rPr>
        <w:t xml:space="preserve">appuyé par deux experts nationaux et </w:t>
      </w:r>
      <w:r w:rsidR="004962EE">
        <w:rPr>
          <w:lang w:val="fr-FR"/>
        </w:rPr>
        <w:t xml:space="preserve">en collaboration avec </w:t>
      </w:r>
      <w:r w:rsidR="004F455E">
        <w:rPr>
          <w:lang w:val="fr-FR"/>
        </w:rPr>
        <w:t>les partenaires</w:t>
      </w:r>
      <w:r w:rsidR="00AE4786">
        <w:rPr>
          <w:lang w:val="fr-FR"/>
        </w:rPr>
        <w:t xml:space="preserve">, notamment le </w:t>
      </w:r>
      <w:r w:rsidR="00C3181B">
        <w:rPr>
          <w:lang w:val="fr-FR"/>
        </w:rPr>
        <w:t>P</w:t>
      </w:r>
      <w:r w:rsidR="00AE4786">
        <w:rPr>
          <w:lang w:val="fr-FR"/>
        </w:rPr>
        <w:t xml:space="preserve">résident de l’Institut de la jeunesse et le </w:t>
      </w:r>
      <w:r w:rsidR="00C3181B">
        <w:rPr>
          <w:lang w:val="fr-FR"/>
        </w:rPr>
        <w:t>P</w:t>
      </w:r>
      <w:r w:rsidR="00AE4786">
        <w:rPr>
          <w:lang w:val="fr-FR"/>
        </w:rPr>
        <w:t>résident de l’</w:t>
      </w:r>
      <w:r w:rsidR="00C3181B">
        <w:rPr>
          <w:lang w:val="fr-FR"/>
        </w:rPr>
        <w:t>I</w:t>
      </w:r>
      <w:r w:rsidR="00AE4786">
        <w:rPr>
          <w:lang w:val="fr-FR"/>
        </w:rPr>
        <w:t>nstitut de formation technique et professionnel</w:t>
      </w:r>
      <w:r w:rsidR="00C3181B">
        <w:rPr>
          <w:lang w:val="fr-FR"/>
        </w:rPr>
        <w:t>le</w:t>
      </w:r>
      <w:r w:rsidR="00AE4786">
        <w:rPr>
          <w:lang w:val="fr-FR"/>
        </w:rPr>
        <w:t xml:space="preserve">. </w:t>
      </w:r>
    </w:p>
    <w:p w:rsidR="00625C8B" w:rsidRDefault="00625C8B" w:rsidP="00ED6A03">
      <w:pPr>
        <w:jc w:val="both"/>
        <w:rPr>
          <w:lang w:val="fr-FR"/>
        </w:rPr>
      </w:pPr>
    </w:p>
    <w:p w:rsidR="00625C8B" w:rsidRDefault="00625C8B" w:rsidP="00ED6A03">
      <w:pPr>
        <w:jc w:val="both"/>
        <w:rPr>
          <w:lang w:val="fr-FR"/>
        </w:rPr>
      </w:pPr>
      <w:r>
        <w:rPr>
          <w:lang w:val="fr-FR"/>
        </w:rPr>
        <w:t>Les achats de bien et services nécessaire</w:t>
      </w:r>
      <w:r w:rsidR="00791789">
        <w:rPr>
          <w:lang w:val="fr-FR"/>
        </w:rPr>
        <w:t>s</w:t>
      </w:r>
      <w:r>
        <w:rPr>
          <w:lang w:val="fr-FR"/>
        </w:rPr>
        <w:t xml:space="preserve"> à</w:t>
      </w:r>
      <w:r w:rsidR="00AE4786">
        <w:rPr>
          <w:lang w:val="fr-FR"/>
        </w:rPr>
        <w:t xml:space="preserve"> la réalisation du projet sont</w:t>
      </w:r>
      <w:r>
        <w:rPr>
          <w:lang w:val="fr-FR"/>
        </w:rPr>
        <w:t xml:space="preserve"> faits avec l’appui des </w:t>
      </w:r>
      <w:r w:rsidR="00AE4786">
        <w:rPr>
          <w:lang w:val="fr-FR"/>
        </w:rPr>
        <w:t>divisions des s</w:t>
      </w:r>
      <w:r>
        <w:rPr>
          <w:lang w:val="fr-FR"/>
        </w:rPr>
        <w:t xml:space="preserve">ervices </w:t>
      </w:r>
      <w:r w:rsidR="00AE4786">
        <w:rPr>
          <w:lang w:val="fr-FR"/>
        </w:rPr>
        <w:t>généraux</w:t>
      </w:r>
      <w:r w:rsidR="00791789">
        <w:rPr>
          <w:lang w:val="fr-FR"/>
        </w:rPr>
        <w:t xml:space="preserve"> et des finances à travers une Assistante au Programme</w:t>
      </w:r>
      <w:r w:rsidR="00477EDE">
        <w:rPr>
          <w:lang w:val="fr-FR"/>
        </w:rPr>
        <w:t>.</w:t>
      </w:r>
      <w:r w:rsidR="00AE4786">
        <w:rPr>
          <w:lang w:val="fr-FR"/>
        </w:rPr>
        <w:t xml:space="preserve"> </w:t>
      </w:r>
      <w:r w:rsidR="008468EE">
        <w:rPr>
          <w:lang w:val="fr-FR"/>
        </w:rPr>
        <w:t xml:space="preserve">Cet appui donne </w:t>
      </w:r>
      <w:r w:rsidRPr="00FF6C2D">
        <w:rPr>
          <w:lang w:val="fr-FR"/>
        </w:rPr>
        <w:t xml:space="preserve"> aussi </w:t>
      </w:r>
      <w:r w:rsidR="00AA6138">
        <w:rPr>
          <w:lang w:val="fr-FR"/>
        </w:rPr>
        <w:t>la garantie q</w:t>
      </w:r>
      <w:r w:rsidRPr="00FF6C2D">
        <w:rPr>
          <w:lang w:val="fr-FR"/>
        </w:rPr>
        <w:t>ue les procédures de passation des marchés, de gestion bu</w:t>
      </w:r>
      <w:r w:rsidR="00C723B9">
        <w:rPr>
          <w:lang w:val="fr-FR"/>
        </w:rPr>
        <w:t>dgétaire et de programmation so</w:t>
      </w:r>
      <w:r w:rsidRPr="00FF6C2D">
        <w:rPr>
          <w:lang w:val="fr-FR"/>
        </w:rPr>
        <w:t xml:space="preserve">ent </w:t>
      </w:r>
      <w:r w:rsidR="00477EDE">
        <w:rPr>
          <w:lang w:val="fr-FR"/>
        </w:rPr>
        <w:t xml:space="preserve">faites selon les procédures </w:t>
      </w:r>
      <w:r w:rsidR="00C723B9">
        <w:rPr>
          <w:lang w:val="fr-FR"/>
        </w:rPr>
        <w:t xml:space="preserve">du </w:t>
      </w:r>
      <w:r w:rsidR="00477EDE">
        <w:rPr>
          <w:lang w:val="fr-FR"/>
        </w:rPr>
        <w:t xml:space="preserve">PNUD. </w:t>
      </w:r>
    </w:p>
    <w:p w:rsidR="00625C8B" w:rsidRDefault="00625C8B" w:rsidP="00ED6A03">
      <w:pPr>
        <w:jc w:val="both"/>
        <w:rPr>
          <w:lang w:val="fr-FR"/>
        </w:rPr>
      </w:pPr>
    </w:p>
    <w:p w:rsidR="000C4A43" w:rsidRDefault="00E76FB4" w:rsidP="00ED6A03">
      <w:pPr>
        <w:jc w:val="both"/>
        <w:rPr>
          <w:lang w:val="fr-FR"/>
        </w:rPr>
      </w:pPr>
      <w:r>
        <w:rPr>
          <w:lang w:val="fr-FR"/>
        </w:rPr>
        <w:t>Jusqu’</w:t>
      </w:r>
      <w:r w:rsidR="00574221">
        <w:rPr>
          <w:lang w:val="fr-FR"/>
        </w:rPr>
        <w:t>à</w:t>
      </w:r>
      <w:r>
        <w:rPr>
          <w:lang w:val="fr-FR"/>
        </w:rPr>
        <w:t xml:space="preserve"> présent</w:t>
      </w:r>
      <w:r w:rsidR="00C3181B">
        <w:rPr>
          <w:lang w:val="fr-FR"/>
        </w:rPr>
        <w:t>,</w:t>
      </w:r>
      <w:r>
        <w:rPr>
          <w:lang w:val="fr-FR"/>
        </w:rPr>
        <w:t xml:space="preserve"> le projet a bénéficié </w:t>
      </w:r>
      <w:r w:rsidR="00477EDE">
        <w:rPr>
          <w:lang w:val="fr-FR"/>
        </w:rPr>
        <w:t xml:space="preserve">d’appui </w:t>
      </w:r>
      <w:r>
        <w:rPr>
          <w:lang w:val="fr-FR"/>
        </w:rPr>
        <w:t xml:space="preserve">de deux </w:t>
      </w:r>
      <w:r w:rsidR="0095047F">
        <w:rPr>
          <w:lang w:val="fr-FR"/>
        </w:rPr>
        <w:t>experts de BIT et trois consultants internationa</w:t>
      </w:r>
      <w:r w:rsidR="00574221">
        <w:rPr>
          <w:lang w:val="fr-FR"/>
        </w:rPr>
        <w:t>ux</w:t>
      </w:r>
      <w:r w:rsidR="0095047F">
        <w:rPr>
          <w:lang w:val="fr-FR"/>
        </w:rPr>
        <w:t xml:space="preserve"> pour l’évaluation des centres de formation et de l’évaluation des domaines de formation et pour la formation des formateurs. Un Consultant National a été </w:t>
      </w:r>
      <w:r w:rsidR="00C723B9">
        <w:rPr>
          <w:lang w:val="fr-FR"/>
        </w:rPr>
        <w:t>recrut</w:t>
      </w:r>
      <w:r w:rsidR="0095047F">
        <w:rPr>
          <w:lang w:val="fr-FR"/>
        </w:rPr>
        <w:t xml:space="preserve">é </w:t>
      </w:r>
      <w:r w:rsidR="00C723B9">
        <w:rPr>
          <w:lang w:val="fr-FR"/>
        </w:rPr>
        <w:t xml:space="preserve">pour </w:t>
      </w:r>
      <w:r w:rsidR="0095047F">
        <w:rPr>
          <w:lang w:val="fr-FR"/>
        </w:rPr>
        <w:t xml:space="preserve">évaluer les installations du Centre de Formation Professionnelle (CENFI) </w:t>
      </w:r>
      <w:r w:rsidR="00C723B9">
        <w:rPr>
          <w:lang w:val="fr-FR"/>
        </w:rPr>
        <w:t xml:space="preserve">aux fin de sa </w:t>
      </w:r>
      <w:r w:rsidR="0095047F">
        <w:rPr>
          <w:lang w:val="fr-FR"/>
        </w:rPr>
        <w:t xml:space="preserve">réhabilitation. </w:t>
      </w:r>
      <w:r w:rsidR="00C723B9">
        <w:rPr>
          <w:lang w:val="fr-FR"/>
        </w:rPr>
        <w:t>U</w:t>
      </w:r>
      <w:r w:rsidR="00574221">
        <w:rPr>
          <w:lang w:val="fr-FR"/>
        </w:rPr>
        <w:t>ne mission a été sollicitée pour l’évaluation des banques, pour la gestion de ligne de crédit pour le financement des projets des jeunes.</w:t>
      </w:r>
    </w:p>
    <w:p w:rsidR="0095047F" w:rsidRDefault="0095047F" w:rsidP="00A80FF3">
      <w:pPr>
        <w:rPr>
          <w:lang w:val="fr-FR"/>
        </w:rPr>
      </w:pPr>
    </w:p>
    <w:p w:rsidR="00625C8B" w:rsidRPr="00625C8B" w:rsidRDefault="00625C8B" w:rsidP="00A80FF3">
      <w:pPr>
        <w:rPr>
          <w:lang w:val="fr-FR"/>
        </w:rPr>
      </w:pPr>
    </w:p>
    <w:p w:rsidR="0095047F" w:rsidRPr="009D5B6A" w:rsidRDefault="0095047F" w:rsidP="00A80FF3">
      <w:pPr>
        <w:pStyle w:val="ListParagraph"/>
        <w:numPr>
          <w:ilvl w:val="0"/>
          <w:numId w:val="8"/>
        </w:numPr>
        <w:rPr>
          <w:b/>
          <w:sz w:val="28"/>
          <w:szCs w:val="28"/>
          <w:lang w:val="fr-FR"/>
        </w:rPr>
      </w:pPr>
      <w:r w:rsidRPr="009D5B6A">
        <w:rPr>
          <w:b/>
          <w:sz w:val="28"/>
          <w:szCs w:val="28"/>
          <w:lang w:val="fr-FR"/>
        </w:rPr>
        <w:t xml:space="preserve">Arrangement de </w:t>
      </w:r>
      <w:r w:rsidR="00342D6B" w:rsidRPr="009D5B6A">
        <w:rPr>
          <w:b/>
          <w:sz w:val="28"/>
          <w:szCs w:val="28"/>
          <w:lang w:val="fr-FR"/>
        </w:rPr>
        <w:t>réalisation et de suivi</w:t>
      </w:r>
    </w:p>
    <w:p w:rsidR="00455C34" w:rsidRDefault="00455C34" w:rsidP="00455C34">
      <w:pPr>
        <w:rPr>
          <w:lang w:val="fr-FR"/>
        </w:rPr>
      </w:pPr>
    </w:p>
    <w:p w:rsidR="00FD615D" w:rsidRDefault="00FD615D" w:rsidP="00455C34">
      <w:pPr>
        <w:jc w:val="both"/>
        <w:rPr>
          <w:lang w:val="fr-FR"/>
        </w:rPr>
      </w:pPr>
    </w:p>
    <w:p w:rsidR="00FD615D" w:rsidRDefault="004573B2" w:rsidP="00455C34">
      <w:pPr>
        <w:jc w:val="both"/>
        <w:rPr>
          <w:b/>
          <w:lang w:val="fr-FR"/>
        </w:rPr>
      </w:pPr>
      <w:r>
        <w:rPr>
          <w:b/>
          <w:lang w:val="fr-FR"/>
        </w:rPr>
        <w:t xml:space="preserve">3.1. </w:t>
      </w:r>
      <w:r w:rsidR="00FD615D" w:rsidRPr="00FD615D">
        <w:rPr>
          <w:b/>
          <w:lang w:val="fr-FR"/>
        </w:rPr>
        <w:t xml:space="preserve">Mécanisme </w:t>
      </w:r>
      <w:r w:rsidR="00FD615D">
        <w:rPr>
          <w:b/>
          <w:lang w:val="fr-FR"/>
        </w:rPr>
        <w:t>d’e</w:t>
      </w:r>
      <w:r w:rsidR="00FD615D" w:rsidRPr="00FD615D">
        <w:rPr>
          <w:b/>
          <w:lang w:val="fr-FR"/>
        </w:rPr>
        <w:t xml:space="preserve">xécution </w:t>
      </w:r>
    </w:p>
    <w:p w:rsidR="00FD615D" w:rsidRPr="00FD615D" w:rsidRDefault="00FD615D" w:rsidP="00455C34">
      <w:pPr>
        <w:jc w:val="both"/>
        <w:rPr>
          <w:b/>
          <w:lang w:val="fr-FR"/>
        </w:rPr>
      </w:pPr>
    </w:p>
    <w:p w:rsidR="00455C34" w:rsidRDefault="00F16A0B" w:rsidP="00455C34">
      <w:pPr>
        <w:jc w:val="both"/>
        <w:rPr>
          <w:lang w:val="fr-FR"/>
        </w:rPr>
      </w:pPr>
      <w:r>
        <w:rPr>
          <w:lang w:val="fr-FR"/>
        </w:rPr>
        <w:t xml:space="preserve">Les activités </w:t>
      </w:r>
      <w:r w:rsidR="008A15DF">
        <w:rPr>
          <w:lang w:val="fr-FR"/>
        </w:rPr>
        <w:t xml:space="preserve">garantissant </w:t>
      </w:r>
      <w:r>
        <w:rPr>
          <w:lang w:val="fr-FR"/>
        </w:rPr>
        <w:t xml:space="preserve">la </w:t>
      </w:r>
      <w:r w:rsidR="008A15DF">
        <w:rPr>
          <w:lang w:val="fr-FR"/>
        </w:rPr>
        <w:t xml:space="preserve">réalisation des produits </w:t>
      </w:r>
      <w:r w:rsidR="00477EDE">
        <w:rPr>
          <w:lang w:val="fr-FR"/>
        </w:rPr>
        <w:t xml:space="preserve">du projet </w:t>
      </w:r>
      <w:r>
        <w:rPr>
          <w:lang w:val="fr-FR"/>
        </w:rPr>
        <w:t xml:space="preserve">sont </w:t>
      </w:r>
      <w:r w:rsidR="00455C34" w:rsidRPr="00FF6C2D">
        <w:rPr>
          <w:lang w:val="fr-FR"/>
        </w:rPr>
        <w:t xml:space="preserve">exécutées </w:t>
      </w:r>
      <w:r>
        <w:rPr>
          <w:lang w:val="fr-FR"/>
        </w:rPr>
        <w:t xml:space="preserve">présentement par le PNUD.  </w:t>
      </w:r>
      <w:r w:rsidR="008A15DF">
        <w:rPr>
          <w:lang w:val="fr-FR"/>
        </w:rPr>
        <w:t>L</w:t>
      </w:r>
      <w:r>
        <w:rPr>
          <w:lang w:val="fr-FR"/>
        </w:rPr>
        <w:t xml:space="preserve">’appui technique </w:t>
      </w:r>
      <w:r w:rsidR="008A15DF">
        <w:rPr>
          <w:lang w:val="fr-FR"/>
        </w:rPr>
        <w:t xml:space="preserve">de cadrage </w:t>
      </w:r>
      <w:r>
        <w:rPr>
          <w:lang w:val="fr-FR"/>
        </w:rPr>
        <w:t xml:space="preserve">pour la réalisation des activités d’évaluation des centre des </w:t>
      </w:r>
      <w:r w:rsidR="00C8305F">
        <w:rPr>
          <w:lang w:val="fr-FR"/>
        </w:rPr>
        <w:t>formations</w:t>
      </w:r>
      <w:r>
        <w:rPr>
          <w:lang w:val="fr-FR"/>
        </w:rPr>
        <w:t xml:space="preserve">, des </w:t>
      </w:r>
      <w:r w:rsidR="00C8305F">
        <w:rPr>
          <w:lang w:val="fr-FR"/>
        </w:rPr>
        <w:t>domaines</w:t>
      </w:r>
      <w:r>
        <w:rPr>
          <w:lang w:val="fr-FR"/>
        </w:rPr>
        <w:t xml:space="preserve"> de formation et </w:t>
      </w:r>
      <w:r w:rsidR="00C8305F">
        <w:rPr>
          <w:lang w:val="fr-FR"/>
        </w:rPr>
        <w:t xml:space="preserve">des créneaux porteurs </w:t>
      </w:r>
      <w:r w:rsidR="008A15DF">
        <w:rPr>
          <w:lang w:val="fr-FR"/>
        </w:rPr>
        <w:t xml:space="preserve">a été sollicité au Bureau international du Travail (BIT) qui a aussi apporté </w:t>
      </w:r>
      <w:r w:rsidR="00C8305F">
        <w:rPr>
          <w:lang w:val="fr-FR"/>
        </w:rPr>
        <w:t>sa contribution technique à la formation de</w:t>
      </w:r>
      <w:r w:rsidR="002E52BF">
        <w:rPr>
          <w:lang w:val="fr-FR"/>
        </w:rPr>
        <w:t xml:space="preserve"> 17 formateurs en Trie et</w:t>
      </w:r>
      <w:r w:rsidR="00081581">
        <w:rPr>
          <w:lang w:val="fr-FR"/>
        </w:rPr>
        <w:t xml:space="preserve"> de</w:t>
      </w:r>
      <w:r w:rsidR="002E52BF">
        <w:rPr>
          <w:lang w:val="fr-FR"/>
        </w:rPr>
        <w:t xml:space="preserve"> 13 </w:t>
      </w:r>
      <w:r w:rsidR="00081581">
        <w:rPr>
          <w:lang w:val="fr-FR"/>
        </w:rPr>
        <w:t xml:space="preserve">formateurs </w:t>
      </w:r>
      <w:r w:rsidR="002E52BF">
        <w:rPr>
          <w:lang w:val="fr-FR"/>
        </w:rPr>
        <w:t>en Cree</w:t>
      </w:r>
      <w:r w:rsidR="00C8305F">
        <w:rPr>
          <w:lang w:val="fr-FR"/>
        </w:rPr>
        <w:t xml:space="preserve"> pour la formation de</w:t>
      </w:r>
      <w:r w:rsidR="008A15DF">
        <w:rPr>
          <w:lang w:val="fr-FR"/>
        </w:rPr>
        <w:t xml:space="preserve">s jeunes créateurs et gestionnaires </w:t>
      </w:r>
      <w:r w:rsidR="00C8305F">
        <w:rPr>
          <w:lang w:val="fr-FR"/>
        </w:rPr>
        <w:t>d’entreprises</w:t>
      </w:r>
      <w:r w:rsidR="008A15DF">
        <w:rPr>
          <w:lang w:val="fr-FR"/>
        </w:rPr>
        <w:t xml:space="preserve">. </w:t>
      </w:r>
      <w:r w:rsidR="00C8305F">
        <w:rPr>
          <w:lang w:val="fr-FR"/>
        </w:rPr>
        <w:t xml:space="preserve"> </w:t>
      </w:r>
    </w:p>
    <w:p w:rsidR="008A15DF" w:rsidRPr="00FF6C2D" w:rsidRDefault="008A15DF" w:rsidP="00455C34">
      <w:pPr>
        <w:jc w:val="both"/>
        <w:rPr>
          <w:lang w:val="fr-FR"/>
        </w:rPr>
      </w:pPr>
    </w:p>
    <w:p w:rsidR="00455C34" w:rsidRPr="00FF6C2D" w:rsidRDefault="00455C34" w:rsidP="00455C34">
      <w:pPr>
        <w:jc w:val="both"/>
        <w:rPr>
          <w:lang w:val="fr-FR"/>
        </w:rPr>
      </w:pPr>
      <w:r w:rsidRPr="00FF6C2D">
        <w:rPr>
          <w:lang w:val="fr-FR"/>
        </w:rPr>
        <w:t xml:space="preserve">La coordination inter agences et le pilotage de ce projet </w:t>
      </w:r>
      <w:r w:rsidR="00C3181B">
        <w:rPr>
          <w:lang w:val="fr-FR"/>
        </w:rPr>
        <w:t>sont assurés</w:t>
      </w:r>
      <w:r w:rsidRPr="00FF6C2D">
        <w:rPr>
          <w:lang w:val="fr-FR"/>
        </w:rPr>
        <w:t xml:space="preserve"> par un Comité de pilotage </w:t>
      </w:r>
      <w:r w:rsidR="00081581">
        <w:rPr>
          <w:lang w:val="fr-FR"/>
        </w:rPr>
        <w:t>dont le prem</w:t>
      </w:r>
      <w:r w:rsidR="00C3181B">
        <w:rPr>
          <w:lang w:val="fr-FR"/>
        </w:rPr>
        <w:t>ière ré</w:t>
      </w:r>
      <w:r w:rsidR="00081581">
        <w:rPr>
          <w:lang w:val="fr-FR"/>
        </w:rPr>
        <w:t xml:space="preserve">union </w:t>
      </w:r>
      <w:r w:rsidR="002E52BF">
        <w:rPr>
          <w:lang w:val="fr-FR"/>
        </w:rPr>
        <w:t>s´est tenu</w:t>
      </w:r>
      <w:r w:rsidR="00C3181B">
        <w:rPr>
          <w:lang w:val="fr-FR"/>
        </w:rPr>
        <w:t>e</w:t>
      </w:r>
      <w:r w:rsidR="002E52BF">
        <w:rPr>
          <w:lang w:val="fr-FR"/>
        </w:rPr>
        <w:t xml:space="preserve"> en Août 09 et </w:t>
      </w:r>
      <w:r w:rsidR="00FD615D">
        <w:rPr>
          <w:lang w:val="fr-FR"/>
        </w:rPr>
        <w:t xml:space="preserve">qui </w:t>
      </w:r>
      <w:r w:rsidR="002E52BF">
        <w:rPr>
          <w:lang w:val="fr-FR"/>
        </w:rPr>
        <w:t xml:space="preserve">a </w:t>
      </w:r>
      <w:r w:rsidR="00FD615D">
        <w:rPr>
          <w:lang w:val="fr-FR"/>
        </w:rPr>
        <w:t>regroup</w:t>
      </w:r>
      <w:r w:rsidR="002E52BF">
        <w:rPr>
          <w:lang w:val="fr-FR"/>
        </w:rPr>
        <w:t>é</w:t>
      </w:r>
      <w:r w:rsidR="00C3181B">
        <w:rPr>
          <w:lang w:val="fr-FR"/>
        </w:rPr>
        <w:t>,</w:t>
      </w:r>
      <w:r w:rsidRPr="00FF6C2D">
        <w:rPr>
          <w:lang w:val="fr-FR"/>
        </w:rPr>
        <w:t xml:space="preserve"> outre les responsables des Ministères concernés, les représentants des agences du SNU parties prenantes et des représentants de la société civile. </w:t>
      </w:r>
    </w:p>
    <w:p w:rsidR="00455C34" w:rsidRPr="00FF6C2D" w:rsidRDefault="00455C34" w:rsidP="00455C34">
      <w:pPr>
        <w:jc w:val="both"/>
        <w:rPr>
          <w:lang w:val="fr-FR"/>
        </w:rPr>
      </w:pPr>
    </w:p>
    <w:p w:rsidR="00906DD6" w:rsidRPr="00FD3F36" w:rsidRDefault="00FD615D" w:rsidP="00906DD6">
      <w:pPr>
        <w:jc w:val="both"/>
        <w:rPr>
          <w:lang w:val="fr-FR"/>
        </w:rPr>
      </w:pPr>
      <w:r>
        <w:rPr>
          <w:lang w:val="fr-FR"/>
        </w:rPr>
        <w:t>Une</w:t>
      </w:r>
      <w:r w:rsidR="00455C34" w:rsidRPr="00FF6C2D">
        <w:rPr>
          <w:lang w:val="fr-FR"/>
        </w:rPr>
        <w:t xml:space="preserve"> cellule de gestion </w:t>
      </w:r>
      <w:r w:rsidR="002E52BF">
        <w:rPr>
          <w:lang w:val="fr-FR"/>
        </w:rPr>
        <w:t xml:space="preserve">été mise en place. Elle est </w:t>
      </w:r>
      <w:r w:rsidR="00455C34" w:rsidRPr="00FF6C2D">
        <w:rPr>
          <w:lang w:val="fr-FR"/>
        </w:rPr>
        <w:t xml:space="preserve">chargée de la coordination, de la planification et du suivi des activités à Bissau et dans les régions choisies. Cette cellule </w:t>
      </w:r>
      <w:r w:rsidR="002E52BF">
        <w:rPr>
          <w:lang w:val="fr-FR"/>
        </w:rPr>
        <w:t xml:space="preserve"> </w:t>
      </w:r>
      <w:r w:rsidR="00455C34" w:rsidRPr="00FF6C2D">
        <w:rPr>
          <w:lang w:val="fr-FR"/>
        </w:rPr>
        <w:t>apport</w:t>
      </w:r>
      <w:r w:rsidR="002E52BF">
        <w:rPr>
          <w:lang w:val="fr-FR"/>
        </w:rPr>
        <w:t>e</w:t>
      </w:r>
      <w:r w:rsidR="00455C34" w:rsidRPr="00FF6C2D">
        <w:rPr>
          <w:lang w:val="fr-FR"/>
        </w:rPr>
        <w:t xml:space="preserve"> une assistance technique aux structures nationales responsables pour la formation professionnelle ainsi que  l’information et la sensibilisation des jeunes sur les métiers et les offres de formation professionnelle. La cellule de coordination et de suivi des activités du </w:t>
      </w:r>
      <w:r w:rsidR="00455C34" w:rsidRPr="00FF6C2D">
        <w:rPr>
          <w:lang w:val="fr-FR"/>
        </w:rPr>
        <w:lastRenderedPageBreak/>
        <w:t xml:space="preserve">projet </w:t>
      </w:r>
      <w:r w:rsidR="002E52BF">
        <w:rPr>
          <w:lang w:val="fr-FR"/>
        </w:rPr>
        <w:t>est</w:t>
      </w:r>
      <w:r w:rsidR="00455C34" w:rsidRPr="00FF6C2D">
        <w:rPr>
          <w:lang w:val="fr-FR"/>
        </w:rPr>
        <w:t xml:space="preserve"> constituée d’un coordonna</w:t>
      </w:r>
      <w:r w:rsidR="002E52BF">
        <w:rPr>
          <w:lang w:val="fr-FR"/>
        </w:rPr>
        <w:t xml:space="preserve">teur national </w:t>
      </w:r>
      <w:r w:rsidR="00455C34" w:rsidRPr="00FF6C2D">
        <w:rPr>
          <w:lang w:val="fr-FR"/>
        </w:rPr>
        <w:t xml:space="preserve">et d’un chauffeur et travaille en étroite collaboration avec </w:t>
      </w:r>
      <w:r w:rsidR="00081581">
        <w:rPr>
          <w:lang w:val="fr-FR"/>
        </w:rPr>
        <w:t>le PNUD</w:t>
      </w:r>
      <w:r w:rsidR="00455C34" w:rsidRPr="00FF6C2D">
        <w:rPr>
          <w:lang w:val="fr-FR"/>
        </w:rPr>
        <w:t xml:space="preserve">. </w:t>
      </w:r>
      <w:r w:rsidR="00906DD6">
        <w:rPr>
          <w:lang w:val="fr-FR"/>
        </w:rPr>
        <w:t xml:space="preserve">Elle </w:t>
      </w:r>
      <w:r w:rsidR="008C1A3A">
        <w:rPr>
          <w:lang w:val="fr-FR"/>
        </w:rPr>
        <w:t xml:space="preserve">a </w:t>
      </w:r>
      <w:r w:rsidR="00906DD6">
        <w:rPr>
          <w:lang w:val="fr-FR"/>
        </w:rPr>
        <w:t xml:space="preserve">aussi </w:t>
      </w:r>
      <w:r w:rsidR="008C1A3A">
        <w:rPr>
          <w:lang w:val="fr-FR"/>
        </w:rPr>
        <w:t xml:space="preserve">été </w:t>
      </w:r>
      <w:r w:rsidR="00081581">
        <w:rPr>
          <w:lang w:val="fr-FR"/>
        </w:rPr>
        <w:t>appuyée dans</w:t>
      </w:r>
      <w:r w:rsidR="00455C34" w:rsidRPr="00FF6C2D">
        <w:rPr>
          <w:lang w:val="fr-FR"/>
        </w:rPr>
        <w:t xml:space="preserve"> la mise en œuvre et </w:t>
      </w:r>
      <w:r w:rsidR="00081581">
        <w:rPr>
          <w:lang w:val="fr-FR"/>
        </w:rPr>
        <w:t xml:space="preserve">le </w:t>
      </w:r>
      <w:r w:rsidR="00455C34" w:rsidRPr="00FF6C2D">
        <w:rPr>
          <w:lang w:val="fr-FR"/>
        </w:rPr>
        <w:t xml:space="preserve">suivi des différentes activités par des </w:t>
      </w:r>
      <w:r w:rsidR="00CD6528">
        <w:rPr>
          <w:lang w:val="fr-FR"/>
        </w:rPr>
        <w:t xml:space="preserve">consultants </w:t>
      </w:r>
      <w:r w:rsidR="00455C34" w:rsidRPr="00FF6C2D">
        <w:rPr>
          <w:lang w:val="fr-FR"/>
        </w:rPr>
        <w:t>internationaux selon les besoins en assistance  technique du projet</w:t>
      </w:r>
      <w:r w:rsidR="008C1A3A">
        <w:rPr>
          <w:lang w:val="fr-FR"/>
        </w:rPr>
        <w:t> : l´</w:t>
      </w:r>
      <w:r w:rsidR="00CD6528">
        <w:rPr>
          <w:lang w:val="fr-FR"/>
        </w:rPr>
        <w:t>évaluation</w:t>
      </w:r>
      <w:r w:rsidR="008C1A3A">
        <w:rPr>
          <w:lang w:val="fr-FR"/>
        </w:rPr>
        <w:t xml:space="preserve"> des banques ; </w:t>
      </w:r>
      <w:r w:rsidR="00CD6528">
        <w:rPr>
          <w:lang w:val="fr-FR"/>
        </w:rPr>
        <w:t>évaluation</w:t>
      </w:r>
      <w:r w:rsidR="008C1A3A">
        <w:rPr>
          <w:lang w:val="fr-FR"/>
        </w:rPr>
        <w:t xml:space="preserve"> de la capacité des institutions de formation professionnelle ; </w:t>
      </w:r>
      <w:r w:rsidR="00CD6528">
        <w:rPr>
          <w:lang w:val="fr-FR"/>
        </w:rPr>
        <w:t>sélection des domaines de formation stratégique ou prioritaire et choix des institutions de formation pour leurs mis</w:t>
      </w:r>
      <w:r w:rsidR="00047C7F">
        <w:rPr>
          <w:lang w:val="fr-FR"/>
        </w:rPr>
        <w:t>e</w:t>
      </w:r>
      <w:r w:rsidR="00CD6528">
        <w:rPr>
          <w:lang w:val="fr-FR"/>
        </w:rPr>
        <w:t xml:space="preserve"> en œuvre ; mission de négociation avec les banque</w:t>
      </w:r>
      <w:r w:rsidR="00047C7F">
        <w:rPr>
          <w:lang w:val="fr-FR"/>
        </w:rPr>
        <w:t>s</w:t>
      </w:r>
      <w:r w:rsidR="00CD6528">
        <w:rPr>
          <w:lang w:val="fr-FR"/>
        </w:rPr>
        <w:t xml:space="preserve"> pour l</w:t>
      </w:r>
      <w:r w:rsidR="00047C7F">
        <w:rPr>
          <w:lang w:val="fr-FR"/>
        </w:rPr>
        <w:t>a gestion des lignes de crédits</w:t>
      </w:r>
      <w:r w:rsidR="00CD6528">
        <w:rPr>
          <w:lang w:val="fr-FR"/>
        </w:rPr>
        <w:t>; mission d’appui pour la préparation à l’atelier national de dissémination des bonnes pratiques en matière de promotion de l’emploi et de la formation professionnelle.</w:t>
      </w:r>
      <w:r w:rsidR="00455C34" w:rsidRPr="00FF6C2D">
        <w:rPr>
          <w:lang w:val="fr-FR"/>
        </w:rPr>
        <w:t xml:space="preserve">    </w:t>
      </w:r>
    </w:p>
    <w:p w:rsidR="00455C34" w:rsidRPr="00FF6C2D" w:rsidRDefault="00455C34" w:rsidP="00455C34">
      <w:pPr>
        <w:jc w:val="both"/>
        <w:rPr>
          <w:lang w:val="fr-FR"/>
        </w:rPr>
      </w:pPr>
    </w:p>
    <w:p w:rsidR="0053151E" w:rsidRPr="00FF6C2D" w:rsidRDefault="0053151E" w:rsidP="00455C34">
      <w:pPr>
        <w:jc w:val="both"/>
        <w:rPr>
          <w:lang w:val="fr-FR"/>
        </w:rPr>
      </w:pPr>
    </w:p>
    <w:p w:rsidR="008B663E" w:rsidRDefault="00455C34" w:rsidP="00455C34">
      <w:pPr>
        <w:jc w:val="both"/>
        <w:rPr>
          <w:lang w:val="fr-FR"/>
        </w:rPr>
      </w:pPr>
      <w:r w:rsidRPr="00FF6C2D">
        <w:rPr>
          <w:lang w:val="fr-FR"/>
        </w:rPr>
        <w:t xml:space="preserve">Le PNUD en tant qu’agence d’exécution du projet </w:t>
      </w:r>
      <w:r w:rsidR="00237657">
        <w:rPr>
          <w:lang w:val="fr-FR"/>
        </w:rPr>
        <w:t>a</w:t>
      </w:r>
      <w:r w:rsidR="00C54FE4">
        <w:rPr>
          <w:lang w:val="fr-FR"/>
        </w:rPr>
        <w:t xml:space="preserve"> favorisé</w:t>
      </w:r>
      <w:r w:rsidRPr="00FF6C2D">
        <w:rPr>
          <w:lang w:val="fr-FR"/>
        </w:rPr>
        <w:t xml:space="preserve"> la consolidation ou </w:t>
      </w:r>
      <w:r w:rsidR="00047C7F">
        <w:rPr>
          <w:lang w:val="fr-FR"/>
        </w:rPr>
        <w:t>l</w:t>
      </w:r>
      <w:r w:rsidR="00C54FE4">
        <w:rPr>
          <w:lang w:val="fr-FR"/>
        </w:rPr>
        <w:t>a</w:t>
      </w:r>
      <w:r w:rsidR="00047C7F">
        <w:rPr>
          <w:lang w:val="fr-FR"/>
        </w:rPr>
        <w:t xml:space="preserve"> </w:t>
      </w:r>
      <w:r w:rsidRPr="00FF6C2D">
        <w:rPr>
          <w:lang w:val="fr-FR"/>
        </w:rPr>
        <w:t>mise  en place de partenariats stratégiques avec les autres partenaires intervenant dans ce domaine, notamment le Bureau International du Travail (BIT), le Fonds des Nations U</w:t>
      </w:r>
      <w:r w:rsidR="00906DD6">
        <w:rPr>
          <w:lang w:val="fr-FR"/>
        </w:rPr>
        <w:t>nies pour la population (UNFPA)</w:t>
      </w:r>
      <w:r w:rsidR="00237657">
        <w:rPr>
          <w:lang w:val="fr-FR"/>
        </w:rPr>
        <w:t>, l´UNICEF, la SNV</w:t>
      </w:r>
      <w:r w:rsidR="00906DD6">
        <w:rPr>
          <w:lang w:val="fr-FR"/>
        </w:rPr>
        <w:t xml:space="preserve"> et </w:t>
      </w:r>
      <w:r w:rsidR="00CD6528">
        <w:rPr>
          <w:lang w:val="fr-FR"/>
        </w:rPr>
        <w:t xml:space="preserve">compte ainsi contacter </w:t>
      </w:r>
      <w:r w:rsidR="00906DD6">
        <w:rPr>
          <w:lang w:val="fr-FR"/>
        </w:rPr>
        <w:t>l’Organisation des Nations Unies pour le Développement Industriel (ONUDI)</w:t>
      </w:r>
      <w:r w:rsidR="00BF5EBA">
        <w:rPr>
          <w:lang w:val="fr-FR"/>
        </w:rPr>
        <w:t xml:space="preserve">, </w:t>
      </w:r>
      <w:r w:rsidR="00CE6520">
        <w:rPr>
          <w:lang w:val="fr-FR"/>
        </w:rPr>
        <w:t>qui</w:t>
      </w:r>
      <w:r w:rsidR="00906DD6">
        <w:rPr>
          <w:lang w:val="fr-FR"/>
        </w:rPr>
        <w:t xml:space="preserve"> nous apportera </w:t>
      </w:r>
      <w:r w:rsidR="008B663E">
        <w:rPr>
          <w:lang w:val="fr-FR"/>
        </w:rPr>
        <w:t>sa contribution à  l’amélioration de l’offre de formation par un appui technique à la d</w:t>
      </w:r>
      <w:r w:rsidR="00CE6520">
        <w:rPr>
          <w:lang w:val="fr-FR"/>
        </w:rPr>
        <w:t>iffusion l’information sur</w:t>
      </w:r>
      <w:r w:rsidR="008B663E">
        <w:rPr>
          <w:lang w:val="fr-FR"/>
        </w:rPr>
        <w:t xml:space="preserve"> les filières et créneaux porteurs, </w:t>
      </w:r>
      <w:r w:rsidR="00004EF2">
        <w:rPr>
          <w:lang w:val="fr-FR"/>
        </w:rPr>
        <w:t>l´</w:t>
      </w:r>
      <w:r w:rsidR="008B663E">
        <w:rPr>
          <w:lang w:val="fr-FR"/>
        </w:rPr>
        <w:t>analyse du tissu économique et des opportunités d’emploi et négociation</w:t>
      </w:r>
      <w:r w:rsidR="00004EF2">
        <w:rPr>
          <w:lang w:val="fr-FR"/>
        </w:rPr>
        <w:t>s</w:t>
      </w:r>
      <w:r w:rsidR="008B663E">
        <w:rPr>
          <w:lang w:val="fr-FR"/>
        </w:rPr>
        <w:t xml:space="preserve"> avec les entreprise</w:t>
      </w:r>
      <w:r w:rsidR="00004EF2">
        <w:rPr>
          <w:lang w:val="fr-FR"/>
        </w:rPr>
        <w:t>s</w:t>
      </w:r>
      <w:r w:rsidR="008B663E">
        <w:rPr>
          <w:lang w:val="fr-FR"/>
        </w:rPr>
        <w:t xml:space="preserve">. </w:t>
      </w:r>
      <w:r w:rsidR="00C54FE4">
        <w:rPr>
          <w:lang w:val="fr-FR"/>
        </w:rPr>
        <w:t xml:space="preserve">Le </w:t>
      </w:r>
      <w:r w:rsidR="00CD6528">
        <w:rPr>
          <w:lang w:val="fr-FR"/>
        </w:rPr>
        <w:t>Programme Régional pour la cohésion social</w:t>
      </w:r>
      <w:r w:rsidR="00004EF2">
        <w:rPr>
          <w:lang w:val="fr-FR"/>
        </w:rPr>
        <w:t>e</w:t>
      </w:r>
      <w:r w:rsidR="00CD6528">
        <w:rPr>
          <w:lang w:val="fr-FR"/>
        </w:rPr>
        <w:t xml:space="preserve"> et l’emploi des jeunes (YERP)</w:t>
      </w:r>
      <w:r w:rsidR="00004EF2">
        <w:rPr>
          <w:lang w:val="fr-FR"/>
        </w:rPr>
        <w:t>,</w:t>
      </w:r>
      <w:r w:rsidR="00CD6528">
        <w:rPr>
          <w:lang w:val="fr-FR"/>
        </w:rPr>
        <w:t xml:space="preserve"> </w:t>
      </w:r>
      <w:r w:rsidR="00004EF2">
        <w:rPr>
          <w:lang w:val="fr-FR"/>
        </w:rPr>
        <w:t>sur financement du</w:t>
      </w:r>
      <w:r w:rsidR="00CD6528">
        <w:rPr>
          <w:lang w:val="fr-FR"/>
        </w:rPr>
        <w:t xml:space="preserve"> gouvernement espagnol</w:t>
      </w:r>
      <w:r w:rsidR="00004EF2">
        <w:rPr>
          <w:lang w:val="fr-FR"/>
        </w:rPr>
        <w:t>,</w:t>
      </w:r>
      <w:r w:rsidR="00CD6528">
        <w:rPr>
          <w:lang w:val="fr-FR"/>
        </w:rPr>
        <w:t xml:space="preserve"> a financé un projet de réhabilitation du CENFI. </w:t>
      </w:r>
      <w:r w:rsidRPr="00FF6C2D">
        <w:rPr>
          <w:lang w:val="fr-FR"/>
        </w:rPr>
        <w:t xml:space="preserve">Il s’agira de saisir l’opportunité de l’existence de ce projet sous-régional pour assurer la durabilité des résultats du projet sous revue. </w:t>
      </w:r>
    </w:p>
    <w:p w:rsidR="008B663E" w:rsidRDefault="008B663E" w:rsidP="00455C34">
      <w:pPr>
        <w:jc w:val="both"/>
        <w:rPr>
          <w:lang w:val="fr-FR"/>
        </w:rPr>
      </w:pPr>
    </w:p>
    <w:p w:rsidR="00FD615D" w:rsidRDefault="00FD615D" w:rsidP="00455C34">
      <w:pPr>
        <w:jc w:val="both"/>
        <w:rPr>
          <w:lang w:val="fr-FR"/>
        </w:rPr>
      </w:pPr>
    </w:p>
    <w:p w:rsidR="00FD615D" w:rsidRDefault="004573B2" w:rsidP="00455C34">
      <w:pPr>
        <w:jc w:val="both"/>
        <w:rPr>
          <w:b/>
          <w:lang w:val="fr-FR"/>
        </w:rPr>
      </w:pPr>
      <w:r>
        <w:rPr>
          <w:b/>
          <w:lang w:val="fr-FR"/>
        </w:rPr>
        <w:t xml:space="preserve">3.2. </w:t>
      </w:r>
      <w:r w:rsidR="00FD615D" w:rsidRPr="00FD615D">
        <w:rPr>
          <w:b/>
          <w:lang w:val="fr-FR"/>
        </w:rPr>
        <w:t xml:space="preserve">Procédures des achats des biens et services </w:t>
      </w:r>
    </w:p>
    <w:p w:rsidR="00FD615D" w:rsidRPr="00FD615D" w:rsidRDefault="00FD615D" w:rsidP="00455C34">
      <w:pPr>
        <w:jc w:val="both"/>
        <w:rPr>
          <w:b/>
          <w:lang w:val="fr-FR"/>
        </w:rPr>
      </w:pPr>
    </w:p>
    <w:p w:rsidR="003B1757" w:rsidRPr="00FD3F36" w:rsidRDefault="008B663E" w:rsidP="003B1757">
      <w:pPr>
        <w:jc w:val="both"/>
        <w:rPr>
          <w:lang w:val="fr-FR"/>
        </w:rPr>
      </w:pPr>
      <w:r>
        <w:rPr>
          <w:lang w:val="fr-FR"/>
        </w:rPr>
        <w:t xml:space="preserve">Les procédures des achats des biens et des services </w:t>
      </w:r>
      <w:r w:rsidR="00081458">
        <w:rPr>
          <w:lang w:val="fr-FR"/>
        </w:rPr>
        <w:t>ont étés</w:t>
      </w:r>
      <w:r>
        <w:rPr>
          <w:lang w:val="fr-FR"/>
        </w:rPr>
        <w:t xml:space="preserve"> réalisées selon les règles et procédures du PNUD. </w:t>
      </w:r>
      <w:r w:rsidR="00081458">
        <w:rPr>
          <w:lang w:val="fr-FR"/>
        </w:rPr>
        <w:t xml:space="preserve">Tous les matériels et équipements prévus dans le cadre du projet pour les institutions en charge de la jeunesse ont étés acquis et remis aux destinataires : un véhicule avec chauffeur, des ordinateurs, des imprimantes des armoires, des tables et les chaises respectif et les matériels de bureau, etc. Le recrutement de </w:t>
      </w:r>
      <w:r w:rsidR="003B1757">
        <w:rPr>
          <w:lang w:val="fr-FR"/>
        </w:rPr>
        <w:t>deux</w:t>
      </w:r>
      <w:r w:rsidR="00081458">
        <w:rPr>
          <w:lang w:val="fr-FR"/>
        </w:rPr>
        <w:t xml:space="preserve"> consultants nationaux </w:t>
      </w:r>
      <w:r w:rsidR="00C54FE4">
        <w:rPr>
          <w:lang w:val="fr-FR"/>
        </w:rPr>
        <w:t>pour appuyer dans la mise en œuvre du projet</w:t>
      </w:r>
      <w:r w:rsidR="003B1757">
        <w:rPr>
          <w:lang w:val="fr-FR"/>
        </w:rPr>
        <w:t xml:space="preserve"> : un </w:t>
      </w:r>
      <w:r w:rsidR="00C54FE4">
        <w:rPr>
          <w:lang w:val="fr-FR"/>
        </w:rPr>
        <w:t xml:space="preserve">consultant </w:t>
      </w:r>
      <w:r w:rsidR="003B1757">
        <w:rPr>
          <w:lang w:val="fr-FR"/>
        </w:rPr>
        <w:t xml:space="preserve">pour la sensibilisation et le </w:t>
      </w:r>
      <w:r w:rsidR="00770761">
        <w:rPr>
          <w:lang w:val="fr-FR"/>
        </w:rPr>
        <w:t>microcrédit</w:t>
      </w:r>
      <w:r w:rsidR="003B1757">
        <w:rPr>
          <w:lang w:val="fr-FR"/>
        </w:rPr>
        <w:t xml:space="preserve">, le </w:t>
      </w:r>
      <w:r w:rsidR="00770761">
        <w:rPr>
          <w:lang w:val="fr-FR"/>
        </w:rPr>
        <w:t>deuxième</w:t>
      </w:r>
      <w:r w:rsidR="003B1757">
        <w:rPr>
          <w:lang w:val="fr-FR"/>
        </w:rPr>
        <w:t xml:space="preserve"> pour la formation et la mise en œuvre du projet.</w:t>
      </w:r>
      <w:r w:rsidR="00081458">
        <w:rPr>
          <w:lang w:val="fr-FR"/>
        </w:rPr>
        <w:t xml:space="preserve"> </w:t>
      </w:r>
      <w:r w:rsidR="003B1757">
        <w:rPr>
          <w:lang w:val="fr-FR"/>
        </w:rPr>
        <w:t>L</w:t>
      </w:r>
      <w:r w:rsidR="00004EF2">
        <w:rPr>
          <w:lang w:val="fr-FR"/>
        </w:rPr>
        <w:t>e processus de</w:t>
      </w:r>
      <w:r w:rsidR="003B1757">
        <w:rPr>
          <w:lang w:val="fr-FR"/>
        </w:rPr>
        <w:t xml:space="preserve"> recrutement </w:t>
      </w:r>
      <w:r w:rsidR="006D7F86">
        <w:rPr>
          <w:lang w:val="fr-FR"/>
        </w:rPr>
        <w:t xml:space="preserve">des </w:t>
      </w:r>
      <w:r w:rsidR="003B1757">
        <w:rPr>
          <w:lang w:val="fr-FR"/>
        </w:rPr>
        <w:t xml:space="preserve">consultants </w:t>
      </w:r>
      <w:r w:rsidR="00A2736B">
        <w:rPr>
          <w:lang w:val="fr-FR"/>
        </w:rPr>
        <w:t>internationaux a respecté</w:t>
      </w:r>
      <w:r w:rsidR="00081458">
        <w:rPr>
          <w:lang w:val="fr-FR"/>
        </w:rPr>
        <w:t xml:space="preserve"> les normes et </w:t>
      </w:r>
      <w:r w:rsidR="00770761">
        <w:rPr>
          <w:lang w:val="fr-FR"/>
        </w:rPr>
        <w:t xml:space="preserve">les </w:t>
      </w:r>
      <w:r w:rsidR="00081458">
        <w:rPr>
          <w:lang w:val="fr-FR"/>
        </w:rPr>
        <w:t>procédures de cette agence de développement</w:t>
      </w:r>
      <w:r w:rsidR="00004EF2">
        <w:rPr>
          <w:lang w:val="fr-FR"/>
        </w:rPr>
        <w:t xml:space="preserve"> : </w:t>
      </w:r>
      <w:r w:rsidR="00A2736B">
        <w:rPr>
          <w:lang w:val="fr-FR"/>
        </w:rPr>
        <w:t>e</w:t>
      </w:r>
      <w:r w:rsidR="003B1757">
        <w:rPr>
          <w:lang w:val="fr-FR"/>
        </w:rPr>
        <w:t>valuation des institutions financières (banques) ; sélection des domaines de formation stratégique ou prioritaire et choix des institutions de formati</w:t>
      </w:r>
      <w:r w:rsidR="00004EF2">
        <w:rPr>
          <w:lang w:val="fr-FR"/>
        </w:rPr>
        <w:t>on pour leur mis</w:t>
      </w:r>
      <w:r w:rsidR="00C54FE4">
        <w:rPr>
          <w:lang w:val="fr-FR"/>
        </w:rPr>
        <w:t>e</w:t>
      </w:r>
      <w:r w:rsidR="00004EF2">
        <w:rPr>
          <w:lang w:val="fr-FR"/>
        </w:rPr>
        <w:t xml:space="preserve"> en œuvre ; </w:t>
      </w:r>
      <w:r w:rsidR="003B1757">
        <w:rPr>
          <w:lang w:val="fr-FR"/>
        </w:rPr>
        <w:t>mission de négociation avec les banque</w:t>
      </w:r>
      <w:r w:rsidR="00770761">
        <w:rPr>
          <w:lang w:val="fr-FR"/>
        </w:rPr>
        <w:t>s</w:t>
      </w:r>
      <w:r w:rsidR="003B1757">
        <w:rPr>
          <w:lang w:val="fr-FR"/>
        </w:rPr>
        <w:t xml:space="preserve"> pour l</w:t>
      </w:r>
      <w:r w:rsidR="00004EF2">
        <w:rPr>
          <w:lang w:val="fr-FR"/>
        </w:rPr>
        <w:t>a gestion des lignes de crédits</w:t>
      </w:r>
      <w:r w:rsidR="003B1757">
        <w:rPr>
          <w:lang w:val="fr-FR"/>
        </w:rPr>
        <w:t xml:space="preserve">; mission d’appui pour la préparation </w:t>
      </w:r>
      <w:r w:rsidR="00770761">
        <w:rPr>
          <w:lang w:val="fr-FR"/>
        </w:rPr>
        <w:t>de</w:t>
      </w:r>
      <w:r w:rsidR="003B1757">
        <w:rPr>
          <w:lang w:val="fr-FR"/>
        </w:rPr>
        <w:t xml:space="preserve"> l’atelier national de dissémination des bonnes pratiques en matière de promotion de l’emploi et de la formation professionnelle.</w:t>
      </w:r>
      <w:r w:rsidR="003B1757" w:rsidRPr="00FF6C2D">
        <w:rPr>
          <w:lang w:val="fr-FR"/>
        </w:rPr>
        <w:t xml:space="preserve">    </w:t>
      </w:r>
    </w:p>
    <w:p w:rsidR="008B663E" w:rsidRDefault="008B663E" w:rsidP="00455C34">
      <w:pPr>
        <w:jc w:val="both"/>
        <w:rPr>
          <w:lang w:val="fr-FR"/>
        </w:rPr>
      </w:pPr>
    </w:p>
    <w:p w:rsidR="00B84623" w:rsidRDefault="00B84623" w:rsidP="00455C34">
      <w:pPr>
        <w:jc w:val="both"/>
        <w:rPr>
          <w:lang w:val="fr-FR"/>
        </w:rPr>
      </w:pPr>
    </w:p>
    <w:p w:rsidR="00B84623" w:rsidRDefault="004573B2" w:rsidP="00455C34">
      <w:pPr>
        <w:jc w:val="both"/>
        <w:rPr>
          <w:b/>
          <w:lang w:val="fr-FR"/>
        </w:rPr>
      </w:pPr>
      <w:r>
        <w:rPr>
          <w:b/>
          <w:lang w:val="fr-FR"/>
        </w:rPr>
        <w:t xml:space="preserve">3.3. </w:t>
      </w:r>
      <w:r w:rsidR="00B84623" w:rsidRPr="00B84623">
        <w:rPr>
          <w:b/>
          <w:lang w:val="fr-FR"/>
        </w:rPr>
        <w:t>Suivi et évaluation</w:t>
      </w:r>
    </w:p>
    <w:p w:rsidR="00B84623" w:rsidRPr="00B84623" w:rsidRDefault="00B84623" w:rsidP="00455C34">
      <w:pPr>
        <w:jc w:val="both"/>
        <w:rPr>
          <w:b/>
          <w:lang w:val="fr-FR"/>
        </w:rPr>
      </w:pPr>
      <w:r w:rsidRPr="00B84623">
        <w:rPr>
          <w:b/>
          <w:lang w:val="fr-FR"/>
        </w:rPr>
        <w:t xml:space="preserve"> </w:t>
      </w:r>
    </w:p>
    <w:p w:rsidR="00770761" w:rsidRDefault="00455C34" w:rsidP="00455C34">
      <w:pPr>
        <w:jc w:val="both"/>
        <w:rPr>
          <w:iCs/>
          <w:lang w:val="fr-FR"/>
        </w:rPr>
      </w:pPr>
      <w:r w:rsidRPr="00FF6C2D">
        <w:rPr>
          <w:iCs/>
          <w:lang w:val="fr-FR"/>
        </w:rPr>
        <w:t xml:space="preserve">Le suivi-évaluation de la mise en œuvre des activités du projet </w:t>
      </w:r>
      <w:r w:rsidR="006D7F86">
        <w:rPr>
          <w:iCs/>
          <w:lang w:val="fr-FR"/>
        </w:rPr>
        <w:t>est</w:t>
      </w:r>
      <w:r w:rsidRPr="00FF6C2D">
        <w:rPr>
          <w:iCs/>
          <w:lang w:val="fr-FR"/>
        </w:rPr>
        <w:t xml:space="preserve"> assuré par la cellule de coordination du projet mais également dans le cadre du comité de pilotage</w:t>
      </w:r>
      <w:r w:rsidR="006D7F86">
        <w:rPr>
          <w:iCs/>
          <w:lang w:val="fr-FR"/>
        </w:rPr>
        <w:t>. Cette structure s´est réunie au mois d´Août passé et a approuvé les documents importants d</w:t>
      </w:r>
      <w:r w:rsidR="00266D04">
        <w:rPr>
          <w:iCs/>
          <w:lang w:val="fr-FR"/>
        </w:rPr>
        <w:t>u projet, tels que : i) les TDR du</w:t>
      </w:r>
      <w:r w:rsidR="006D7F86">
        <w:rPr>
          <w:iCs/>
          <w:lang w:val="fr-FR"/>
        </w:rPr>
        <w:t xml:space="preserve"> C</w:t>
      </w:r>
      <w:r w:rsidR="00266D04">
        <w:rPr>
          <w:iCs/>
          <w:lang w:val="fr-FR"/>
        </w:rPr>
        <w:t xml:space="preserve">omité de </w:t>
      </w:r>
      <w:r w:rsidR="006D7F86">
        <w:rPr>
          <w:iCs/>
          <w:lang w:val="fr-FR"/>
        </w:rPr>
        <w:t>P</w:t>
      </w:r>
      <w:r w:rsidR="00266D04">
        <w:rPr>
          <w:iCs/>
          <w:lang w:val="fr-FR"/>
        </w:rPr>
        <w:t>ilotage</w:t>
      </w:r>
      <w:r w:rsidR="006D7F86">
        <w:rPr>
          <w:iCs/>
          <w:lang w:val="fr-FR"/>
        </w:rPr>
        <w:t xml:space="preserve"> </w:t>
      </w:r>
      <w:r w:rsidR="00DF4A7E">
        <w:rPr>
          <w:iCs/>
          <w:lang w:val="fr-FR"/>
        </w:rPr>
        <w:t xml:space="preserve">(CP) </w:t>
      </w:r>
      <w:r w:rsidR="006D7F86">
        <w:rPr>
          <w:iCs/>
          <w:lang w:val="fr-FR"/>
        </w:rPr>
        <w:t>e</w:t>
      </w:r>
      <w:r w:rsidR="00A2736B">
        <w:rPr>
          <w:iCs/>
          <w:lang w:val="fr-FR"/>
        </w:rPr>
        <w:t>t de la Cellule de coordination</w:t>
      </w:r>
      <w:r w:rsidR="006D7F86">
        <w:rPr>
          <w:iCs/>
          <w:lang w:val="fr-FR"/>
        </w:rPr>
        <w:t xml:space="preserve">; ii) le rapport de la mission d´évaluation des banques et a autorisé d´entamer la négociation avec les deux banques (BAO et BDU); iii) le prolongement du délai du projet; iv) </w:t>
      </w:r>
      <w:r w:rsidR="00DF4A7E">
        <w:rPr>
          <w:iCs/>
          <w:lang w:val="fr-FR"/>
        </w:rPr>
        <w:t xml:space="preserve">la </w:t>
      </w:r>
      <w:r w:rsidR="006D7F86">
        <w:rPr>
          <w:iCs/>
          <w:lang w:val="fr-FR"/>
        </w:rPr>
        <w:t xml:space="preserve">réduction des membres </w:t>
      </w:r>
      <w:r w:rsidR="006D7F86">
        <w:rPr>
          <w:iCs/>
          <w:lang w:val="fr-FR"/>
        </w:rPr>
        <w:lastRenderedPageBreak/>
        <w:t>du CP, éliminant les membres des associations juvéniles ;</w:t>
      </w:r>
      <w:r w:rsidRPr="00FF6C2D">
        <w:rPr>
          <w:iCs/>
          <w:lang w:val="fr-FR"/>
        </w:rPr>
        <w:t xml:space="preserve"> </w:t>
      </w:r>
      <w:r w:rsidR="00D06652">
        <w:rPr>
          <w:iCs/>
          <w:lang w:val="fr-FR"/>
        </w:rPr>
        <w:t xml:space="preserve">v) </w:t>
      </w:r>
      <w:r w:rsidR="006D7F86">
        <w:rPr>
          <w:iCs/>
          <w:lang w:val="fr-FR"/>
        </w:rPr>
        <w:t xml:space="preserve">le rapport des activités du projet </w:t>
      </w:r>
      <w:r w:rsidRPr="00FF6C2D">
        <w:rPr>
          <w:iCs/>
          <w:lang w:val="fr-FR"/>
        </w:rPr>
        <w:t xml:space="preserve">en tenant compte des indicateurs définis pour chacun des résultats escomptés. </w:t>
      </w:r>
    </w:p>
    <w:p w:rsidR="00770761" w:rsidRDefault="00770761" w:rsidP="00455C34">
      <w:pPr>
        <w:jc w:val="both"/>
        <w:rPr>
          <w:iCs/>
          <w:lang w:val="fr-FR"/>
        </w:rPr>
      </w:pPr>
    </w:p>
    <w:p w:rsidR="00455C34" w:rsidRDefault="00D06652" w:rsidP="00455C34">
      <w:pPr>
        <w:jc w:val="both"/>
        <w:rPr>
          <w:iCs/>
          <w:lang w:val="fr-FR"/>
        </w:rPr>
      </w:pPr>
      <w:r>
        <w:rPr>
          <w:iCs/>
          <w:lang w:val="fr-FR"/>
        </w:rPr>
        <w:t>Les membres de la cellule de coordination du projet ont pris part à la sélection des jeunes candidats pour la formation en entrep</w:t>
      </w:r>
      <w:r w:rsidR="00A2736B">
        <w:rPr>
          <w:iCs/>
          <w:lang w:val="fr-FR"/>
        </w:rPr>
        <w:t>renariat, ils ont aussi intégré</w:t>
      </w:r>
      <w:r>
        <w:rPr>
          <w:iCs/>
          <w:lang w:val="fr-FR"/>
        </w:rPr>
        <w:t xml:space="preserve"> les missions d´information et de  sensibilisation organisée</w:t>
      </w:r>
      <w:r w:rsidR="00A2736B">
        <w:rPr>
          <w:iCs/>
          <w:lang w:val="fr-FR"/>
        </w:rPr>
        <w:t>s</w:t>
      </w:r>
      <w:r>
        <w:rPr>
          <w:iCs/>
          <w:lang w:val="fr-FR"/>
        </w:rPr>
        <w:t xml:space="preserve"> à Bissau et dans les régions. Ils ont accompagné les missions d´évaluation et de négociation avec les banques pour la gestion de ligne de crédit.</w:t>
      </w:r>
    </w:p>
    <w:p w:rsidR="00D06652" w:rsidRDefault="00D06652" w:rsidP="00455C34">
      <w:pPr>
        <w:jc w:val="both"/>
        <w:rPr>
          <w:iCs/>
          <w:lang w:val="fr-FR"/>
        </w:rPr>
      </w:pPr>
      <w:r>
        <w:rPr>
          <w:iCs/>
          <w:lang w:val="fr-FR"/>
        </w:rPr>
        <w:t>Tous les rapports des consultants sont fournis aux partenaires pour un meilleur suivi des activités du projet. Des rapports mensuels, trimestriels et annuels sont élaborés et transmis au</w:t>
      </w:r>
      <w:r w:rsidR="00AF51F3">
        <w:rPr>
          <w:iCs/>
          <w:lang w:val="fr-FR"/>
        </w:rPr>
        <w:t>x</w:t>
      </w:r>
      <w:r>
        <w:rPr>
          <w:iCs/>
          <w:lang w:val="fr-FR"/>
        </w:rPr>
        <w:t xml:space="preserve"> bailleurs de fonds sur l´évolution</w:t>
      </w:r>
      <w:r w:rsidR="00BF5EBA">
        <w:rPr>
          <w:iCs/>
          <w:lang w:val="fr-FR"/>
        </w:rPr>
        <w:t>,</w:t>
      </w:r>
      <w:r>
        <w:rPr>
          <w:iCs/>
          <w:lang w:val="fr-FR"/>
        </w:rPr>
        <w:t xml:space="preserve"> les progrès </w:t>
      </w:r>
      <w:r w:rsidR="00BF5EBA">
        <w:rPr>
          <w:iCs/>
          <w:lang w:val="fr-FR"/>
        </w:rPr>
        <w:t xml:space="preserve">et les difficultés </w:t>
      </w:r>
      <w:r>
        <w:rPr>
          <w:iCs/>
          <w:lang w:val="fr-FR"/>
        </w:rPr>
        <w:t>du projet.</w:t>
      </w:r>
    </w:p>
    <w:p w:rsidR="00D06652" w:rsidRDefault="00D06652" w:rsidP="00455C34">
      <w:pPr>
        <w:jc w:val="both"/>
        <w:rPr>
          <w:iCs/>
          <w:lang w:val="fr-FR"/>
        </w:rPr>
      </w:pPr>
    </w:p>
    <w:p w:rsidR="00D06652" w:rsidRDefault="00D06652" w:rsidP="00455C34">
      <w:pPr>
        <w:jc w:val="both"/>
        <w:rPr>
          <w:iCs/>
          <w:lang w:val="fr-FR"/>
        </w:rPr>
      </w:pPr>
    </w:p>
    <w:p w:rsidR="00B84623" w:rsidRDefault="004573B2" w:rsidP="00455C34">
      <w:pPr>
        <w:jc w:val="both"/>
        <w:rPr>
          <w:b/>
          <w:iCs/>
          <w:lang w:val="fr-FR"/>
        </w:rPr>
      </w:pPr>
      <w:r>
        <w:rPr>
          <w:b/>
          <w:iCs/>
          <w:lang w:val="fr-FR"/>
        </w:rPr>
        <w:t xml:space="preserve">3.4. </w:t>
      </w:r>
      <w:r w:rsidR="00B84623" w:rsidRPr="00B84623">
        <w:rPr>
          <w:b/>
          <w:iCs/>
          <w:lang w:val="fr-FR"/>
        </w:rPr>
        <w:t xml:space="preserve">Rapport </w:t>
      </w:r>
      <w:r w:rsidR="00B84623">
        <w:rPr>
          <w:b/>
          <w:iCs/>
          <w:lang w:val="fr-FR"/>
        </w:rPr>
        <w:t xml:space="preserve">sur diagnostic, </w:t>
      </w:r>
      <w:r w:rsidR="00B84623" w:rsidRPr="00B84623">
        <w:rPr>
          <w:b/>
          <w:iCs/>
          <w:lang w:val="fr-FR"/>
        </w:rPr>
        <w:t xml:space="preserve">évaluation et études conduites </w:t>
      </w:r>
    </w:p>
    <w:p w:rsidR="00B84623" w:rsidRPr="00B84623" w:rsidRDefault="00B84623" w:rsidP="00455C34">
      <w:pPr>
        <w:jc w:val="both"/>
        <w:rPr>
          <w:b/>
          <w:iCs/>
          <w:lang w:val="fr-FR"/>
        </w:rPr>
      </w:pPr>
    </w:p>
    <w:p w:rsidR="00E97D9C" w:rsidRDefault="00FA7E85" w:rsidP="00D915DE">
      <w:pPr>
        <w:autoSpaceDE w:val="0"/>
        <w:autoSpaceDN w:val="0"/>
        <w:adjustRightInd w:val="0"/>
        <w:spacing w:after="60"/>
        <w:jc w:val="both"/>
        <w:rPr>
          <w:lang w:val="fr-FR" w:eastAsia="ko-KR"/>
        </w:rPr>
      </w:pPr>
      <w:r w:rsidRPr="00830923">
        <w:rPr>
          <w:lang w:val="fr-FR"/>
        </w:rPr>
        <w:t xml:space="preserve">Le projet a réalisé deux évaluations des centres de formation et domaine de formation </w:t>
      </w:r>
      <w:r w:rsidR="00591545" w:rsidRPr="00830923">
        <w:rPr>
          <w:lang w:val="fr-FR"/>
        </w:rPr>
        <w:t xml:space="preserve">dans les filières et créneaux porteurs. Les évaluations ont permis </w:t>
      </w:r>
      <w:r w:rsidRPr="00830923">
        <w:rPr>
          <w:lang w:val="fr-FR"/>
        </w:rPr>
        <w:t xml:space="preserve"> </w:t>
      </w:r>
      <w:r w:rsidR="00830923" w:rsidRPr="00830923">
        <w:rPr>
          <w:lang w:val="fr-FR"/>
        </w:rPr>
        <w:t xml:space="preserve">de comprendre que </w:t>
      </w:r>
      <w:r w:rsidR="00830923" w:rsidRPr="00830923">
        <w:rPr>
          <w:lang w:val="fr-FR" w:eastAsia="ko-KR"/>
        </w:rPr>
        <w:t>les structures publiques d</w:t>
      </w:r>
      <w:r w:rsidR="009F589B">
        <w:rPr>
          <w:lang w:val="fr-FR" w:eastAsia="ko-KR"/>
        </w:rPr>
        <w:t>e</w:t>
      </w:r>
      <w:r w:rsidR="00830923" w:rsidRPr="00830923">
        <w:rPr>
          <w:lang w:val="fr-FR" w:eastAsia="ko-KR"/>
        </w:rPr>
        <w:t xml:space="preserve"> formation présentent beaucoup de déficiences pour une réalisation correcte des programmes, d</w:t>
      </w:r>
      <w:r w:rsidR="009F589B">
        <w:rPr>
          <w:lang w:val="fr-FR" w:eastAsia="ko-KR"/>
        </w:rPr>
        <w:t>û</w:t>
      </w:r>
      <w:r w:rsidR="00830923" w:rsidRPr="00830923">
        <w:rPr>
          <w:lang w:val="fr-FR" w:eastAsia="ko-KR"/>
        </w:rPr>
        <w:t xml:space="preserve"> à l’inexistence d’une politique et </w:t>
      </w:r>
      <w:r w:rsidR="009F589B">
        <w:rPr>
          <w:lang w:val="fr-FR" w:eastAsia="ko-KR"/>
        </w:rPr>
        <w:t xml:space="preserve">d’une </w:t>
      </w:r>
      <w:r w:rsidR="00830923" w:rsidRPr="00830923">
        <w:rPr>
          <w:lang w:val="fr-FR" w:eastAsia="ko-KR"/>
        </w:rPr>
        <w:t>stratégie en matière de formation technique et professionnelle, à l’absence de financement pour le fonctionnement et les investissements, l’inexistence de méthode de planification et de système de suivi évaluation des programmes et des formés, l’état de dégradation très avancé des locaux et des équipements et  les ressources humaines non motivées et non recyclées depuis plusieurs années</w:t>
      </w:r>
      <w:r w:rsidR="00830923">
        <w:rPr>
          <w:lang w:val="fr-FR" w:eastAsia="ko-KR"/>
        </w:rPr>
        <w:t>.</w:t>
      </w:r>
      <w:r w:rsidR="00D915DE">
        <w:rPr>
          <w:lang w:val="fr-FR" w:eastAsia="ko-KR"/>
        </w:rPr>
        <w:t xml:space="preserve"> </w:t>
      </w:r>
      <w:r w:rsidR="00E97D9C">
        <w:rPr>
          <w:lang w:val="fr-FR" w:eastAsia="ko-KR"/>
        </w:rPr>
        <w:t>Ce qui a obligé à faire une évaluation physique du Centre de formation industriel</w:t>
      </w:r>
      <w:r w:rsidR="00B7744E">
        <w:rPr>
          <w:lang w:val="fr-FR" w:eastAsia="ko-KR"/>
        </w:rPr>
        <w:t>l</w:t>
      </w:r>
      <w:r w:rsidR="00A2736B">
        <w:rPr>
          <w:lang w:val="fr-FR" w:eastAsia="ko-KR"/>
        </w:rPr>
        <w:t>e</w:t>
      </w:r>
      <w:r w:rsidR="00E97D9C">
        <w:rPr>
          <w:lang w:val="fr-FR" w:eastAsia="ko-KR"/>
        </w:rPr>
        <w:t xml:space="preserve"> et sa réhabilitation et garantir ainsi la formation des jeunes bénéficiaires du projet.   </w:t>
      </w:r>
    </w:p>
    <w:p w:rsidR="00E97D9C" w:rsidRDefault="00E97D9C" w:rsidP="00D915DE">
      <w:pPr>
        <w:autoSpaceDE w:val="0"/>
        <w:autoSpaceDN w:val="0"/>
        <w:adjustRightInd w:val="0"/>
        <w:spacing w:after="60"/>
        <w:jc w:val="both"/>
        <w:rPr>
          <w:lang w:val="fr-FR" w:eastAsia="ko-KR"/>
        </w:rPr>
      </w:pPr>
    </w:p>
    <w:p w:rsidR="00830923" w:rsidRDefault="00B84623" w:rsidP="00D915DE">
      <w:pPr>
        <w:autoSpaceDE w:val="0"/>
        <w:autoSpaceDN w:val="0"/>
        <w:adjustRightInd w:val="0"/>
        <w:spacing w:after="60"/>
        <w:jc w:val="both"/>
        <w:rPr>
          <w:lang w:val="fr-FR" w:eastAsia="ko-KR"/>
        </w:rPr>
      </w:pPr>
      <w:r>
        <w:rPr>
          <w:lang w:val="fr-FR" w:eastAsia="ko-KR"/>
        </w:rPr>
        <w:t xml:space="preserve">Les rapports constatent pourtant </w:t>
      </w:r>
      <w:r w:rsidR="007B4000">
        <w:rPr>
          <w:lang w:val="fr-FR" w:eastAsia="ko-KR"/>
        </w:rPr>
        <w:t>qu</w:t>
      </w:r>
      <w:r w:rsidR="00B25B40">
        <w:rPr>
          <w:lang w:val="fr-FR" w:eastAsia="ko-KR"/>
        </w:rPr>
        <w:t>’</w:t>
      </w:r>
      <w:r w:rsidR="00830923" w:rsidRPr="00830923">
        <w:rPr>
          <w:lang w:val="fr-FR" w:eastAsia="ko-KR"/>
        </w:rPr>
        <w:t>une offre de plus en plus importante est en</w:t>
      </w:r>
      <w:r w:rsidR="00B25B40">
        <w:rPr>
          <w:lang w:val="fr-FR" w:eastAsia="ko-KR"/>
        </w:rPr>
        <w:t xml:space="preserve"> </w:t>
      </w:r>
      <w:r w:rsidR="00830923" w:rsidRPr="00830923">
        <w:rPr>
          <w:lang w:val="fr-FR" w:eastAsia="ko-KR"/>
        </w:rPr>
        <w:t>train d’apparaître au niveau du secteur privé pour pallier l’absence d’offre</w:t>
      </w:r>
      <w:r w:rsidR="007B4000">
        <w:rPr>
          <w:lang w:val="fr-FR" w:eastAsia="ko-KR"/>
        </w:rPr>
        <w:t>s</w:t>
      </w:r>
      <w:r w:rsidR="00830923" w:rsidRPr="00830923">
        <w:rPr>
          <w:lang w:val="fr-FR" w:eastAsia="ko-KR"/>
        </w:rPr>
        <w:t xml:space="preserve"> de formation provenant des institutions nationales et face à une demande en constante évolution. </w:t>
      </w:r>
      <w:r w:rsidR="007B4000">
        <w:rPr>
          <w:lang w:val="fr-FR" w:eastAsia="ko-KR"/>
        </w:rPr>
        <w:t xml:space="preserve">Par ailleurs, il est également constaté que </w:t>
      </w:r>
      <w:r w:rsidR="00830923" w:rsidRPr="00830923">
        <w:rPr>
          <w:lang w:val="fr-FR" w:eastAsia="ko-KR"/>
        </w:rPr>
        <w:t xml:space="preserve">les différentes institutions publiques comme privées offrent les mêmes types de formations. Ce qui fait que l’offre est assez monotone et mérite d’être diversifiées. </w:t>
      </w:r>
    </w:p>
    <w:p w:rsidR="00D915DE" w:rsidRPr="00BA2562" w:rsidRDefault="00D915DE" w:rsidP="00D915DE">
      <w:pPr>
        <w:autoSpaceDE w:val="0"/>
        <w:autoSpaceDN w:val="0"/>
        <w:adjustRightInd w:val="0"/>
        <w:spacing w:after="60"/>
        <w:jc w:val="both"/>
        <w:rPr>
          <w:lang w:val="fr-FR" w:eastAsia="ko-KR"/>
        </w:rPr>
      </w:pPr>
    </w:p>
    <w:p w:rsidR="00830923" w:rsidRDefault="006624D6" w:rsidP="00830923">
      <w:pPr>
        <w:autoSpaceDE w:val="0"/>
        <w:autoSpaceDN w:val="0"/>
        <w:adjustRightInd w:val="0"/>
        <w:spacing w:after="60"/>
        <w:jc w:val="both"/>
        <w:rPr>
          <w:bCs/>
          <w:lang w:val="fr-FR"/>
        </w:rPr>
      </w:pPr>
      <w:r w:rsidRPr="00BA2562">
        <w:rPr>
          <w:bCs/>
          <w:lang w:val="fr-FR"/>
        </w:rPr>
        <w:t xml:space="preserve">L’étude sur les filières et les </w:t>
      </w:r>
      <w:r w:rsidR="007B4000">
        <w:rPr>
          <w:bCs/>
          <w:lang w:val="fr-FR"/>
        </w:rPr>
        <w:t>créneaux a permis de procéder au</w:t>
      </w:r>
      <w:r w:rsidRPr="00BA2562">
        <w:rPr>
          <w:bCs/>
          <w:lang w:val="fr-FR"/>
        </w:rPr>
        <w:t xml:space="preserve"> diagnostic et </w:t>
      </w:r>
      <w:r w:rsidR="00B25B40">
        <w:rPr>
          <w:bCs/>
          <w:lang w:val="fr-FR"/>
        </w:rPr>
        <w:t>à</w:t>
      </w:r>
      <w:r w:rsidR="007B4000">
        <w:rPr>
          <w:bCs/>
          <w:lang w:val="fr-FR"/>
        </w:rPr>
        <w:t xml:space="preserve"> </w:t>
      </w:r>
      <w:r w:rsidRPr="00BA2562">
        <w:rPr>
          <w:bCs/>
          <w:lang w:val="fr-FR"/>
        </w:rPr>
        <w:t>l’analyse du marché de l’emploi, des métiers porteurs pour finalement aboutir à l’identification des métiers et créneaux porteurs et à la sélection des domaines de formation.  Il a été identifié huit catégories d’activités et une trentaine de niche et créneaux générateurs de revenus et de création de micros et petites entreprises. Elle a permis de suggérer la mise en place d’un système de formation modulaire au niveau de secteur de la formation professionnel</w:t>
      </w:r>
      <w:r w:rsidR="007B4000">
        <w:rPr>
          <w:bCs/>
          <w:lang w:val="fr-FR"/>
        </w:rPr>
        <w:t>le</w:t>
      </w:r>
      <w:r w:rsidRPr="00BA2562">
        <w:rPr>
          <w:bCs/>
          <w:lang w:val="fr-FR"/>
        </w:rPr>
        <w:t xml:space="preserve"> </w:t>
      </w:r>
      <w:r w:rsidR="00BA2562" w:rsidRPr="00BA2562">
        <w:rPr>
          <w:bCs/>
          <w:lang w:val="fr-FR"/>
        </w:rPr>
        <w:t xml:space="preserve">pour répondre à des besoins que ses activités requièrent.  </w:t>
      </w:r>
      <w:r w:rsidRPr="00BA2562">
        <w:rPr>
          <w:bCs/>
          <w:lang w:val="fr-FR"/>
        </w:rPr>
        <w:t xml:space="preserve">  </w:t>
      </w:r>
    </w:p>
    <w:p w:rsidR="00830923" w:rsidRPr="00830923" w:rsidRDefault="00830923" w:rsidP="00830923">
      <w:pPr>
        <w:autoSpaceDE w:val="0"/>
        <w:autoSpaceDN w:val="0"/>
        <w:adjustRightInd w:val="0"/>
        <w:spacing w:after="60"/>
        <w:jc w:val="both"/>
        <w:rPr>
          <w:lang w:val="fr-FR" w:eastAsia="ko-KR"/>
        </w:rPr>
      </w:pPr>
    </w:p>
    <w:p w:rsidR="00591545" w:rsidRDefault="00BA2562" w:rsidP="00ED6A03">
      <w:pPr>
        <w:jc w:val="both"/>
        <w:rPr>
          <w:lang w:val="fr-FR"/>
        </w:rPr>
      </w:pPr>
      <w:r>
        <w:rPr>
          <w:lang w:val="fr-FR"/>
        </w:rPr>
        <w:t xml:space="preserve">Une </w:t>
      </w:r>
      <w:r w:rsidR="00FA7E85">
        <w:rPr>
          <w:lang w:val="fr-FR"/>
        </w:rPr>
        <w:t xml:space="preserve">mission de cadrage </w:t>
      </w:r>
      <w:r>
        <w:rPr>
          <w:lang w:val="fr-FR"/>
        </w:rPr>
        <w:t>du BIT a été réalisée et elle a permis  d’apport</w:t>
      </w:r>
      <w:r w:rsidR="00E97D9C">
        <w:rPr>
          <w:lang w:val="fr-FR"/>
        </w:rPr>
        <w:t>er des propositions sur la stratégie de mise en œuvre du projet</w:t>
      </w:r>
      <w:r>
        <w:rPr>
          <w:lang w:val="fr-FR"/>
        </w:rPr>
        <w:t xml:space="preserve"> </w:t>
      </w:r>
      <w:r w:rsidR="00FA7E85">
        <w:rPr>
          <w:lang w:val="fr-FR"/>
        </w:rPr>
        <w:t xml:space="preserve">et </w:t>
      </w:r>
      <w:r w:rsidR="00E97D9C">
        <w:rPr>
          <w:lang w:val="fr-FR"/>
        </w:rPr>
        <w:t xml:space="preserve">les éléments stratégiques en termes de </w:t>
      </w:r>
      <w:r>
        <w:rPr>
          <w:lang w:val="fr-FR"/>
        </w:rPr>
        <w:t xml:space="preserve">formation dans le domaine </w:t>
      </w:r>
      <w:r w:rsidR="00E97D9C">
        <w:rPr>
          <w:lang w:val="fr-FR"/>
        </w:rPr>
        <w:t>de création</w:t>
      </w:r>
      <w:r>
        <w:rPr>
          <w:lang w:val="fr-FR"/>
        </w:rPr>
        <w:t xml:space="preserve"> et gestion des entreprises</w:t>
      </w:r>
      <w:r w:rsidR="00E97D9C">
        <w:rPr>
          <w:lang w:val="fr-FR"/>
        </w:rPr>
        <w:t xml:space="preserve"> et financement par les banques partenaire des jeunes entrepreneurs. </w:t>
      </w:r>
    </w:p>
    <w:p w:rsidR="00770761" w:rsidRDefault="00770761" w:rsidP="00ED6A03">
      <w:pPr>
        <w:jc w:val="both"/>
        <w:rPr>
          <w:lang w:val="fr-FR"/>
        </w:rPr>
      </w:pPr>
    </w:p>
    <w:p w:rsidR="00770761" w:rsidRDefault="00770761" w:rsidP="00ED6A03">
      <w:pPr>
        <w:jc w:val="both"/>
        <w:rPr>
          <w:lang w:val="fr-FR"/>
        </w:rPr>
      </w:pPr>
      <w:r>
        <w:rPr>
          <w:lang w:val="fr-FR"/>
        </w:rPr>
        <w:t xml:space="preserve">En Juin 2009, une mission a </w:t>
      </w:r>
      <w:r w:rsidR="00366B67">
        <w:rPr>
          <w:lang w:val="fr-FR"/>
        </w:rPr>
        <w:t>réalisé</w:t>
      </w:r>
      <w:r>
        <w:rPr>
          <w:lang w:val="fr-FR"/>
        </w:rPr>
        <w:t xml:space="preserve"> l´</w:t>
      </w:r>
      <w:r w:rsidR="00366B67">
        <w:rPr>
          <w:lang w:val="fr-FR"/>
        </w:rPr>
        <w:t>évaluation</w:t>
      </w:r>
      <w:r>
        <w:rPr>
          <w:lang w:val="fr-FR"/>
        </w:rPr>
        <w:t xml:space="preserve"> des institutions </w:t>
      </w:r>
      <w:r w:rsidR="00366B67">
        <w:rPr>
          <w:lang w:val="fr-FR"/>
        </w:rPr>
        <w:t>financières</w:t>
      </w:r>
      <w:r>
        <w:rPr>
          <w:lang w:val="fr-FR"/>
        </w:rPr>
        <w:t xml:space="preserve"> – banques susceptibles de pouvoir </w:t>
      </w:r>
      <w:r w:rsidR="00366B67">
        <w:rPr>
          <w:lang w:val="fr-FR"/>
        </w:rPr>
        <w:t>gérer</w:t>
      </w:r>
      <w:r>
        <w:rPr>
          <w:lang w:val="fr-FR"/>
        </w:rPr>
        <w:t xml:space="preserve"> la ligne de </w:t>
      </w:r>
      <w:r w:rsidR="00366B67">
        <w:rPr>
          <w:lang w:val="fr-FR"/>
        </w:rPr>
        <w:t>crédit</w:t>
      </w:r>
      <w:r>
        <w:rPr>
          <w:lang w:val="fr-FR"/>
        </w:rPr>
        <w:t xml:space="preserve"> pour l’emploi des jeunes en Guinée-Bissau.</w:t>
      </w:r>
      <w:r w:rsidR="007A0503">
        <w:rPr>
          <w:lang w:val="fr-FR"/>
        </w:rPr>
        <w:t xml:space="preserve"> </w:t>
      </w:r>
    </w:p>
    <w:p w:rsidR="007A0503" w:rsidRDefault="007A0503" w:rsidP="007A0503">
      <w:pPr>
        <w:pStyle w:val="BodyText"/>
        <w:rPr>
          <w:rFonts w:ascii="Times New Roman" w:hAnsi="Times New Roman"/>
          <w:color w:val="000000"/>
          <w:sz w:val="24"/>
          <w:lang w:val="fr-FR"/>
        </w:rPr>
      </w:pPr>
      <w:r w:rsidRPr="007A0503">
        <w:rPr>
          <w:rFonts w:ascii="Times New Roman" w:hAnsi="Times New Roman"/>
          <w:color w:val="000000"/>
          <w:sz w:val="24"/>
          <w:lang w:val="fr-FR"/>
        </w:rPr>
        <w:t>Pour le choix des banques, il a été pr</w:t>
      </w:r>
      <w:r w:rsidR="007B4000">
        <w:rPr>
          <w:rFonts w:ascii="Times New Roman" w:hAnsi="Times New Roman"/>
          <w:color w:val="000000"/>
          <w:sz w:val="24"/>
          <w:lang w:val="fr-FR"/>
        </w:rPr>
        <w:t>is en compte des critères tel</w:t>
      </w:r>
      <w:r w:rsidR="00B25B40">
        <w:rPr>
          <w:rFonts w:ascii="Times New Roman" w:hAnsi="Times New Roman"/>
          <w:color w:val="000000"/>
          <w:sz w:val="24"/>
          <w:lang w:val="fr-FR"/>
        </w:rPr>
        <w:t>s que</w:t>
      </w:r>
      <w:r w:rsidRPr="007A0503">
        <w:rPr>
          <w:rFonts w:ascii="Times New Roman" w:hAnsi="Times New Roman"/>
          <w:color w:val="000000"/>
          <w:sz w:val="24"/>
          <w:lang w:val="fr-FR"/>
        </w:rPr>
        <w:t xml:space="preserve"> l’</w:t>
      </w:r>
      <w:r w:rsidRPr="007A0503">
        <w:rPr>
          <w:rFonts w:ascii="Times New Roman" w:hAnsi="Times New Roman"/>
          <w:bCs/>
          <w:color w:val="000000"/>
          <w:sz w:val="24"/>
          <w:lang w:val="fr-FR"/>
        </w:rPr>
        <w:t xml:space="preserve">expérience des banques dans le domaine de financement des jeunes, leurs structure organisationnelle et </w:t>
      </w:r>
      <w:r w:rsidRPr="007A0503">
        <w:rPr>
          <w:rFonts w:ascii="Times New Roman" w:hAnsi="Times New Roman"/>
          <w:bCs/>
          <w:color w:val="000000"/>
          <w:sz w:val="24"/>
          <w:lang w:val="fr-FR"/>
        </w:rPr>
        <w:lastRenderedPageBreak/>
        <w:t xml:space="preserve">financière, des modalités de mise en œuvre du fonds, leurs méthodologie de suivi des dossiers, la forme de sécurisation des risques liés au prêt, la gamme des produits offerts par la banque pour la cible précitée, le taux d’intérêt </w:t>
      </w:r>
      <w:r w:rsidRPr="007A0503">
        <w:rPr>
          <w:rFonts w:ascii="Times New Roman" w:hAnsi="Times New Roman"/>
          <w:color w:val="000000"/>
          <w:sz w:val="24"/>
          <w:lang w:val="fr-FR"/>
        </w:rPr>
        <w:t>à appliquer pour le financement des fonds du PNUD, les conditions d’engagement financie</w:t>
      </w:r>
      <w:r w:rsidR="00B25B40">
        <w:rPr>
          <w:rFonts w:ascii="Times New Roman" w:hAnsi="Times New Roman"/>
          <w:color w:val="000000"/>
          <w:sz w:val="24"/>
          <w:lang w:val="fr-FR"/>
        </w:rPr>
        <w:t>r</w:t>
      </w:r>
      <w:r w:rsidRPr="007A0503">
        <w:rPr>
          <w:rFonts w:ascii="Times New Roman" w:hAnsi="Times New Roman"/>
          <w:color w:val="000000"/>
          <w:sz w:val="24"/>
          <w:lang w:val="fr-FR"/>
        </w:rPr>
        <w:t xml:space="preserve"> de la banque, les modalités d’ouverture de dossiers ainsi que les frais de gestion, entre autres.</w:t>
      </w:r>
    </w:p>
    <w:p w:rsidR="007A0503" w:rsidRPr="007A0503" w:rsidRDefault="007A0503" w:rsidP="007A0503">
      <w:pPr>
        <w:pStyle w:val="BodyText"/>
        <w:rPr>
          <w:rFonts w:ascii="Times New Roman" w:hAnsi="Times New Roman"/>
          <w:color w:val="000000"/>
          <w:sz w:val="24"/>
          <w:lang w:val="fr-FR"/>
        </w:rPr>
      </w:pPr>
      <w:r>
        <w:rPr>
          <w:rFonts w:ascii="Times New Roman" w:hAnsi="Times New Roman"/>
          <w:color w:val="000000"/>
          <w:sz w:val="24"/>
          <w:lang w:val="fr-FR"/>
        </w:rPr>
        <w:t xml:space="preserve">Cette mission a recommandé le choix de la BAO et </w:t>
      </w:r>
      <w:r w:rsidR="00B25B40">
        <w:rPr>
          <w:rFonts w:ascii="Times New Roman" w:hAnsi="Times New Roman"/>
          <w:color w:val="000000"/>
          <w:sz w:val="24"/>
          <w:lang w:val="fr-FR"/>
        </w:rPr>
        <w:t xml:space="preserve">de </w:t>
      </w:r>
      <w:r>
        <w:rPr>
          <w:rFonts w:ascii="Times New Roman" w:hAnsi="Times New Roman"/>
          <w:color w:val="000000"/>
          <w:sz w:val="24"/>
          <w:lang w:val="fr-FR"/>
        </w:rPr>
        <w:t>la BDU pour entamer les négociations, en vue de la signature d´une convention de partenariat pour la gestion de ligne de crédit.</w:t>
      </w:r>
      <w:r w:rsidR="0024311C">
        <w:rPr>
          <w:rFonts w:ascii="Times New Roman" w:hAnsi="Times New Roman"/>
          <w:color w:val="000000"/>
          <w:sz w:val="24"/>
          <w:lang w:val="fr-FR"/>
        </w:rPr>
        <w:t xml:space="preserve"> </w:t>
      </w:r>
    </w:p>
    <w:p w:rsidR="0053151E" w:rsidRPr="00455C34" w:rsidRDefault="0053151E" w:rsidP="00455C34">
      <w:pPr>
        <w:rPr>
          <w:lang w:val="fr-FR"/>
        </w:rPr>
      </w:pPr>
    </w:p>
    <w:p w:rsidR="0095047F" w:rsidRPr="009D5B6A" w:rsidRDefault="00C4625A" w:rsidP="00A80FF3">
      <w:pPr>
        <w:pStyle w:val="ListParagraph"/>
        <w:numPr>
          <w:ilvl w:val="0"/>
          <w:numId w:val="8"/>
        </w:numPr>
        <w:rPr>
          <w:b/>
          <w:sz w:val="28"/>
          <w:szCs w:val="28"/>
          <w:lang w:val="fr-FR"/>
        </w:rPr>
      </w:pPr>
      <w:r w:rsidRPr="009D5B6A">
        <w:rPr>
          <w:b/>
          <w:sz w:val="28"/>
          <w:szCs w:val="28"/>
          <w:lang w:val="fr-FR"/>
        </w:rPr>
        <w:t xml:space="preserve">Résultats </w:t>
      </w:r>
      <w:r w:rsidR="00501E50" w:rsidRPr="009D5B6A">
        <w:rPr>
          <w:b/>
          <w:sz w:val="28"/>
          <w:szCs w:val="28"/>
          <w:lang w:val="fr-FR"/>
        </w:rPr>
        <w:t>et activités réalisées</w:t>
      </w:r>
    </w:p>
    <w:p w:rsidR="00501E50" w:rsidRDefault="00501E50" w:rsidP="00501E50">
      <w:pPr>
        <w:rPr>
          <w:b/>
          <w:lang w:val="fr-FR"/>
        </w:rPr>
      </w:pPr>
    </w:p>
    <w:p w:rsidR="00B84623" w:rsidRDefault="00B84623" w:rsidP="00501E50">
      <w:pPr>
        <w:rPr>
          <w:b/>
          <w:lang w:val="fr-FR"/>
        </w:rPr>
      </w:pPr>
    </w:p>
    <w:p w:rsidR="00B84623" w:rsidRDefault="004573B2" w:rsidP="00501E50">
      <w:pPr>
        <w:rPr>
          <w:b/>
          <w:lang w:val="fr-FR"/>
        </w:rPr>
      </w:pPr>
      <w:r>
        <w:rPr>
          <w:b/>
          <w:lang w:val="fr-FR"/>
        </w:rPr>
        <w:t xml:space="preserve">4.1. </w:t>
      </w:r>
      <w:r w:rsidR="00B84623">
        <w:rPr>
          <w:b/>
          <w:lang w:val="fr-FR"/>
        </w:rPr>
        <w:t>Résumé des progrès par rapport aux produits</w:t>
      </w:r>
    </w:p>
    <w:p w:rsidR="00B84623" w:rsidRDefault="00B84623" w:rsidP="00501E50">
      <w:pPr>
        <w:rPr>
          <w:b/>
          <w:lang w:val="fr-FR"/>
        </w:rPr>
      </w:pPr>
      <w:r>
        <w:rPr>
          <w:b/>
          <w:lang w:val="fr-FR"/>
        </w:rPr>
        <w:t xml:space="preserve"> </w:t>
      </w:r>
    </w:p>
    <w:p w:rsidR="00ED6A03" w:rsidRDefault="00ED6A03" w:rsidP="00ED6A03">
      <w:pPr>
        <w:jc w:val="both"/>
        <w:rPr>
          <w:lang w:val="fr-FR"/>
        </w:rPr>
      </w:pPr>
      <w:r>
        <w:rPr>
          <w:lang w:val="fr-FR"/>
        </w:rPr>
        <w:t>Les études déjà faites sur les capacités des institutions de formation et leurs domaines de formation et sur la structure de marché de l’emploi et les filières porteurs étaient des préalables à  la réalisation des quatre des cinq produits du projet à savoir, le développement des capacités  de</w:t>
      </w:r>
      <w:r w:rsidR="007B4000">
        <w:rPr>
          <w:lang w:val="fr-FR"/>
        </w:rPr>
        <w:t xml:space="preserve">s </w:t>
      </w:r>
      <w:r>
        <w:rPr>
          <w:lang w:val="fr-FR"/>
        </w:rPr>
        <w:t>institutions publiques chargées de la formation professionnel</w:t>
      </w:r>
      <w:r w:rsidR="007B4000">
        <w:rPr>
          <w:lang w:val="fr-FR"/>
        </w:rPr>
        <w:t>le</w:t>
      </w:r>
      <w:r>
        <w:rPr>
          <w:lang w:val="fr-FR"/>
        </w:rPr>
        <w:t xml:space="preserve"> et de la jeunesse, le renforcement des capacités  des institution</w:t>
      </w:r>
      <w:r w:rsidR="007B4000">
        <w:rPr>
          <w:lang w:val="fr-FR"/>
        </w:rPr>
        <w:t>s</w:t>
      </w:r>
      <w:r>
        <w:rPr>
          <w:lang w:val="fr-FR"/>
        </w:rPr>
        <w:t xml:space="preserve"> de formation et la sensibilisation des jeu</w:t>
      </w:r>
      <w:r w:rsidR="007B4000">
        <w:rPr>
          <w:lang w:val="fr-FR"/>
        </w:rPr>
        <w:t>nes sur les métiers et</w:t>
      </w:r>
      <w:r>
        <w:rPr>
          <w:lang w:val="fr-FR"/>
        </w:rPr>
        <w:t xml:space="preserve"> offre</w:t>
      </w:r>
      <w:r w:rsidR="007B4000">
        <w:rPr>
          <w:lang w:val="fr-FR"/>
        </w:rPr>
        <w:t>s</w:t>
      </w:r>
      <w:r>
        <w:rPr>
          <w:lang w:val="fr-FR"/>
        </w:rPr>
        <w:t xml:space="preserve"> d’emploi et la formation professionnel</w:t>
      </w:r>
      <w:r w:rsidR="007B4000">
        <w:rPr>
          <w:lang w:val="fr-FR"/>
        </w:rPr>
        <w:t>le</w:t>
      </w:r>
      <w:r>
        <w:rPr>
          <w:lang w:val="fr-FR"/>
        </w:rPr>
        <w:t xml:space="preserve"> des jeunes activités préalables. Certains activités  déjà réalisées ou initiées</w:t>
      </w:r>
      <w:r w:rsidR="00BD2BAA" w:rsidRPr="00BD2BAA">
        <w:rPr>
          <w:lang w:val="fr-FR"/>
        </w:rPr>
        <w:t xml:space="preserve"> </w:t>
      </w:r>
      <w:r w:rsidR="00BD2BAA">
        <w:rPr>
          <w:lang w:val="fr-FR"/>
        </w:rPr>
        <w:t>en dépendaient aussi</w:t>
      </w:r>
      <w:r>
        <w:rPr>
          <w:lang w:val="fr-FR"/>
        </w:rPr>
        <w:t xml:space="preserve">, </w:t>
      </w:r>
      <w:r w:rsidR="00BD2BAA">
        <w:rPr>
          <w:lang w:val="fr-FR"/>
        </w:rPr>
        <w:t xml:space="preserve">notamment celles </w:t>
      </w:r>
      <w:r>
        <w:rPr>
          <w:lang w:val="fr-FR"/>
        </w:rPr>
        <w:t xml:space="preserve">liés à la formation aux jeunes et agents en charge de la gestion des institutions de </w:t>
      </w:r>
      <w:r w:rsidR="007B4000">
        <w:rPr>
          <w:lang w:val="fr-FR"/>
        </w:rPr>
        <w:t xml:space="preserve">formation et des jeunes, aux  </w:t>
      </w:r>
      <w:r>
        <w:rPr>
          <w:lang w:val="fr-FR"/>
        </w:rPr>
        <w:t xml:space="preserve">achats des équipements, à l’assistance technique aux institutions de formation. </w:t>
      </w:r>
    </w:p>
    <w:p w:rsidR="00ED6A03" w:rsidRDefault="00ED6A03" w:rsidP="00ED6A03">
      <w:pPr>
        <w:jc w:val="both"/>
        <w:rPr>
          <w:lang w:val="fr-FR"/>
        </w:rPr>
      </w:pPr>
    </w:p>
    <w:p w:rsidR="00ED6A03" w:rsidRPr="0097212C" w:rsidRDefault="00ED6A03" w:rsidP="00ED6A03">
      <w:pPr>
        <w:jc w:val="both"/>
        <w:rPr>
          <w:lang w:val="fr-FR"/>
        </w:rPr>
      </w:pPr>
      <w:r w:rsidRPr="0097212C">
        <w:rPr>
          <w:lang w:val="fr-FR"/>
        </w:rPr>
        <w:t xml:space="preserve">Pourtant, le </w:t>
      </w:r>
      <w:r>
        <w:rPr>
          <w:lang w:val="fr-FR"/>
        </w:rPr>
        <w:t>produit</w:t>
      </w:r>
      <w:r w:rsidRPr="0097212C">
        <w:rPr>
          <w:lang w:val="fr-FR"/>
        </w:rPr>
        <w:t xml:space="preserve"> concernant </w:t>
      </w:r>
      <w:r w:rsidR="007B4000">
        <w:rPr>
          <w:lang w:val="fr-FR"/>
        </w:rPr>
        <w:t>le</w:t>
      </w:r>
      <w:r w:rsidRPr="0097212C">
        <w:rPr>
          <w:lang w:val="fr-FR"/>
        </w:rPr>
        <w:t xml:space="preserve"> définition des modalités d’octroi de crédit, </w:t>
      </w:r>
      <w:r w:rsidR="007B4000">
        <w:rPr>
          <w:lang w:val="fr-FR"/>
        </w:rPr>
        <w:t>l´identification de</w:t>
      </w:r>
      <w:r w:rsidRPr="0097212C">
        <w:rPr>
          <w:lang w:val="fr-FR"/>
        </w:rPr>
        <w:t xml:space="preserve"> l’institution(s) financière(s) devant gérer les lignes de créd</w:t>
      </w:r>
      <w:r>
        <w:rPr>
          <w:lang w:val="fr-FR"/>
        </w:rPr>
        <w:t xml:space="preserve">its et </w:t>
      </w:r>
      <w:r w:rsidR="00B25B40">
        <w:rPr>
          <w:lang w:val="fr-FR"/>
        </w:rPr>
        <w:t>l’</w:t>
      </w:r>
      <w:r>
        <w:rPr>
          <w:lang w:val="fr-FR"/>
        </w:rPr>
        <w:t xml:space="preserve">établissement de partenariat </w:t>
      </w:r>
      <w:r w:rsidRPr="0097212C">
        <w:rPr>
          <w:lang w:val="fr-FR"/>
        </w:rPr>
        <w:t xml:space="preserve"> avec ces institutions</w:t>
      </w:r>
      <w:r>
        <w:rPr>
          <w:lang w:val="fr-FR"/>
        </w:rPr>
        <w:t xml:space="preserve"> est en phase initial</w:t>
      </w:r>
      <w:r w:rsidR="00B25B40">
        <w:rPr>
          <w:lang w:val="fr-FR"/>
        </w:rPr>
        <w:t>e d’exécution avec le</w:t>
      </w:r>
      <w:r>
        <w:rPr>
          <w:lang w:val="fr-FR"/>
        </w:rPr>
        <w:t xml:space="preserve"> recrutement d’un consultant national et la nomination d’un cadre national de la part du gouvernement pour mener l’évaluation des banques de la place et le choix de deux d’entre eux pour la gestion  de la ligne de crédit.  </w:t>
      </w:r>
      <w:r w:rsidRPr="005414F6">
        <w:rPr>
          <w:lang w:val="fr-FR"/>
        </w:rPr>
        <w:t>En parallèle,  la formation de 17</w:t>
      </w:r>
      <w:r w:rsidR="00554C55">
        <w:rPr>
          <w:lang w:val="fr-FR"/>
        </w:rPr>
        <w:t xml:space="preserve"> formateurs en Trie et 13 en Cree</w:t>
      </w:r>
      <w:r w:rsidR="00B25B40">
        <w:rPr>
          <w:lang w:val="fr-FR"/>
        </w:rPr>
        <w:t>,</w:t>
      </w:r>
      <w:r w:rsidRPr="005414F6">
        <w:rPr>
          <w:lang w:val="fr-FR"/>
        </w:rPr>
        <w:t xml:space="preserve"> création et gestion d’entreprise</w:t>
      </w:r>
      <w:r w:rsidR="00B25B40">
        <w:rPr>
          <w:lang w:val="fr-FR"/>
        </w:rPr>
        <w:t>,</w:t>
      </w:r>
      <w:r w:rsidRPr="005414F6">
        <w:rPr>
          <w:lang w:val="fr-FR"/>
        </w:rPr>
        <w:t xml:space="preserve"> a</w:t>
      </w:r>
      <w:r w:rsidR="00BD2BAA" w:rsidRPr="005414F6">
        <w:rPr>
          <w:lang w:val="fr-FR"/>
        </w:rPr>
        <w:t xml:space="preserve"> été réalisé</w:t>
      </w:r>
      <w:r w:rsidR="00B25B40">
        <w:rPr>
          <w:lang w:val="fr-FR"/>
        </w:rPr>
        <w:t>e</w:t>
      </w:r>
      <w:r w:rsidR="00BD2BAA" w:rsidRPr="005414F6">
        <w:rPr>
          <w:lang w:val="fr-FR"/>
        </w:rPr>
        <w:t xml:space="preserve"> et ont</w:t>
      </w:r>
      <w:r w:rsidR="00554C55">
        <w:rPr>
          <w:lang w:val="fr-FR"/>
        </w:rPr>
        <w:t xml:space="preserve"> </w:t>
      </w:r>
      <w:r w:rsidR="00554C55" w:rsidRPr="005414F6">
        <w:rPr>
          <w:lang w:val="fr-FR"/>
        </w:rPr>
        <w:t>aidé</w:t>
      </w:r>
      <w:r w:rsidRPr="005414F6">
        <w:rPr>
          <w:lang w:val="fr-FR"/>
        </w:rPr>
        <w:t xml:space="preserve"> </w:t>
      </w:r>
      <w:r w:rsidR="00B25B40">
        <w:rPr>
          <w:lang w:val="fr-FR"/>
        </w:rPr>
        <w:t xml:space="preserve">à </w:t>
      </w:r>
      <w:r w:rsidRPr="005414F6">
        <w:rPr>
          <w:lang w:val="fr-FR"/>
        </w:rPr>
        <w:t xml:space="preserve">encadrer les jeunes dans la formulation et la mise en œuvre des projets d’entreprises. </w:t>
      </w:r>
      <w:r w:rsidR="00BD2BAA" w:rsidRPr="005414F6">
        <w:rPr>
          <w:lang w:val="fr-FR"/>
        </w:rPr>
        <w:t>Un programme de formation des jeune</w:t>
      </w:r>
      <w:r w:rsidR="00554C55">
        <w:rPr>
          <w:lang w:val="fr-FR"/>
        </w:rPr>
        <w:t>s</w:t>
      </w:r>
      <w:r w:rsidR="00BD2BAA" w:rsidRPr="005414F6">
        <w:rPr>
          <w:lang w:val="fr-FR"/>
        </w:rPr>
        <w:t xml:space="preserve"> en formulation des projets </w:t>
      </w:r>
      <w:r w:rsidR="00554C55">
        <w:rPr>
          <w:lang w:val="fr-FR"/>
        </w:rPr>
        <w:t xml:space="preserve">Cree </w:t>
      </w:r>
      <w:r w:rsidR="00BD2BAA" w:rsidRPr="005414F6">
        <w:rPr>
          <w:lang w:val="fr-FR"/>
        </w:rPr>
        <w:t xml:space="preserve">et plan d’affaires </w:t>
      </w:r>
      <w:r w:rsidR="00554C55">
        <w:rPr>
          <w:lang w:val="fr-FR"/>
        </w:rPr>
        <w:t>a déjà été réalisé. 80 plans d´affaires des jeunes de Bissau sont déjà prêts pour le financement depuis le mois de Septembre 2009.  240 de Bissau et des régions sont en phase de finalisation</w:t>
      </w:r>
      <w:r w:rsidR="00BD2BAA" w:rsidRPr="005414F6">
        <w:rPr>
          <w:lang w:val="fr-FR"/>
        </w:rPr>
        <w:t>.</w:t>
      </w:r>
      <w:r w:rsidR="00BD2BAA">
        <w:rPr>
          <w:lang w:val="fr-FR"/>
        </w:rPr>
        <w:t xml:space="preserve"> </w:t>
      </w:r>
    </w:p>
    <w:p w:rsidR="00736FB1" w:rsidRDefault="00736FB1" w:rsidP="00501E50">
      <w:pPr>
        <w:rPr>
          <w:b/>
          <w:lang w:val="fr-FR"/>
        </w:rPr>
      </w:pPr>
    </w:p>
    <w:p w:rsidR="00736FB1" w:rsidRPr="00ED6A03" w:rsidRDefault="00736FB1" w:rsidP="00501E50">
      <w:pPr>
        <w:rPr>
          <w:b/>
          <w:lang w:val="fr-FR"/>
        </w:rPr>
      </w:pPr>
    </w:p>
    <w:p w:rsidR="00501E50" w:rsidRPr="009D5B6A" w:rsidRDefault="004573B2" w:rsidP="00501E50">
      <w:pPr>
        <w:widowControl w:val="0"/>
        <w:tabs>
          <w:tab w:val="left" w:pos="-720"/>
          <w:tab w:val="left" w:pos="4500"/>
        </w:tabs>
        <w:suppressAutoHyphens/>
        <w:rPr>
          <w:b/>
          <w:spacing w:val="-2"/>
          <w:lang w:val="fr-FR"/>
        </w:rPr>
      </w:pPr>
      <w:r>
        <w:rPr>
          <w:b/>
          <w:spacing w:val="-2"/>
          <w:lang w:val="fr-FR"/>
        </w:rPr>
        <w:t xml:space="preserve">4.2. </w:t>
      </w:r>
      <w:r w:rsidR="00501E50" w:rsidRPr="009D5B6A">
        <w:rPr>
          <w:b/>
          <w:spacing w:val="-2"/>
          <w:lang w:val="fr-FR"/>
        </w:rPr>
        <w:t>Développement des  capacités des institutions publiques en charge de la jeunesse et de la formation professionnelle développées.</w:t>
      </w:r>
    </w:p>
    <w:p w:rsidR="00501E50" w:rsidRPr="00501E50" w:rsidRDefault="00501E50" w:rsidP="00501E50">
      <w:pPr>
        <w:widowControl w:val="0"/>
        <w:tabs>
          <w:tab w:val="left" w:pos="-720"/>
          <w:tab w:val="left" w:pos="4500"/>
        </w:tabs>
        <w:suppressAutoHyphens/>
        <w:ind w:left="720"/>
        <w:rPr>
          <w:spacing w:val="-2"/>
          <w:lang w:val="fr-FR"/>
        </w:rPr>
      </w:pPr>
    </w:p>
    <w:p w:rsidR="003F7E64" w:rsidRDefault="00501E50" w:rsidP="003F7E64">
      <w:pPr>
        <w:jc w:val="both"/>
        <w:rPr>
          <w:lang w:val="fr-FR"/>
        </w:rPr>
      </w:pPr>
      <w:r w:rsidRPr="00501E50">
        <w:rPr>
          <w:lang w:val="fr-FR"/>
        </w:rPr>
        <w:t xml:space="preserve">L’évaluation des capacités des institutions nationales publiques chargées de la formation professionnelle a été faite avec l’appui du BIT. </w:t>
      </w:r>
      <w:r w:rsidR="003F7E64" w:rsidRPr="00501E50">
        <w:rPr>
          <w:lang w:val="fr-FR"/>
        </w:rPr>
        <w:t xml:space="preserve">Les équipements destinés aux institutions publiques en charge de la formation professionnelles et  de la jeunesse ont </w:t>
      </w:r>
      <w:r w:rsidR="00D03BA0">
        <w:rPr>
          <w:lang w:val="fr-FR"/>
        </w:rPr>
        <w:t>été</w:t>
      </w:r>
      <w:r w:rsidR="00951FD7">
        <w:rPr>
          <w:lang w:val="fr-FR"/>
        </w:rPr>
        <w:t xml:space="preserve"> remis à l’IFTP et l’INJ</w:t>
      </w:r>
      <w:r w:rsidR="00D03BA0">
        <w:rPr>
          <w:lang w:val="fr-FR"/>
        </w:rPr>
        <w:t>,</w:t>
      </w:r>
      <w:r w:rsidR="00951FD7">
        <w:rPr>
          <w:lang w:val="fr-FR"/>
        </w:rPr>
        <w:t xml:space="preserve"> ce qui leur </w:t>
      </w:r>
      <w:r w:rsidR="003F7E64" w:rsidRPr="00501E50">
        <w:rPr>
          <w:lang w:val="fr-FR"/>
        </w:rPr>
        <w:t>permettra d’améliorer leurs conditions de travail.</w:t>
      </w:r>
    </w:p>
    <w:p w:rsidR="00AE2DAA" w:rsidRDefault="00AE2DAA" w:rsidP="00501E50">
      <w:pPr>
        <w:jc w:val="both"/>
        <w:rPr>
          <w:lang w:val="fr-FR"/>
        </w:rPr>
      </w:pPr>
    </w:p>
    <w:p w:rsidR="002A3F8B" w:rsidRDefault="00951FD7" w:rsidP="00501E50">
      <w:pPr>
        <w:jc w:val="both"/>
        <w:rPr>
          <w:lang w:val="fr-FR"/>
        </w:rPr>
      </w:pPr>
      <w:r>
        <w:rPr>
          <w:lang w:val="fr-FR"/>
        </w:rPr>
        <w:t xml:space="preserve">Le </w:t>
      </w:r>
      <w:r w:rsidR="007554CA">
        <w:rPr>
          <w:lang w:val="fr-FR"/>
        </w:rPr>
        <w:t>ministè</w:t>
      </w:r>
      <w:r w:rsidR="007B4000">
        <w:rPr>
          <w:lang w:val="fr-FR"/>
        </w:rPr>
        <w:t>re</w:t>
      </w:r>
      <w:r>
        <w:rPr>
          <w:lang w:val="fr-FR"/>
        </w:rPr>
        <w:t xml:space="preserve"> a nommé un coordinateur pour le projet et a mis en place une cellule de Coordination du projet en cours de réhabilitation. Les</w:t>
      </w:r>
      <w:r w:rsidR="00501E50" w:rsidRPr="005414F6">
        <w:rPr>
          <w:lang w:val="fr-FR"/>
        </w:rPr>
        <w:t xml:space="preserve"> termes de références de la Cellule de Gestion du Projet  et  du Comité de Pilotage </w:t>
      </w:r>
      <w:r>
        <w:rPr>
          <w:lang w:val="fr-FR"/>
        </w:rPr>
        <w:t>(CP) ont étés approuvés</w:t>
      </w:r>
      <w:r w:rsidR="00081458">
        <w:rPr>
          <w:lang w:val="fr-FR"/>
        </w:rPr>
        <w:t>,</w:t>
      </w:r>
      <w:r>
        <w:rPr>
          <w:lang w:val="fr-FR"/>
        </w:rPr>
        <w:t xml:space="preserve"> </w:t>
      </w:r>
      <w:r w:rsidR="00081458">
        <w:rPr>
          <w:lang w:val="fr-FR"/>
        </w:rPr>
        <w:t xml:space="preserve">entre autres, </w:t>
      </w:r>
      <w:r>
        <w:rPr>
          <w:lang w:val="fr-FR"/>
        </w:rPr>
        <w:t>par la réunion du CP tenu</w:t>
      </w:r>
      <w:r w:rsidR="007554CA">
        <w:rPr>
          <w:lang w:val="fr-FR"/>
        </w:rPr>
        <w:t>e</w:t>
      </w:r>
      <w:r>
        <w:rPr>
          <w:lang w:val="fr-FR"/>
        </w:rPr>
        <w:t xml:space="preserve"> au mois d’Août </w:t>
      </w:r>
      <w:r w:rsidR="007B4000">
        <w:rPr>
          <w:lang w:val="fr-FR"/>
        </w:rPr>
        <w:t>20</w:t>
      </w:r>
      <w:r>
        <w:rPr>
          <w:lang w:val="fr-FR"/>
        </w:rPr>
        <w:t>09.</w:t>
      </w:r>
    </w:p>
    <w:p w:rsidR="002A3F8B" w:rsidRDefault="00501E50" w:rsidP="00501E50">
      <w:pPr>
        <w:jc w:val="both"/>
        <w:rPr>
          <w:lang w:val="fr-FR"/>
        </w:rPr>
      </w:pPr>
      <w:r w:rsidRPr="00501E50">
        <w:rPr>
          <w:lang w:val="fr-FR"/>
        </w:rPr>
        <w:lastRenderedPageBreak/>
        <w:t xml:space="preserve">  </w:t>
      </w:r>
    </w:p>
    <w:p w:rsidR="00F56A8B" w:rsidRDefault="00F56A8B" w:rsidP="00501E50">
      <w:pPr>
        <w:jc w:val="both"/>
        <w:rPr>
          <w:lang w:val="fr-FR"/>
        </w:rPr>
      </w:pPr>
    </w:p>
    <w:p w:rsidR="00501E50" w:rsidRPr="00501E50" w:rsidRDefault="002A3F8B" w:rsidP="00501E50">
      <w:pPr>
        <w:jc w:val="both"/>
        <w:rPr>
          <w:lang w:val="fr-FR"/>
        </w:rPr>
      </w:pPr>
      <w:r>
        <w:rPr>
          <w:lang w:val="fr-FR"/>
        </w:rPr>
        <w:t>Un</w:t>
      </w:r>
      <w:r w:rsidR="00501E50" w:rsidRPr="00501E50">
        <w:rPr>
          <w:lang w:val="fr-FR"/>
        </w:rPr>
        <w:t xml:space="preserve"> programme trimestrie</w:t>
      </w:r>
      <w:r w:rsidR="0075194A">
        <w:rPr>
          <w:lang w:val="fr-FR"/>
        </w:rPr>
        <w:t>l de formation professionnel</w:t>
      </w:r>
      <w:r w:rsidR="007B4000">
        <w:rPr>
          <w:lang w:val="fr-FR"/>
        </w:rPr>
        <w:t>le</w:t>
      </w:r>
      <w:r w:rsidR="0075194A">
        <w:rPr>
          <w:lang w:val="fr-FR"/>
        </w:rPr>
        <w:t xml:space="preserve"> a été</w:t>
      </w:r>
      <w:r w:rsidR="00501E50" w:rsidRPr="00501E50">
        <w:rPr>
          <w:lang w:val="fr-FR"/>
        </w:rPr>
        <w:t xml:space="preserve"> formulé en coopération avec l</w:t>
      </w:r>
      <w:r w:rsidR="00F56A8B">
        <w:rPr>
          <w:lang w:val="fr-FR"/>
        </w:rPr>
        <w:t xml:space="preserve">es partenaires gouvernementaux </w:t>
      </w:r>
      <w:r w:rsidR="00501E50" w:rsidRPr="00501E50">
        <w:rPr>
          <w:lang w:val="fr-FR"/>
        </w:rPr>
        <w:t xml:space="preserve">et sera </w:t>
      </w:r>
      <w:r w:rsidR="00F56A8B">
        <w:rPr>
          <w:lang w:val="fr-FR"/>
        </w:rPr>
        <w:t>exécuté</w:t>
      </w:r>
      <w:r w:rsidR="0075194A">
        <w:rPr>
          <w:lang w:val="fr-FR"/>
        </w:rPr>
        <w:t xml:space="preserve"> de mai à</w:t>
      </w:r>
      <w:r w:rsidR="00F56A8B">
        <w:rPr>
          <w:lang w:val="fr-FR"/>
        </w:rPr>
        <w:t xml:space="preserve"> juillet avec le concours des centres de  </w:t>
      </w:r>
      <w:r w:rsidR="0075194A">
        <w:rPr>
          <w:lang w:val="fr-FR"/>
        </w:rPr>
        <w:t>formation publics et privés choisis.</w:t>
      </w:r>
      <w:r w:rsidR="00246172">
        <w:rPr>
          <w:lang w:val="fr-FR"/>
        </w:rPr>
        <w:t xml:space="preserve"> </w:t>
      </w:r>
    </w:p>
    <w:p w:rsidR="0053151E" w:rsidRPr="00BD3ACB" w:rsidRDefault="0053151E" w:rsidP="003F7E64">
      <w:pPr>
        <w:widowControl w:val="0"/>
        <w:tabs>
          <w:tab w:val="left" w:pos="-720"/>
          <w:tab w:val="left" w:pos="4500"/>
        </w:tabs>
        <w:suppressAutoHyphens/>
        <w:rPr>
          <w:rFonts w:ascii="Arial Narrow" w:hAnsi="Arial Narrow"/>
          <w:spacing w:val="-2"/>
          <w:lang w:val="fr-FR"/>
        </w:rPr>
      </w:pPr>
    </w:p>
    <w:p w:rsidR="00501E50" w:rsidRPr="009D5B6A" w:rsidRDefault="004573B2" w:rsidP="003F7E64">
      <w:pPr>
        <w:widowControl w:val="0"/>
        <w:tabs>
          <w:tab w:val="left" w:pos="-720"/>
          <w:tab w:val="left" w:pos="4500"/>
        </w:tabs>
        <w:suppressAutoHyphens/>
        <w:rPr>
          <w:b/>
          <w:spacing w:val="-2"/>
          <w:lang w:val="fr-FR"/>
        </w:rPr>
      </w:pPr>
      <w:r>
        <w:rPr>
          <w:b/>
          <w:spacing w:val="-2"/>
          <w:lang w:val="fr-FR"/>
        </w:rPr>
        <w:t xml:space="preserve">4.3. </w:t>
      </w:r>
      <w:r w:rsidR="00501E50" w:rsidRPr="009D5B6A">
        <w:rPr>
          <w:b/>
          <w:spacing w:val="-2"/>
          <w:lang w:val="fr-FR"/>
        </w:rPr>
        <w:t>Renforcement des capacités des institutions de formation professionnelle.</w:t>
      </w:r>
    </w:p>
    <w:p w:rsidR="003F7E64" w:rsidRDefault="003F7E64" w:rsidP="003F7E64">
      <w:pPr>
        <w:widowControl w:val="0"/>
        <w:tabs>
          <w:tab w:val="left" w:pos="-720"/>
          <w:tab w:val="left" w:pos="4500"/>
        </w:tabs>
        <w:suppressAutoHyphens/>
        <w:rPr>
          <w:rFonts w:ascii="Arial Narrow" w:hAnsi="Arial Narrow"/>
          <w:spacing w:val="-2"/>
          <w:lang w:val="fr-FR"/>
        </w:rPr>
      </w:pPr>
    </w:p>
    <w:p w:rsidR="00203243" w:rsidRDefault="003F7E64" w:rsidP="003F7E64">
      <w:pPr>
        <w:jc w:val="both"/>
        <w:rPr>
          <w:lang w:val="fr-FR"/>
        </w:rPr>
      </w:pPr>
      <w:r>
        <w:rPr>
          <w:lang w:val="fr-FR"/>
        </w:rPr>
        <w:t xml:space="preserve">Deux rapports d’évaluation des centres de formation et de domaines de formation ont été produits.  Le BIT a accompagné la mission qui a conduit l’évaluation et a produit une note de cadrage pour faciliter les travaux des consultants et la mise en </w:t>
      </w:r>
      <w:r w:rsidR="00B41E3E">
        <w:rPr>
          <w:lang w:val="fr-FR"/>
        </w:rPr>
        <w:t xml:space="preserve">œuvre </w:t>
      </w:r>
      <w:r>
        <w:rPr>
          <w:lang w:val="fr-FR"/>
        </w:rPr>
        <w:t xml:space="preserve">des activités. Ces études étaient des conditions préalables pour la compréhension de la démarche </w:t>
      </w:r>
      <w:r w:rsidR="0075194A">
        <w:rPr>
          <w:lang w:val="fr-FR"/>
        </w:rPr>
        <w:t>de mise œuvre des</w:t>
      </w:r>
      <w:r>
        <w:rPr>
          <w:lang w:val="fr-FR"/>
        </w:rPr>
        <w:t xml:space="preserve"> activités du projet.</w:t>
      </w:r>
    </w:p>
    <w:p w:rsidR="0053151E" w:rsidRDefault="0053151E" w:rsidP="005B6BFA">
      <w:pPr>
        <w:autoSpaceDE w:val="0"/>
        <w:autoSpaceDN w:val="0"/>
        <w:adjustRightInd w:val="0"/>
        <w:jc w:val="both"/>
        <w:rPr>
          <w:lang w:val="fr-FR"/>
        </w:rPr>
      </w:pPr>
    </w:p>
    <w:p w:rsidR="005B6BFA" w:rsidRPr="00DD5EC2" w:rsidRDefault="0075194A" w:rsidP="005B6BFA">
      <w:pPr>
        <w:autoSpaceDE w:val="0"/>
        <w:autoSpaceDN w:val="0"/>
        <w:adjustRightInd w:val="0"/>
        <w:jc w:val="both"/>
        <w:rPr>
          <w:lang w:val="fr-FR"/>
        </w:rPr>
      </w:pPr>
      <w:r>
        <w:rPr>
          <w:lang w:val="fr-FR"/>
        </w:rPr>
        <w:t>L’évaluation montre que c’est s</w:t>
      </w:r>
      <w:r w:rsidR="00203243">
        <w:rPr>
          <w:lang w:val="fr-FR"/>
        </w:rPr>
        <w:t>ur une base</w:t>
      </w:r>
      <w:r>
        <w:rPr>
          <w:lang w:val="fr-FR"/>
        </w:rPr>
        <w:t xml:space="preserve"> de</w:t>
      </w:r>
      <w:r w:rsidR="00203243">
        <w:rPr>
          <w:lang w:val="fr-FR"/>
        </w:rPr>
        <w:t xml:space="preserve"> vingt d’activités et de 111 niches et créneaux, </w:t>
      </w:r>
      <w:r>
        <w:rPr>
          <w:lang w:val="fr-FR"/>
        </w:rPr>
        <w:t xml:space="preserve">que </w:t>
      </w:r>
      <w:r w:rsidR="00203243">
        <w:rPr>
          <w:lang w:val="fr-FR"/>
        </w:rPr>
        <w:t>huit catégorie</w:t>
      </w:r>
      <w:r w:rsidR="007B4000">
        <w:rPr>
          <w:lang w:val="fr-FR"/>
        </w:rPr>
        <w:t>s</w:t>
      </w:r>
      <w:r w:rsidR="00203243">
        <w:rPr>
          <w:lang w:val="fr-FR"/>
        </w:rPr>
        <w:t xml:space="preserve"> d’activités ont été identifié</w:t>
      </w:r>
      <w:r w:rsidR="007B4000">
        <w:rPr>
          <w:lang w:val="fr-FR"/>
        </w:rPr>
        <w:t>e</w:t>
      </w:r>
      <w:r w:rsidR="00203243">
        <w:rPr>
          <w:lang w:val="fr-FR"/>
        </w:rPr>
        <w:t>s et une trentaine de niches</w:t>
      </w:r>
      <w:r>
        <w:rPr>
          <w:lang w:val="fr-FR"/>
        </w:rPr>
        <w:t xml:space="preserve"> et créneaux. Pour le moment, 12</w:t>
      </w:r>
      <w:r w:rsidR="00203243">
        <w:rPr>
          <w:lang w:val="fr-FR"/>
        </w:rPr>
        <w:t xml:space="preserve"> domaines de formation </w:t>
      </w:r>
      <w:r w:rsidR="005B6BFA">
        <w:rPr>
          <w:lang w:val="fr-FR"/>
        </w:rPr>
        <w:t xml:space="preserve">sur les métiers et activités porteurs </w:t>
      </w:r>
      <w:r w:rsidR="00203243">
        <w:rPr>
          <w:lang w:val="fr-FR"/>
        </w:rPr>
        <w:t xml:space="preserve">ont été programmés.  </w:t>
      </w:r>
      <w:r w:rsidR="005B6BFA">
        <w:rPr>
          <w:lang w:val="fr-FR"/>
        </w:rPr>
        <w:t>7 institutions de formation publiques et privé</w:t>
      </w:r>
      <w:r w:rsidR="00B41E3E">
        <w:rPr>
          <w:lang w:val="fr-FR"/>
        </w:rPr>
        <w:t>e</w:t>
      </w:r>
      <w:r w:rsidR="005B6BFA">
        <w:rPr>
          <w:lang w:val="fr-FR"/>
        </w:rPr>
        <w:t xml:space="preserve">s </w:t>
      </w:r>
      <w:r w:rsidR="00F45B05">
        <w:rPr>
          <w:lang w:val="fr-FR"/>
        </w:rPr>
        <w:t xml:space="preserve">ont </w:t>
      </w:r>
      <w:r w:rsidR="00203243">
        <w:rPr>
          <w:lang w:val="fr-FR"/>
        </w:rPr>
        <w:t>été évaluées sur la base d’offre</w:t>
      </w:r>
      <w:r w:rsidR="00F45B05">
        <w:rPr>
          <w:lang w:val="fr-FR"/>
        </w:rPr>
        <w:t xml:space="preserve">s de formation, de la qualité des équipements, des formateurs, </w:t>
      </w:r>
      <w:r w:rsidR="005B6BFA">
        <w:rPr>
          <w:lang w:val="fr-FR"/>
        </w:rPr>
        <w:t xml:space="preserve">des outils pédagogique  et besoins en appui. </w:t>
      </w:r>
      <w:r w:rsidR="00203243" w:rsidRPr="00076284">
        <w:rPr>
          <w:lang w:val="fr-FR"/>
        </w:rPr>
        <w:t xml:space="preserve"> </w:t>
      </w:r>
      <w:r w:rsidR="005B6BFA" w:rsidRPr="00DD5EC2">
        <w:rPr>
          <w:lang w:val="fr-FR"/>
        </w:rPr>
        <w:t xml:space="preserve">Les </w:t>
      </w:r>
      <w:r w:rsidR="00DD5EC2" w:rsidRPr="00DD5EC2">
        <w:rPr>
          <w:lang w:val="fr-FR"/>
        </w:rPr>
        <w:t>rapports</w:t>
      </w:r>
      <w:r w:rsidR="005B6BFA" w:rsidRPr="00DD5EC2">
        <w:rPr>
          <w:lang w:val="fr-FR"/>
        </w:rPr>
        <w:t xml:space="preserve"> d’évaluation </w:t>
      </w:r>
      <w:r w:rsidR="00DD5EC2">
        <w:rPr>
          <w:lang w:val="fr-FR"/>
        </w:rPr>
        <w:t>révèlent</w:t>
      </w:r>
      <w:r w:rsidR="005B6BFA" w:rsidRPr="00DD5EC2">
        <w:rPr>
          <w:lang w:val="fr-FR"/>
        </w:rPr>
        <w:t xml:space="preserve"> que les structures publiques présentent beaucoup de déficiences pour une réalisation correc</w:t>
      </w:r>
      <w:r>
        <w:rPr>
          <w:lang w:val="fr-FR"/>
        </w:rPr>
        <w:t xml:space="preserve">te des programmes. Par contre, </w:t>
      </w:r>
      <w:r w:rsidR="005B6BFA" w:rsidRPr="00DD5EC2">
        <w:rPr>
          <w:lang w:val="fr-FR"/>
        </w:rPr>
        <w:t xml:space="preserve"> une offre de plus en plus importante est en</w:t>
      </w:r>
      <w:r w:rsidR="00B41E3E">
        <w:rPr>
          <w:lang w:val="fr-FR"/>
        </w:rPr>
        <w:t xml:space="preserve"> </w:t>
      </w:r>
      <w:r w:rsidR="005B6BFA" w:rsidRPr="00DD5EC2">
        <w:rPr>
          <w:lang w:val="fr-FR"/>
        </w:rPr>
        <w:t>train d’apparaître au niveau du secteur privé pour pallier l’absence d’offre</w:t>
      </w:r>
      <w:r w:rsidR="00B41E3E">
        <w:rPr>
          <w:lang w:val="fr-FR"/>
        </w:rPr>
        <w:t>s</w:t>
      </w:r>
      <w:r w:rsidR="005B6BFA" w:rsidRPr="00DD5EC2">
        <w:rPr>
          <w:lang w:val="fr-FR"/>
        </w:rPr>
        <w:t xml:space="preserve"> de formation provenant des institutions nationales et face à une demande en constante évolution. </w:t>
      </w:r>
      <w:r w:rsidR="00B41E3E">
        <w:rPr>
          <w:lang w:val="fr-FR"/>
        </w:rPr>
        <w:t>Mais</w:t>
      </w:r>
      <w:r w:rsidR="00DD5EC2" w:rsidRPr="00DD5EC2">
        <w:rPr>
          <w:lang w:val="fr-FR"/>
        </w:rPr>
        <w:t xml:space="preserve"> </w:t>
      </w:r>
      <w:r w:rsidR="005B6BFA" w:rsidRPr="00DD5EC2">
        <w:rPr>
          <w:lang w:val="fr-FR"/>
        </w:rPr>
        <w:t>les différen</w:t>
      </w:r>
      <w:r w:rsidR="00F45B05">
        <w:rPr>
          <w:lang w:val="fr-FR"/>
        </w:rPr>
        <w:t>tes institutions publiques aussi bien que</w:t>
      </w:r>
      <w:r w:rsidR="005B6BFA" w:rsidRPr="00DD5EC2">
        <w:rPr>
          <w:lang w:val="fr-FR"/>
        </w:rPr>
        <w:t xml:space="preserve"> privées offrent les mêmes types de formation. Ce qui fait que l’offre est assez monotone et mérite d’être diversifiées. </w:t>
      </w:r>
    </w:p>
    <w:p w:rsidR="00203243" w:rsidRDefault="00203243" w:rsidP="00203243">
      <w:pPr>
        <w:rPr>
          <w:rFonts w:ascii="Book Antiqua" w:hAnsi="Book Antiqua" w:cs="ArialMT"/>
          <w:lang w:val="fr-FR" w:eastAsia="ko-KR"/>
        </w:rPr>
      </w:pPr>
    </w:p>
    <w:p w:rsidR="00224ED7" w:rsidRPr="003B1757" w:rsidRDefault="009B467D" w:rsidP="00ED6A03">
      <w:pPr>
        <w:jc w:val="both"/>
        <w:rPr>
          <w:color w:val="000000"/>
          <w:lang w:val="fr-FR"/>
        </w:rPr>
      </w:pPr>
      <w:r>
        <w:rPr>
          <w:color w:val="000000"/>
          <w:lang w:val="fr-FR"/>
        </w:rPr>
        <w:t>Quatre</w:t>
      </w:r>
      <w:r w:rsidR="00224ED7" w:rsidRPr="003B1757">
        <w:rPr>
          <w:color w:val="000000"/>
          <w:lang w:val="fr-FR"/>
        </w:rPr>
        <w:t xml:space="preserve"> </w:t>
      </w:r>
      <w:r>
        <w:rPr>
          <w:color w:val="000000"/>
          <w:lang w:val="fr-FR"/>
        </w:rPr>
        <w:t>f</w:t>
      </w:r>
      <w:r w:rsidR="00224ED7" w:rsidRPr="003B1757">
        <w:rPr>
          <w:color w:val="000000"/>
          <w:lang w:val="fr-FR"/>
        </w:rPr>
        <w:t>ormateurs du CENFI se sont déplacés au Brésil pendant 15 jours pour la formation des formateurs, à l´Université Fédéral</w:t>
      </w:r>
      <w:r w:rsidR="00F45B05">
        <w:rPr>
          <w:color w:val="000000"/>
          <w:lang w:val="fr-FR"/>
        </w:rPr>
        <w:t>e</w:t>
      </w:r>
      <w:r w:rsidR="00224ED7" w:rsidRPr="003B1757">
        <w:rPr>
          <w:color w:val="000000"/>
          <w:lang w:val="fr-FR"/>
        </w:rPr>
        <w:t xml:space="preserve"> du Pará dans les domaines suivants : gestion de programme et de systèmes de formation professionnelle ; gestion d´information de formation professionnelle ; gestion de Formation professionnelle ; gestion et élaboration de projets de formation. Un rapport sur le déroulement de la formation a été produit et des contacts ont étés effectués avec les institutions brésiliennes pour de futures collaborations avec le CENFI.</w:t>
      </w:r>
    </w:p>
    <w:p w:rsidR="00224ED7" w:rsidRPr="003B1757" w:rsidRDefault="00224ED7" w:rsidP="00ED6A03">
      <w:pPr>
        <w:jc w:val="both"/>
        <w:rPr>
          <w:lang w:val="fr-FR"/>
        </w:rPr>
      </w:pPr>
    </w:p>
    <w:p w:rsidR="00224ED7" w:rsidRPr="003B1757" w:rsidRDefault="00224ED7" w:rsidP="00ED6A03">
      <w:pPr>
        <w:jc w:val="both"/>
        <w:rPr>
          <w:lang w:val="fr-FR"/>
        </w:rPr>
      </w:pPr>
      <w:r w:rsidRPr="003B1757">
        <w:rPr>
          <w:lang w:val="fr-FR"/>
        </w:rPr>
        <w:t>Le concours en vue du recrutement des consultants internationaux destiné, à la formation des formateurs dans le pays et à l´élaboration des modules de formation dans des domaines spécifiques a été lancé. L</w:t>
      </w:r>
      <w:r w:rsidR="00F45B05">
        <w:rPr>
          <w:lang w:val="fr-FR"/>
        </w:rPr>
        <w:t>e CENFI avait prévu et souhaité</w:t>
      </w:r>
      <w:r w:rsidRPr="003B1757">
        <w:rPr>
          <w:lang w:val="fr-FR"/>
        </w:rPr>
        <w:t xml:space="preserve"> ramener les CVs des consultants brésiliens intéressés, lors du séjour des 4 formateurs au Brésil, ce qui n</w:t>
      </w:r>
      <w:r w:rsidR="00F45B05">
        <w:rPr>
          <w:lang w:val="fr-FR"/>
        </w:rPr>
        <w:t>´a pas été le cas et a entrainé</w:t>
      </w:r>
      <w:r w:rsidRPr="003B1757">
        <w:rPr>
          <w:lang w:val="fr-FR"/>
        </w:rPr>
        <w:t xml:space="preserve"> un certain retard dans la mise en œuvre de cette activité.</w:t>
      </w:r>
    </w:p>
    <w:p w:rsidR="00224ED7" w:rsidRDefault="00224ED7" w:rsidP="00ED6A03">
      <w:pPr>
        <w:jc w:val="both"/>
        <w:rPr>
          <w:sz w:val="22"/>
          <w:szCs w:val="22"/>
          <w:lang w:val="fr-FR"/>
        </w:rPr>
      </w:pPr>
    </w:p>
    <w:p w:rsidR="00501E50" w:rsidRPr="00580905" w:rsidRDefault="004573B2" w:rsidP="00580905">
      <w:pPr>
        <w:rPr>
          <w:b/>
          <w:lang w:val="fr-FR"/>
        </w:rPr>
      </w:pPr>
      <w:r>
        <w:rPr>
          <w:b/>
          <w:lang w:val="fr-FR"/>
        </w:rPr>
        <w:t xml:space="preserve">4.4. </w:t>
      </w:r>
      <w:r w:rsidR="00501E50" w:rsidRPr="00580905">
        <w:rPr>
          <w:b/>
          <w:lang w:val="fr-FR"/>
        </w:rPr>
        <w:t xml:space="preserve">Assurer l’information et </w:t>
      </w:r>
      <w:r w:rsidR="00AF51F3">
        <w:rPr>
          <w:b/>
          <w:lang w:val="fr-FR"/>
        </w:rPr>
        <w:t xml:space="preserve">la </w:t>
      </w:r>
      <w:r w:rsidR="00501E50" w:rsidRPr="00580905">
        <w:rPr>
          <w:b/>
          <w:lang w:val="fr-FR"/>
        </w:rPr>
        <w:t>sensibilisation des jeunes sur les métiers et les offres de formation professionnelle.</w:t>
      </w:r>
    </w:p>
    <w:p w:rsidR="002B1881" w:rsidRDefault="002B1881" w:rsidP="00ED6A03">
      <w:pPr>
        <w:jc w:val="both"/>
        <w:rPr>
          <w:lang w:val="fr-FR"/>
        </w:rPr>
      </w:pPr>
    </w:p>
    <w:p w:rsidR="002B1881" w:rsidRDefault="002B1881" w:rsidP="00AF511E">
      <w:pPr>
        <w:widowControl w:val="0"/>
        <w:tabs>
          <w:tab w:val="left" w:pos="-720"/>
          <w:tab w:val="left" w:pos="4500"/>
        </w:tabs>
        <w:suppressAutoHyphens/>
        <w:jc w:val="both"/>
        <w:rPr>
          <w:spacing w:val="-2"/>
          <w:lang w:val="fr-FR"/>
        </w:rPr>
      </w:pPr>
      <w:r w:rsidRPr="002B1881">
        <w:rPr>
          <w:spacing w:val="-2"/>
          <w:lang w:val="fr-FR"/>
        </w:rPr>
        <w:t xml:space="preserve">Une mission d’identification des filières, des métiers et </w:t>
      </w:r>
      <w:r w:rsidR="00210F17">
        <w:rPr>
          <w:spacing w:val="-2"/>
          <w:lang w:val="fr-FR"/>
        </w:rPr>
        <w:t xml:space="preserve">des </w:t>
      </w:r>
      <w:r w:rsidRPr="002B1881">
        <w:rPr>
          <w:spacing w:val="-2"/>
          <w:lang w:val="fr-FR"/>
        </w:rPr>
        <w:t xml:space="preserve">créneaux porteurs a eu lieu, ce qui a permis de connaître la structure du marché de l’emploi ainsi que la sélection des domaines stratégiques et prioritaires. </w:t>
      </w:r>
    </w:p>
    <w:p w:rsidR="002B1881" w:rsidRPr="002B1881" w:rsidRDefault="002B1881" w:rsidP="00AF511E">
      <w:pPr>
        <w:widowControl w:val="0"/>
        <w:tabs>
          <w:tab w:val="left" w:pos="-720"/>
          <w:tab w:val="left" w:pos="4500"/>
        </w:tabs>
        <w:suppressAutoHyphens/>
        <w:jc w:val="both"/>
        <w:rPr>
          <w:spacing w:val="-2"/>
          <w:lang w:val="fr-FR"/>
        </w:rPr>
      </w:pPr>
    </w:p>
    <w:p w:rsidR="002B1881" w:rsidRDefault="002B1881" w:rsidP="00AF511E">
      <w:pPr>
        <w:widowControl w:val="0"/>
        <w:tabs>
          <w:tab w:val="left" w:pos="-720"/>
          <w:tab w:val="left" w:pos="4500"/>
        </w:tabs>
        <w:suppressAutoHyphens/>
        <w:jc w:val="both"/>
        <w:rPr>
          <w:spacing w:val="-2"/>
          <w:lang w:val="fr-FR"/>
        </w:rPr>
      </w:pPr>
      <w:r w:rsidRPr="002B1881">
        <w:rPr>
          <w:spacing w:val="-2"/>
          <w:lang w:val="fr-FR"/>
        </w:rPr>
        <w:t xml:space="preserve">La sensibilisation et l’information des jeunes sur les objectifs du projet, d’une manière générale, ainsi que sur les métiers et les offres de formation professionnelle, en particulier, </w:t>
      </w:r>
      <w:r w:rsidR="009B467D">
        <w:rPr>
          <w:spacing w:val="-2"/>
          <w:lang w:val="fr-FR"/>
        </w:rPr>
        <w:t>ont</w:t>
      </w:r>
      <w:r w:rsidR="00E62CE3">
        <w:rPr>
          <w:spacing w:val="-2"/>
          <w:lang w:val="fr-FR"/>
        </w:rPr>
        <w:t xml:space="preserve"> été</w:t>
      </w:r>
      <w:r w:rsidRPr="002B1881">
        <w:rPr>
          <w:spacing w:val="-2"/>
          <w:lang w:val="fr-FR"/>
        </w:rPr>
        <w:t xml:space="preserve"> effectuée</w:t>
      </w:r>
      <w:r w:rsidR="009B467D">
        <w:rPr>
          <w:spacing w:val="-2"/>
          <w:lang w:val="fr-FR"/>
        </w:rPr>
        <w:t>s</w:t>
      </w:r>
      <w:r w:rsidR="002C7729">
        <w:rPr>
          <w:spacing w:val="-2"/>
          <w:lang w:val="fr-FR"/>
        </w:rPr>
        <w:t>.</w:t>
      </w:r>
      <w:r w:rsidRPr="002B1881">
        <w:rPr>
          <w:spacing w:val="-2"/>
          <w:lang w:val="fr-FR"/>
        </w:rPr>
        <w:t xml:space="preserve"> </w:t>
      </w:r>
      <w:r w:rsidR="005414F6">
        <w:rPr>
          <w:spacing w:val="-2"/>
          <w:lang w:val="fr-FR"/>
        </w:rPr>
        <w:t xml:space="preserve">Il </w:t>
      </w:r>
      <w:r w:rsidR="002C7729">
        <w:rPr>
          <w:spacing w:val="-2"/>
          <w:lang w:val="fr-FR"/>
        </w:rPr>
        <w:t xml:space="preserve"> a été </w:t>
      </w:r>
      <w:r w:rsidR="002C7729" w:rsidRPr="002B1881">
        <w:rPr>
          <w:spacing w:val="-2"/>
          <w:lang w:val="fr-FR"/>
        </w:rPr>
        <w:t>organis</w:t>
      </w:r>
      <w:r w:rsidR="009B467D">
        <w:rPr>
          <w:spacing w:val="-2"/>
          <w:lang w:val="fr-FR"/>
        </w:rPr>
        <w:t>é</w:t>
      </w:r>
      <w:r w:rsidR="002C7729" w:rsidRPr="002B1881">
        <w:rPr>
          <w:spacing w:val="-2"/>
          <w:lang w:val="fr-FR"/>
        </w:rPr>
        <w:t xml:space="preserve"> d</w:t>
      </w:r>
      <w:r w:rsidR="005414F6">
        <w:rPr>
          <w:spacing w:val="-2"/>
          <w:lang w:val="fr-FR"/>
        </w:rPr>
        <w:t xml:space="preserve">es </w:t>
      </w:r>
      <w:r w:rsidR="002C7729" w:rsidRPr="002B1881">
        <w:rPr>
          <w:spacing w:val="-2"/>
          <w:lang w:val="fr-FR"/>
        </w:rPr>
        <w:t xml:space="preserve">ateliers d’information et de sensibilisation par zone à </w:t>
      </w:r>
      <w:r w:rsidR="005414F6">
        <w:rPr>
          <w:spacing w:val="-2"/>
          <w:lang w:val="fr-FR"/>
        </w:rPr>
        <w:t xml:space="preserve">Bissau et </w:t>
      </w:r>
      <w:r w:rsidR="005414F6">
        <w:rPr>
          <w:spacing w:val="-2"/>
          <w:lang w:val="fr-FR"/>
        </w:rPr>
        <w:lastRenderedPageBreak/>
        <w:t>à l’intérieur du pays : Bissau</w:t>
      </w:r>
      <w:r w:rsidR="002C7729" w:rsidRPr="002B1881">
        <w:rPr>
          <w:spacing w:val="-2"/>
          <w:lang w:val="fr-FR"/>
        </w:rPr>
        <w:t xml:space="preserve"> </w:t>
      </w:r>
      <w:r w:rsidR="002C7729">
        <w:rPr>
          <w:spacing w:val="-2"/>
          <w:lang w:val="fr-FR"/>
        </w:rPr>
        <w:t>(65) participants ; Cacheu (50) ; Quinara (45) ; Gabu (40) ; Ba</w:t>
      </w:r>
      <w:r w:rsidR="00742E20">
        <w:rPr>
          <w:spacing w:val="-2"/>
          <w:lang w:val="fr-FR"/>
        </w:rPr>
        <w:t>fata (52) ; Oio (55) ; Tombali (50</w:t>
      </w:r>
      <w:r w:rsidR="009B467D">
        <w:rPr>
          <w:spacing w:val="-2"/>
          <w:lang w:val="fr-FR"/>
        </w:rPr>
        <w:t>),  la f</w:t>
      </w:r>
      <w:r w:rsidR="005414F6">
        <w:rPr>
          <w:spacing w:val="-2"/>
          <w:lang w:val="fr-FR"/>
        </w:rPr>
        <w:t>ormation de 16</w:t>
      </w:r>
      <w:r w:rsidR="002C7729">
        <w:rPr>
          <w:spacing w:val="-2"/>
          <w:lang w:val="fr-FR"/>
        </w:rPr>
        <w:t xml:space="preserve"> agents de communicat</w:t>
      </w:r>
      <w:r w:rsidR="009B467D">
        <w:rPr>
          <w:spacing w:val="-2"/>
          <w:lang w:val="fr-FR"/>
        </w:rPr>
        <w:t>ion sur les objectifs du projet,</w:t>
      </w:r>
      <w:r w:rsidR="005414F6">
        <w:rPr>
          <w:spacing w:val="-2"/>
          <w:lang w:val="fr-FR"/>
        </w:rPr>
        <w:t xml:space="preserve"> </w:t>
      </w:r>
      <w:r w:rsidR="009B467D">
        <w:rPr>
          <w:spacing w:val="-2"/>
          <w:lang w:val="fr-FR"/>
        </w:rPr>
        <w:t>la ré</w:t>
      </w:r>
      <w:r w:rsidR="005414F6">
        <w:rPr>
          <w:spacing w:val="-2"/>
          <w:lang w:val="fr-FR"/>
        </w:rPr>
        <w:t xml:space="preserve">alisation des débats radiophoniques et d´interview avec </w:t>
      </w:r>
      <w:r w:rsidR="0013333E">
        <w:rPr>
          <w:spacing w:val="-2"/>
          <w:lang w:val="fr-FR"/>
        </w:rPr>
        <w:t xml:space="preserve">des </w:t>
      </w:r>
      <w:r w:rsidR="005414F6">
        <w:rPr>
          <w:spacing w:val="-2"/>
          <w:lang w:val="fr-FR"/>
        </w:rPr>
        <w:t>jeunes bénéficiaires à Bissau et dans certaines régions</w:t>
      </w:r>
      <w:r w:rsidR="00742E20">
        <w:rPr>
          <w:spacing w:val="-2"/>
          <w:lang w:val="fr-FR"/>
        </w:rPr>
        <w:t xml:space="preserve"> (Quinara, Gabú, et Cacheu)</w:t>
      </w:r>
      <w:r w:rsidR="005414F6">
        <w:rPr>
          <w:spacing w:val="-2"/>
          <w:lang w:val="fr-FR"/>
        </w:rPr>
        <w:t xml:space="preserve"> du pays</w:t>
      </w:r>
      <w:r w:rsidRPr="002B1881">
        <w:rPr>
          <w:spacing w:val="-2"/>
          <w:lang w:val="fr-FR"/>
        </w:rPr>
        <w:t>.</w:t>
      </w:r>
    </w:p>
    <w:p w:rsidR="00AF511E" w:rsidRPr="002B1881" w:rsidRDefault="00AF511E" w:rsidP="002B1881">
      <w:pPr>
        <w:widowControl w:val="0"/>
        <w:tabs>
          <w:tab w:val="left" w:pos="-720"/>
          <w:tab w:val="left" w:pos="4500"/>
        </w:tabs>
        <w:suppressAutoHyphens/>
        <w:rPr>
          <w:spacing w:val="-2"/>
          <w:lang w:val="fr-FR"/>
        </w:rPr>
      </w:pPr>
    </w:p>
    <w:p w:rsidR="00580905" w:rsidRDefault="00580905" w:rsidP="00580905">
      <w:pPr>
        <w:rPr>
          <w:lang w:val="fr-FR"/>
        </w:rPr>
      </w:pPr>
    </w:p>
    <w:p w:rsidR="00501E50" w:rsidRPr="009D5B6A" w:rsidRDefault="004573B2" w:rsidP="004477B4">
      <w:pPr>
        <w:rPr>
          <w:b/>
          <w:lang w:val="fr-FR"/>
        </w:rPr>
      </w:pPr>
      <w:r>
        <w:rPr>
          <w:b/>
          <w:lang w:val="fr-FR"/>
        </w:rPr>
        <w:t xml:space="preserve">4.5. </w:t>
      </w:r>
      <w:r w:rsidR="00501E50" w:rsidRPr="009D5B6A">
        <w:rPr>
          <w:b/>
          <w:lang w:val="fr-FR"/>
        </w:rPr>
        <w:t xml:space="preserve">Formation professionnelle des jeunes assurés dans les domaines prioritaires. </w:t>
      </w:r>
    </w:p>
    <w:p w:rsidR="004477B4" w:rsidRDefault="004477B4" w:rsidP="004477B4">
      <w:pPr>
        <w:rPr>
          <w:lang w:val="fr-FR"/>
        </w:rPr>
      </w:pPr>
    </w:p>
    <w:p w:rsidR="004477B4" w:rsidRPr="00804D86" w:rsidRDefault="00E62CE3" w:rsidP="00ED6A03">
      <w:pPr>
        <w:jc w:val="both"/>
        <w:rPr>
          <w:lang w:val="fr-FR"/>
        </w:rPr>
      </w:pPr>
      <w:r>
        <w:rPr>
          <w:lang w:val="fr-FR"/>
        </w:rPr>
        <w:t>Un contrat entre le PNUD et le CENFI</w:t>
      </w:r>
      <w:r w:rsidR="00EE2962">
        <w:rPr>
          <w:lang w:val="fr-FR"/>
        </w:rPr>
        <w:t xml:space="preserve"> </w:t>
      </w:r>
      <w:r>
        <w:rPr>
          <w:lang w:val="fr-FR"/>
        </w:rPr>
        <w:t xml:space="preserve">a été signé pour la </w:t>
      </w:r>
      <w:r w:rsidR="004477B4" w:rsidRPr="00804D86">
        <w:rPr>
          <w:lang w:val="fr-FR"/>
        </w:rPr>
        <w:t xml:space="preserve">formation </w:t>
      </w:r>
      <w:r w:rsidR="00EE2962">
        <w:rPr>
          <w:lang w:val="fr-FR"/>
        </w:rPr>
        <w:t xml:space="preserve">professionnelle </w:t>
      </w:r>
      <w:r>
        <w:rPr>
          <w:lang w:val="fr-FR"/>
        </w:rPr>
        <w:t>de</w:t>
      </w:r>
      <w:r w:rsidR="00EE2962">
        <w:rPr>
          <w:lang w:val="fr-FR"/>
        </w:rPr>
        <w:t xml:space="preserve"> 100 jeunes</w:t>
      </w:r>
      <w:r w:rsidR="004477B4" w:rsidRPr="00804D86">
        <w:rPr>
          <w:lang w:val="fr-FR"/>
        </w:rPr>
        <w:t xml:space="preserve"> dans </w:t>
      </w:r>
      <w:r w:rsidR="00EE2962">
        <w:rPr>
          <w:lang w:val="fr-FR"/>
        </w:rPr>
        <w:t xml:space="preserve">les </w:t>
      </w:r>
      <w:r w:rsidR="00EE2962" w:rsidRPr="00804D86">
        <w:rPr>
          <w:lang w:val="fr-FR"/>
        </w:rPr>
        <w:t>s</w:t>
      </w:r>
      <w:r w:rsidR="008920E9">
        <w:rPr>
          <w:lang w:val="fr-FR"/>
        </w:rPr>
        <w:t>ept</w:t>
      </w:r>
      <w:r w:rsidR="004477B4" w:rsidRPr="00804D86">
        <w:rPr>
          <w:lang w:val="fr-FR"/>
        </w:rPr>
        <w:t xml:space="preserve"> domaines </w:t>
      </w:r>
      <w:r w:rsidR="00EE2962">
        <w:rPr>
          <w:lang w:val="fr-FR"/>
        </w:rPr>
        <w:t>suivants : construction civile (30) ; froid et cl</w:t>
      </w:r>
      <w:r w:rsidR="00CD44F9">
        <w:rPr>
          <w:lang w:val="fr-FR"/>
        </w:rPr>
        <w:t>imatisation (10), électricité (</w:t>
      </w:r>
      <w:r w:rsidR="00EE2962">
        <w:rPr>
          <w:lang w:val="fr-FR"/>
        </w:rPr>
        <w:t>10)</w:t>
      </w:r>
      <w:r>
        <w:rPr>
          <w:lang w:val="fr-FR"/>
        </w:rPr>
        <w:t> ;</w:t>
      </w:r>
      <w:r w:rsidR="00EE2962">
        <w:rPr>
          <w:lang w:val="fr-FR"/>
        </w:rPr>
        <w:t xml:space="preserve"> menuiserie métallique (10)</w:t>
      </w:r>
      <w:r>
        <w:rPr>
          <w:lang w:val="fr-FR"/>
        </w:rPr>
        <w:t> ;</w:t>
      </w:r>
      <w:r w:rsidR="00EE2962">
        <w:rPr>
          <w:lang w:val="fr-FR"/>
        </w:rPr>
        <w:t xml:space="preserve"> menuiserie en bois (10)</w:t>
      </w:r>
      <w:r>
        <w:rPr>
          <w:lang w:val="fr-FR"/>
        </w:rPr>
        <w:t> ;</w:t>
      </w:r>
      <w:r w:rsidR="00EE2962">
        <w:rPr>
          <w:lang w:val="fr-FR"/>
        </w:rPr>
        <w:t xml:space="preserve"> mécanique auto</w:t>
      </w:r>
      <w:r>
        <w:rPr>
          <w:lang w:val="fr-FR"/>
        </w:rPr>
        <w:t xml:space="preserve"> (10)</w:t>
      </w:r>
      <w:r w:rsidR="00EE2962">
        <w:rPr>
          <w:lang w:val="fr-FR"/>
        </w:rPr>
        <w:t xml:space="preserve"> coupe et couture</w:t>
      </w:r>
      <w:r>
        <w:rPr>
          <w:lang w:val="fr-FR"/>
        </w:rPr>
        <w:t xml:space="preserve"> (10).</w:t>
      </w:r>
      <w:r w:rsidR="004477B4" w:rsidRPr="00804D86">
        <w:rPr>
          <w:lang w:val="fr-FR"/>
        </w:rPr>
        <w:t xml:space="preserve"> </w:t>
      </w:r>
      <w:r>
        <w:rPr>
          <w:lang w:val="fr-FR"/>
        </w:rPr>
        <w:t>D´autres jeunes sont en formation à l’ONG AD (Ecole des Arts et Métiers de Quelelé), en informatique et hôtellerie.</w:t>
      </w:r>
      <w:r w:rsidR="004477B4" w:rsidRPr="00804D86">
        <w:rPr>
          <w:lang w:val="fr-FR"/>
        </w:rPr>
        <w:t xml:space="preserve"> </w:t>
      </w:r>
      <w:r>
        <w:rPr>
          <w:lang w:val="fr-FR"/>
        </w:rPr>
        <w:t xml:space="preserve">En négociation pour </w:t>
      </w:r>
      <w:r w:rsidR="008920E9">
        <w:rPr>
          <w:lang w:val="fr-FR"/>
        </w:rPr>
        <w:t xml:space="preserve">la </w:t>
      </w:r>
      <w:r>
        <w:rPr>
          <w:lang w:val="fr-FR"/>
        </w:rPr>
        <w:t xml:space="preserve">signature d´un contrat </w:t>
      </w:r>
      <w:r w:rsidR="00CD44F9">
        <w:rPr>
          <w:lang w:val="fr-FR"/>
        </w:rPr>
        <w:t>de</w:t>
      </w:r>
      <w:r>
        <w:rPr>
          <w:lang w:val="fr-FR"/>
        </w:rPr>
        <w:t xml:space="preserve"> formation de 40 jeunes</w:t>
      </w:r>
      <w:r w:rsidR="00E31D5A">
        <w:rPr>
          <w:lang w:val="fr-FR"/>
        </w:rPr>
        <w:t> : 20</w:t>
      </w:r>
      <w:r>
        <w:rPr>
          <w:lang w:val="fr-FR"/>
        </w:rPr>
        <w:t xml:space="preserve"> en construction civile et </w:t>
      </w:r>
      <w:r w:rsidR="00E31D5A">
        <w:rPr>
          <w:lang w:val="fr-FR"/>
        </w:rPr>
        <w:t xml:space="preserve">20 </w:t>
      </w:r>
      <w:r w:rsidR="00CD44F9">
        <w:rPr>
          <w:lang w:val="fr-FR"/>
        </w:rPr>
        <w:t xml:space="preserve">en </w:t>
      </w:r>
      <w:r>
        <w:rPr>
          <w:lang w:val="fr-FR"/>
        </w:rPr>
        <w:t xml:space="preserve">commerce à CIFAP et </w:t>
      </w:r>
      <w:r w:rsidR="00CD44F9">
        <w:rPr>
          <w:lang w:val="fr-FR"/>
        </w:rPr>
        <w:t>à l’</w:t>
      </w:r>
      <w:r>
        <w:rPr>
          <w:lang w:val="fr-FR"/>
        </w:rPr>
        <w:t>Ecole des Arts et Métiers de Quelelé.</w:t>
      </w:r>
    </w:p>
    <w:p w:rsidR="004477B4" w:rsidRDefault="004477B4" w:rsidP="00DD5EC2">
      <w:pPr>
        <w:widowControl w:val="0"/>
        <w:tabs>
          <w:tab w:val="left" w:pos="-720"/>
          <w:tab w:val="left" w:pos="4500"/>
        </w:tabs>
        <w:suppressAutoHyphens/>
        <w:rPr>
          <w:rFonts w:ascii="Arial Narrow" w:hAnsi="Arial Narrow"/>
          <w:spacing w:val="-2"/>
          <w:lang w:val="fr-FR"/>
        </w:rPr>
      </w:pPr>
    </w:p>
    <w:p w:rsidR="004477B4" w:rsidRPr="00BD3ACB" w:rsidRDefault="004477B4" w:rsidP="00DD5EC2">
      <w:pPr>
        <w:widowControl w:val="0"/>
        <w:tabs>
          <w:tab w:val="left" w:pos="-720"/>
          <w:tab w:val="left" w:pos="4500"/>
        </w:tabs>
        <w:suppressAutoHyphens/>
        <w:rPr>
          <w:rFonts w:ascii="Arial Narrow" w:hAnsi="Arial Narrow"/>
          <w:spacing w:val="-2"/>
          <w:lang w:val="fr-FR"/>
        </w:rPr>
      </w:pPr>
    </w:p>
    <w:p w:rsidR="00501E50" w:rsidRPr="009D5B6A" w:rsidRDefault="004573B2" w:rsidP="004477B4">
      <w:pPr>
        <w:rPr>
          <w:b/>
          <w:lang w:val="fr-FR"/>
        </w:rPr>
      </w:pPr>
      <w:r>
        <w:rPr>
          <w:b/>
          <w:lang w:val="fr-FR"/>
        </w:rPr>
        <w:t xml:space="preserve">4.6. </w:t>
      </w:r>
      <w:r w:rsidR="00501E50" w:rsidRPr="009D5B6A">
        <w:rPr>
          <w:b/>
          <w:lang w:val="fr-FR"/>
        </w:rPr>
        <w:t xml:space="preserve">Appui fourni aux jeunes candidat(e)s à la formulation et au développement de projets et activités génératrices de revenus à travers le </w:t>
      </w:r>
      <w:r w:rsidR="0083715B" w:rsidRPr="009D5B6A">
        <w:rPr>
          <w:b/>
          <w:lang w:val="fr-FR"/>
        </w:rPr>
        <w:t>microcrédit</w:t>
      </w:r>
      <w:r w:rsidR="00501E50" w:rsidRPr="009D5B6A">
        <w:rPr>
          <w:b/>
          <w:lang w:val="fr-FR"/>
        </w:rPr>
        <w:t>.</w:t>
      </w:r>
    </w:p>
    <w:p w:rsidR="004477B4" w:rsidRDefault="004477B4" w:rsidP="004477B4">
      <w:pPr>
        <w:pStyle w:val="BodyText"/>
        <w:rPr>
          <w:rFonts w:ascii="Arial Narrow" w:hAnsi="Arial Narrow"/>
          <w:lang w:val="fr-FR"/>
        </w:rPr>
      </w:pPr>
    </w:p>
    <w:p w:rsidR="004477B4" w:rsidRDefault="004477B4" w:rsidP="00ED6A03">
      <w:pPr>
        <w:jc w:val="both"/>
        <w:rPr>
          <w:lang w:val="fr-FR"/>
        </w:rPr>
      </w:pPr>
      <w:r w:rsidRPr="006E6364">
        <w:rPr>
          <w:lang w:val="fr-FR"/>
        </w:rPr>
        <w:t>Un atelier de renforcement de capacité en Trie (</w:t>
      </w:r>
      <w:r w:rsidR="0013333E">
        <w:rPr>
          <w:lang w:val="fr-FR"/>
        </w:rPr>
        <w:t>Tr</w:t>
      </w:r>
      <w:r w:rsidRPr="006E6364">
        <w:rPr>
          <w:lang w:val="fr-FR"/>
        </w:rPr>
        <w:t>ouvez vos idées de projet) a été effectué avec 17 formateurs, avec le concours d’un maître formateur  GERME/BIT-S</w:t>
      </w:r>
      <w:r w:rsidR="008718A1" w:rsidRPr="006E6364">
        <w:rPr>
          <w:lang w:val="fr-FR"/>
        </w:rPr>
        <w:t>I</w:t>
      </w:r>
      <w:r w:rsidRPr="006E6364">
        <w:rPr>
          <w:lang w:val="fr-FR"/>
        </w:rPr>
        <w:t>YB</w:t>
      </w:r>
      <w:r>
        <w:rPr>
          <w:lang w:val="fr-FR"/>
        </w:rPr>
        <w:t xml:space="preserve">. </w:t>
      </w:r>
      <w:r w:rsidR="005659E6">
        <w:rPr>
          <w:lang w:val="fr-FR"/>
        </w:rPr>
        <w:t>Le PNUD</w:t>
      </w:r>
      <w:r w:rsidR="0013333E">
        <w:rPr>
          <w:lang w:val="fr-FR"/>
        </w:rPr>
        <w:t>,</w:t>
      </w:r>
      <w:r w:rsidR="005659E6">
        <w:rPr>
          <w:lang w:val="fr-FR"/>
        </w:rPr>
        <w:t xml:space="preserve"> avec l´appui </w:t>
      </w:r>
      <w:r w:rsidR="001B2D81">
        <w:rPr>
          <w:lang w:val="fr-FR"/>
        </w:rPr>
        <w:t>méthodologique</w:t>
      </w:r>
      <w:r w:rsidR="008920E9">
        <w:rPr>
          <w:lang w:val="fr-FR"/>
        </w:rPr>
        <w:t xml:space="preserve"> du BIT</w:t>
      </w:r>
      <w:r w:rsidR="0013333E">
        <w:rPr>
          <w:lang w:val="fr-FR"/>
        </w:rPr>
        <w:t>, a entam</w:t>
      </w:r>
      <w:r w:rsidR="008920E9">
        <w:rPr>
          <w:lang w:val="fr-FR"/>
        </w:rPr>
        <w:t>é</w:t>
      </w:r>
      <w:r w:rsidR="005659E6">
        <w:rPr>
          <w:lang w:val="fr-FR"/>
        </w:rPr>
        <w:t xml:space="preserve"> un vaste programme d´information, de </w:t>
      </w:r>
      <w:r w:rsidR="001B2D81">
        <w:rPr>
          <w:lang w:val="fr-FR"/>
        </w:rPr>
        <w:t>sélection</w:t>
      </w:r>
      <w:r w:rsidR="005659E6">
        <w:rPr>
          <w:lang w:val="fr-FR"/>
        </w:rPr>
        <w:t xml:space="preserve"> et de formation des formateurs. Ces actions concertées ont </w:t>
      </w:r>
      <w:r w:rsidR="001B2D81">
        <w:rPr>
          <w:lang w:val="fr-FR"/>
        </w:rPr>
        <w:t>démarré</w:t>
      </w:r>
      <w:r w:rsidR="005659E6">
        <w:rPr>
          <w:lang w:val="fr-FR"/>
        </w:rPr>
        <w:t xml:space="preserve"> d´abord par un renforcement de </w:t>
      </w:r>
      <w:r w:rsidR="001B2D81">
        <w:rPr>
          <w:lang w:val="fr-FR"/>
        </w:rPr>
        <w:t>compétences</w:t>
      </w:r>
      <w:r w:rsidR="005659E6">
        <w:rPr>
          <w:lang w:val="fr-FR"/>
        </w:rPr>
        <w:t xml:space="preserve"> des formateurs GERME de la </w:t>
      </w:r>
      <w:r w:rsidR="001B2D81">
        <w:rPr>
          <w:lang w:val="fr-FR"/>
        </w:rPr>
        <w:t>génération</w:t>
      </w:r>
      <w:r w:rsidR="005659E6">
        <w:rPr>
          <w:lang w:val="fr-FR"/>
        </w:rPr>
        <w:t xml:space="preserve"> de 2004, en plus de certains </w:t>
      </w:r>
      <w:r w:rsidR="0013333E">
        <w:rPr>
          <w:lang w:val="fr-FR"/>
        </w:rPr>
        <w:t xml:space="preserve">formateurs </w:t>
      </w:r>
      <w:r w:rsidR="005659E6">
        <w:rPr>
          <w:lang w:val="fr-FR"/>
        </w:rPr>
        <w:t>venant des structures partenaires du programm</w:t>
      </w:r>
      <w:r w:rsidR="0013333E">
        <w:rPr>
          <w:lang w:val="fr-FR"/>
        </w:rPr>
        <w:t>e</w:t>
      </w:r>
      <w:r w:rsidR="005659E6">
        <w:rPr>
          <w:lang w:val="fr-FR"/>
        </w:rPr>
        <w:t>. Ce renforcement ayant pris compte</w:t>
      </w:r>
      <w:r w:rsidR="001B2D81">
        <w:rPr>
          <w:lang w:val="fr-FR"/>
        </w:rPr>
        <w:t xml:space="preserve"> les aspects andragogiques et de la méthodologie GERME en ce qui concerne TRIE (trouvez votre idée d´entreprise), suivi d´un coaching o</w:t>
      </w:r>
      <w:r w:rsidR="0013333E">
        <w:rPr>
          <w:lang w:val="fr-FR"/>
        </w:rPr>
        <w:t>ù</w:t>
      </w:r>
      <w:r w:rsidR="001B2D81">
        <w:rPr>
          <w:lang w:val="fr-FR"/>
        </w:rPr>
        <w:t xml:space="preserve"> cent (100) jeunes ont eu à bénéficier de cette formation</w:t>
      </w:r>
      <w:r w:rsidR="007D14BA">
        <w:rPr>
          <w:lang w:val="fr-FR"/>
        </w:rPr>
        <w:t xml:space="preserve"> à Bissau</w:t>
      </w:r>
      <w:r w:rsidR="001B2D81">
        <w:rPr>
          <w:lang w:val="fr-FR"/>
        </w:rPr>
        <w:t xml:space="preserve">. </w:t>
      </w:r>
    </w:p>
    <w:p w:rsidR="007D14BA" w:rsidRPr="00804D86" w:rsidRDefault="007D14BA" w:rsidP="00ED6A03">
      <w:pPr>
        <w:jc w:val="both"/>
        <w:rPr>
          <w:lang w:val="fr-FR"/>
        </w:rPr>
      </w:pPr>
    </w:p>
    <w:p w:rsidR="004477B4" w:rsidRDefault="001B2D81" w:rsidP="007D14BA">
      <w:pPr>
        <w:jc w:val="both"/>
        <w:rPr>
          <w:spacing w:val="-3"/>
          <w:lang w:val="fr-FR"/>
        </w:rPr>
      </w:pPr>
      <w:r>
        <w:rPr>
          <w:spacing w:val="-3"/>
          <w:lang w:val="fr-FR"/>
        </w:rPr>
        <w:t xml:space="preserve">Pour la formation en CREE (créez votre entreprise), des 17 formateurs, seulement 13 ont </w:t>
      </w:r>
      <w:r w:rsidR="007D14BA">
        <w:rPr>
          <w:spacing w:val="-3"/>
          <w:lang w:val="fr-FR"/>
        </w:rPr>
        <w:t>étés</w:t>
      </w:r>
      <w:r>
        <w:rPr>
          <w:spacing w:val="-3"/>
          <w:lang w:val="fr-FR"/>
        </w:rPr>
        <w:t xml:space="preserve"> </w:t>
      </w:r>
      <w:r w:rsidR="007D14BA">
        <w:rPr>
          <w:spacing w:val="-3"/>
          <w:lang w:val="fr-FR"/>
        </w:rPr>
        <w:t>sélectionnés</w:t>
      </w:r>
      <w:r>
        <w:rPr>
          <w:spacing w:val="-3"/>
          <w:lang w:val="fr-FR"/>
        </w:rPr>
        <w:t xml:space="preserve">. La formation des formateurs en </w:t>
      </w:r>
      <w:r w:rsidR="0013333E">
        <w:rPr>
          <w:spacing w:val="-3"/>
          <w:lang w:val="fr-FR"/>
        </w:rPr>
        <w:t>CREE</w:t>
      </w:r>
      <w:r>
        <w:rPr>
          <w:spacing w:val="-3"/>
          <w:lang w:val="fr-FR"/>
        </w:rPr>
        <w:t xml:space="preserve">/BIT </w:t>
      </w:r>
      <w:r w:rsidR="007D14BA">
        <w:rPr>
          <w:spacing w:val="-3"/>
          <w:lang w:val="fr-FR"/>
        </w:rPr>
        <w:t>étant</w:t>
      </w:r>
      <w:r>
        <w:rPr>
          <w:spacing w:val="-3"/>
          <w:lang w:val="fr-FR"/>
        </w:rPr>
        <w:t xml:space="preserve"> une formation modulaire intensive, elle </w:t>
      </w:r>
      <w:r w:rsidR="007D14BA">
        <w:rPr>
          <w:spacing w:val="-3"/>
          <w:lang w:val="fr-FR"/>
        </w:rPr>
        <w:t>nécessite</w:t>
      </w:r>
      <w:r>
        <w:rPr>
          <w:spacing w:val="-3"/>
          <w:lang w:val="fr-FR"/>
        </w:rPr>
        <w:t xml:space="preserve"> une dispon</w:t>
      </w:r>
      <w:r w:rsidR="008920E9">
        <w:rPr>
          <w:spacing w:val="-3"/>
          <w:lang w:val="fr-FR"/>
        </w:rPr>
        <w:t>ibilité totale du formateur et l</w:t>
      </w:r>
      <w:r>
        <w:rPr>
          <w:spacing w:val="-3"/>
          <w:lang w:val="fr-FR"/>
        </w:rPr>
        <w:t>a mise en c</w:t>
      </w:r>
      <w:r w:rsidR="008920E9">
        <w:rPr>
          <w:spacing w:val="-3"/>
          <w:lang w:val="fr-FR"/>
        </w:rPr>
        <w:t xml:space="preserve">ondition </w:t>
      </w:r>
      <w:r w:rsidR="007D14BA">
        <w:rPr>
          <w:spacing w:val="-3"/>
          <w:lang w:val="fr-FR"/>
        </w:rPr>
        <w:t xml:space="preserve">pour pouvoir lui permettre de tirer profit et </w:t>
      </w:r>
      <w:r w:rsidR="008920E9">
        <w:rPr>
          <w:spacing w:val="-3"/>
          <w:lang w:val="fr-FR"/>
        </w:rPr>
        <w:t xml:space="preserve">de </w:t>
      </w:r>
      <w:r w:rsidR="007D14BA">
        <w:rPr>
          <w:spacing w:val="-3"/>
          <w:lang w:val="fr-FR"/>
        </w:rPr>
        <w:t>s´approprie</w:t>
      </w:r>
      <w:r w:rsidR="00E22C84">
        <w:rPr>
          <w:spacing w:val="-3"/>
          <w:lang w:val="fr-FR"/>
        </w:rPr>
        <w:t>r la méthodologie. Ainsi des 420 jeunes formés en Trie, 240</w:t>
      </w:r>
      <w:r w:rsidR="007D14BA">
        <w:rPr>
          <w:spacing w:val="-3"/>
          <w:lang w:val="fr-FR"/>
        </w:rPr>
        <w:t xml:space="preserve"> </w:t>
      </w:r>
      <w:r w:rsidR="00484298">
        <w:rPr>
          <w:spacing w:val="-3"/>
          <w:lang w:val="fr-FR"/>
        </w:rPr>
        <w:t xml:space="preserve">jeunes </w:t>
      </w:r>
      <w:r w:rsidR="007D14BA">
        <w:rPr>
          <w:spacing w:val="-3"/>
          <w:lang w:val="fr-FR"/>
        </w:rPr>
        <w:t xml:space="preserve">ont pu étés retenus et ont subi une formation en cree, après la </w:t>
      </w:r>
      <w:r w:rsidR="00CD44F9">
        <w:rPr>
          <w:spacing w:val="-3"/>
          <w:lang w:val="fr-FR"/>
        </w:rPr>
        <w:t>sélection</w:t>
      </w:r>
      <w:r w:rsidR="007D14BA">
        <w:rPr>
          <w:spacing w:val="-3"/>
          <w:lang w:val="fr-FR"/>
        </w:rPr>
        <w:t xml:space="preserve">, étant donné </w:t>
      </w:r>
      <w:r w:rsidR="00CD44F9">
        <w:rPr>
          <w:spacing w:val="-3"/>
          <w:lang w:val="fr-FR"/>
        </w:rPr>
        <w:t xml:space="preserve">que ceux-ci </w:t>
      </w:r>
      <w:r w:rsidR="007D14BA">
        <w:rPr>
          <w:spacing w:val="-3"/>
          <w:lang w:val="fr-FR"/>
        </w:rPr>
        <w:t>présentaient le niveau exigé pour l´optimisation et la compréhension de ce module.</w:t>
      </w:r>
      <w:r w:rsidR="00E22C84">
        <w:rPr>
          <w:spacing w:val="-3"/>
          <w:lang w:val="fr-FR"/>
        </w:rPr>
        <w:t xml:space="preserve"> Les 180</w:t>
      </w:r>
      <w:r w:rsidR="00484298">
        <w:rPr>
          <w:spacing w:val="-3"/>
          <w:lang w:val="fr-FR"/>
        </w:rPr>
        <w:t xml:space="preserve"> restants </w:t>
      </w:r>
      <w:r w:rsidR="00CD44F9">
        <w:rPr>
          <w:spacing w:val="-3"/>
          <w:lang w:val="fr-FR"/>
        </w:rPr>
        <w:t xml:space="preserve">seront soumis à une formation avec les modules de GERME classique niveau 1, destinés pour les peu ou non scolarisés. </w:t>
      </w:r>
      <w:r w:rsidR="007D14BA">
        <w:rPr>
          <w:spacing w:val="-3"/>
          <w:lang w:val="fr-FR"/>
        </w:rPr>
        <w:t xml:space="preserve"> </w:t>
      </w:r>
      <w:r w:rsidR="006406F0">
        <w:rPr>
          <w:spacing w:val="-3"/>
          <w:lang w:val="fr-FR"/>
        </w:rPr>
        <w:t xml:space="preserve">80 plans d´affaires </w:t>
      </w:r>
      <w:r w:rsidR="00054F00">
        <w:rPr>
          <w:spacing w:val="-3"/>
          <w:lang w:val="fr-FR"/>
        </w:rPr>
        <w:t>sont</w:t>
      </w:r>
      <w:r w:rsidR="006406F0">
        <w:rPr>
          <w:spacing w:val="-3"/>
          <w:lang w:val="fr-FR"/>
        </w:rPr>
        <w:t xml:space="preserve"> déjà prêts</w:t>
      </w:r>
      <w:r w:rsidR="00CD44F9">
        <w:rPr>
          <w:spacing w:val="-3"/>
          <w:lang w:val="fr-FR"/>
        </w:rPr>
        <w:t xml:space="preserve"> et attendent un financement</w:t>
      </w:r>
      <w:r w:rsidR="006406F0">
        <w:rPr>
          <w:spacing w:val="-3"/>
          <w:lang w:val="fr-FR"/>
        </w:rPr>
        <w:t>.</w:t>
      </w:r>
      <w:r w:rsidR="007D14BA">
        <w:rPr>
          <w:spacing w:val="-3"/>
          <w:lang w:val="fr-FR"/>
        </w:rPr>
        <w:t xml:space="preserve"> </w:t>
      </w:r>
    </w:p>
    <w:p w:rsidR="006406F0" w:rsidRDefault="006406F0" w:rsidP="007D14BA">
      <w:pPr>
        <w:jc w:val="both"/>
        <w:rPr>
          <w:spacing w:val="-3"/>
          <w:lang w:val="fr-FR"/>
        </w:rPr>
      </w:pPr>
    </w:p>
    <w:p w:rsidR="006406F0" w:rsidRDefault="006406F0" w:rsidP="007D14BA">
      <w:pPr>
        <w:jc w:val="both"/>
        <w:rPr>
          <w:spacing w:val="-3"/>
          <w:lang w:val="fr-FR"/>
        </w:rPr>
      </w:pPr>
      <w:r>
        <w:rPr>
          <w:spacing w:val="-3"/>
          <w:lang w:val="fr-FR"/>
        </w:rPr>
        <w:t xml:space="preserve">A la fin du mois de janvier 2010, </w:t>
      </w:r>
      <w:r w:rsidR="00742E20">
        <w:rPr>
          <w:spacing w:val="-3"/>
          <w:lang w:val="fr-FR"/>
        </w:rPr>
        <w:t>160</w:t>
      </w:r>
      <w:r>
        <w:rPr>
          <w:spacing w:val="-3"/>
          <w:lang w:val="fr-FR"/>
        </w:rPr>
        <w:t xml:space="preserve"> plans d´aff</w:t>
      </w:r>
      <w:r w:rsidR="00054F00">
        <w:rPr>
          <w:spacing w:val="-3"/>
          <w:lang w:val="fr-FR"/>
        </w:rPr>
        <w:t>aires des jeunes seront élabor</w:t>
      </w:r>
      <w:r w:rsidR="008920E9">
        <w:rPr>
          <w:spacing w:val="-3"/>
          <w:lang w:val="fr-FR"/>
        </w:rPr>
        <w:t>é</w:t>
      </w:r>
      <w:r w:rsidR="00054F00">
        <w:rPr>
          <w:spacing w:val="-3"/>
          <w:lang w:val="fr-FR"/>
        </w:rPr>
        <w:t>s</w:t>
      </w:r>
      <w:r>
        <w:rPr>
          <w:spacing w:val="-3"/>
          <w:lang w:val="fr-FR"/>
        </w:rPr>
        <w:t xml:space="preserve">: </w:t>
      </w:r>
      <w:r w:rsidR="00742E20">
        <w:rPr>
          <w:spacing w:val="-3"/>
          <w:lang w:val="fr-FR"/>
        </w:rPr>
        <w:t>40 à Bissau ; 40 à Gabu ; 40 à Cacheu ; 4</w:t>
      </w:r>
      <w:r>
        <w:rPr>
          <w:spacing w:val="-3"/>
          <w:lang w:val="fr-FR"/>
        </w:rPr>
        <w:t>0 à Quinara.</w:t>
      </w:r>
    </w:p>
    <w:p w:rsidR="007D14BA" w:rsidRDefault="007D14BA" w:rsidP="005C4472">
      <w:pPr>
        <w:rPr>
          <w:spacing w:val="-3"/>
          <w:lang w:val="fr-FR"/>
        </w:rPr>
      </w:pPr>
    </w:p>
    <w:p w:rsidR="00484298" w:rsidRDefault="006406F0" w:rsidP="00ED6A03">
      <w:pPr>
        <w:jc w:val="both"/>
        <w:rPr>
          <w:lang w:val="fr-FR"/>
        </w:rPr>
      </w:pPr>
      <w:r>
        <w:rPr>
          <w:lang w:val="fr-FR"/>
        </w:rPr>
        <w:t>Un</w:t>
      </w:r>
      <w:r w:rsidR="004477B4" w:rsidRPr="006E6364">
        <w:rPr>
          <w:lang w:val="fr-FR"/>
        </w:rPr>
        <w:t xml:space="preserve"> expert en microfinance pour l’évaluation des quatre banques de la place </w:t>
      </w:r>
      <w:r w:rsidR="00412646" w:rsidRPr="006E6364">
        <w:rPr>
          <w:lang w:val="fr-FR"/>
        </w:rPr>
        <w:t xml:space="preserve">pour la </w:t>
      </w:r>
      <w:r w:rsidR="004477B4" w:rsidRPr="006E6364">
        <w:rPr>
          <w:lang w:val="fr-FR"/>
        </w:rPr>
        <w:t xml:space="preserve">gestion d’une ligne de crédit </w:t>
      </w:r>
      <w:r w:rsidR="005C4472" w:rsidRPr="006E6364">
        <w:rPr>
          <w:lang w:val="fr-FR"/>
        </w:rPr>
        <w:t>pour l</w:t>
      </w:r>
      <w:r w:rsidR="005C4472" w:rsidRPr="006E6364">
        <w:rPr>
          <w:spacing w:val="-3"/>
          <w:lang w:val="fr-FR"/>
        </w:rPr>
        <w:t xml:space="preserve">es jeunes bénéficiaires </w:t>
      </w:r>
      <w:r>
        <w:rPr>
          <w:spacing w:val="-3"/>
          <w:lang w:val="fr-FR"/>
        </w:rPr>
        <w:t>a été r</w:t>
      </w:r>
      <w:r w:rsidR="006B3469">
        <w:rPr>
          <w:spacing w:val="-3"/>
          <w:lang w:val="fr-FR"/>
        </w:rPr>
        <w:t>ecruté. Cette mission a élabor</w:t>
      </w:r>
      <w:r w:rsidR="008920E9">
        <w:rPr>
          <w:spacing w:val="-3"/>
          <w:lang w:val="fr-FR"/>
        </w:rPr>
        <w:t>é</w:t>
      </w:r>
      <w:r>
        <w:rPr>
          <w:spacing w:val="-3"/>
          <w:lang w:val="fr-FR"/>
        </w:rPr>
        <w:t xml:space="preserve"> un rapport et recommandé deux banques (BAO et BDU), comme des institutions bancaires ayant l´</w:t>
      </w:r>
      <w:r w:rsidR="00484298">
        <w:rPr>
          <w:spacing w:val="-3"/>
          <w:lang w:val="fr-FR"/>
        </w:rPr>
        <w:t>intérêt</w:t>
      </w:r>
      <w:r>
        <w:rPr>
          <w:spacing w:val="-3"/>
          <w:lang w:val="fr-FR"/>
        </w:rPr>
        <w:t xml:space="preserve"> et les conditions de  </w:t>
      </w:r>
      <w:r w:rsidR="00484298">
        <w:rPr>
          <w:spacing w:val="-3"/>
          <w:lang w:val="fr-FR"/>
        </w:rPr>
        <w:t>gérer</w:t>
      </w:r>
      <w:r>
        <w:rPr>
          <w:spacing w:val="-3"/>
          <w:lang w:val="fr-FR"/>
        </w:rPr>
        <w:t xml:space="preserve"> des ligne</w:t>
      </w:r>
      <w:r w:rsidR="00484298">
        <w:rPr>
          <w:spacing w:val="-3"/>
          <w:lang w:val="fr-FR"/>
        </w:rPr>
        <w:t>s</w:t>
      </w:r>
      <w:r>
        <w:rPr>
          <w:spacing w:val="-3"/>
          <w:lang w:val="fr-FR"/>
        </w:rPr>
        <w:t xml:space="preserve"> de </w:t>
      </w:r>
      <w:r w:rsidR="00484298">
        <w:rPr>
          <w:spacing w:val="-3"/>
          <w:lang w:val="fr-FR"/>
        </w:rPr>
        <w:t>crédits</w:t>
      </w:r>
      <w:r>
        <w:rPr>
          <w:spacing w:val="-3"/>
          <w:lang w:val="fr-FR"/>
        </w:rPr>
        <w:t xml:space="preserve"> pour les jeunes.  </w:t>
      </w:r>
      <w:r>
        <w:rPr>
          <w:lang w:val="fr-FR"/>
        </w:rPr>
        <w:t xml:space="preserve">Le </w:t>
      </w:r>
      <w:r w:rsidR="005C4472">
        <w:rPr>
          <w:lang w:val="fr-FR"/>
        </w:rPr>
        <w:t xml:space="preserve">Comité de Pilotage </w:t>
      </w:r>
      <w:r w:rsidR="00484298">
        <w:rPr>
          <w:lang w:val="fr-FR"/>
        </w:rPr>
        <w:t>qui s´est réuni au mois d´Août 2009 a approuvé les recommandations de cette mission et a autorisé d´entamer les négociations avec les deux banques.</w:t>
      </w:r>
    </w:p>
    <w:p w:rsidR="005C4472" w:rsidRDefault="005C4472" w:rsidP="005C4472">
      <w:pPr>
        <w:rPr>
          <w:lang w:val="fr-FR"/>
        </w:rPr>
      </w:pPr>
    </w:p>
    <w:p w:rsidR="004477B4" w:rsidRPr="00CD44F9" w:rsidRDefault="004477B4" w:rsidP="00CD44F9">
      <w:pPr>
        <w:jc w:val="both"/>
        <w:rPr>
          <w:lang w:val="fr-FR"/>
        </w:rPr>
      </w:pPr>
    </w:p>
    <w:p w:rsidR="006B3469" w:rsidRDefault="006B3469">
      <w:pPr>
        <w:spacing w:after="200" w:line="276" w:lineRule="auto"/>
        <w:rPr>
          <w:lang w:val="fr-FR"/>
        </w:rPr>
      </w:pPr>
      <w:r>
        <w:rPr>
          <w:lang w:val="fr-FR"/>
        </w:rPr>
        <w:br w:type="page"/>
      </w:r>
    </w:p>
    <w:p w:rsidR="0095047F" w:rsidRPr="00076284" w:rsidRDefault="0095047F" w:rsidP="00076284">
      <w:pPr>
        <w:rPr>
          <w:lang w:val="fr-FR"/>
        </w:rPr>
      </w:pPr>
    </w:p>
    <w:p w:rsidR="00A80FF3" w:rsidRDefault="009D5B6A" w:rsidP="00076284">
      <w:pPr>
        <w:pStyle w:val="ListParagraph"/>
        <w:numPr>
          <w:ilvl w:val="0"/>
          <w:numId w:val="8"/>
        </w:numPr>
        <w:rPr>
          <w:sz w:val="32"/>
          <w:szCs w:val="32"/>
          <w:lang w:val="fr-FR"/>
        </w:rPr>
      </w:pPr>
      <w:r>
        <w:rPr>
          <w:sz w:val="32"/>
          <w:szCs w:val="32"/>
          <w:lang w:val="fr-FR"/>
        </w:rPr>
        <w:t>Plan d’</w:t>
      </w:r>
      <w:r w:rsidR="00076284" w:rsidRPr="00076284">
        <w:rPr>
          <w:sz w:val="32"/>
          <w:szCs w:val="32"/>
          <w:lang w:val="fr-FR"/>
        </w:rPr>
        <w:t xml:space="preserve">Activités </w:t>
      </w:r>
      <w:r w:rsidR="0095047F" w:rsidRPr="00076284">
        <w:rPr>
          <w:sz w:val="32"/>
          <w:szCs w:val="32"/>
          <w:lang w:val="fr-FR"/>
        </w:rPr>
        <w:t xml:space="preserve"> </w:t>
      </w:r>
    </w:p>
    <w:p w:rsidR="009D5B6A" w:rsidRDefault="009D5B6A" w:rsidP="009D5B6A">
      <w:pPr>
        <w:rPr>
          <w:sz w:val="32"/>
          <w:szCs w:val="32"/>
          <w:lang w:val="fr-FR"/>
        </w:rPr>
      </w:pPr>
    </w:p>
    <w:p w:rsidR="009D5B6A" w:rsidRPr="009D5B6A" w:rsidRDefault="004573B2" w:rsidP="009D5B6A">
      <w:pPr>
        <w:rPr>
          <w:b/>
          <w:lang w:val="fr-FR"/>
        </w:rPr>
      </w:pPr>
      <w:r>
        <w:rPr>
          <w:b/>
          <w:lang w:val="fr-FR"/>
        </w:rPr>
        <w:t xml:space="preserve">5.1. </w:t>
      </w:r>
      <w:r w:rsidR="009D5B6A" w:rsidRPr="009D5B6A">
        <w:rPr>
          <w:b/>
          <w:lang w:val="fr-FR"/>
        </w:rPr>
        <w:t>Activités futur</w:t>
      </w:r>
      <w:r w:rsidR="006D692F">
        <w:rPr>
          <w:b/>
          <w:lang w:val="fr-FR"/>
        </w:rPr>
        <w:t>e</w:t>
      </w:r>
      <w:r w:rsidR="009D5B6A" w:rsidRPr="009D5B6A">
        <w:rPr>
          <w:b/>
          <w:lang w:val="fr-FR"/>
        </w:rPr>
        <w:t xml:space="preserve">s </w:t>
      </w:r>
    </w:p>
    <w:p w:rsidR="009D5B6A" w:rsidRPr="009D5B6A" w:rsidRDefault="009D5B6A" w:rsidP="009D5B6A">
      <w:pPr>
        <w:rPr>
          <w:b/>
          <w:sz w:val="28"/>
          <w:szCs w:val="28"/>
          <w:lang w:val="fr-FR"/>
        </w:rPr>
      </w:pPr>
    </w:p>
    <w:p w:rsidR="00076284" w:rsidRDefault="00076284" w:rsidP="00076284">
      <w:pPr>
        <w:rPr>
          <w:lang w:val="fr-FR"/>
        </w:rPr>
      </w:pPr>
      <w:r w:rsidRPr="00286573">
        <w:rPr>
          <w:lang w:val="fr-FR"/>
        </w:rPr>
        <w:t xml:space="preserve">Les efforts seront concentrés prioritairement dans les activités </w:t>
      </w:r>
      <w:r w:rsidR="00551170">
        <w:rPr>
          <w:lang w:val="fr-FR"/>
        </w:rPr>
        <w:t xml:space="preserve">concernant les résultats suivants : </w:t>
      </w:r>
    </w:p>
    <w:p w:rsidR="0083715B" w:rsidRPr="00CD44F9" w:rsidRDefault="00551170" w:rsidP="00CD44F9">
      <w:pPr>
        <w:rPr>
          <w:lang w:val="fr-FR"/>
        </w:rPr>
      </w:pPr>
      <w:r w:rsidRPr="00CD44F9">
        <w:rPr>
          <w:lang w:val="fr-FR"/>
        </w:rPr>
        <w:t xml:space="preserve"> </w:t>
      </w:r>
    </w:p>
    <w:p w:rsidR="009E7545" w:rsidRPr="0083715B" w:rsidRDefault="00C358FD" w:rsidP="0083715B">
      <w:pPr>
        <w:pStyle w:val="ListParagraph"/>
        <w:numPr>
          <w:ilvl w:val="0"/>
          <w:numId w:val="11"/>
        </w:numPr>
        <w:rPr>
          <w:lang w:val="fr-FR"/>
        </w:rPr>
      </w:pPr>
      <w:r>
        <w:rPr>
          <w:lang w:val="fr-FR"/>
        </w:rPr>
        <w:t>Assurer la f</w:t>
      </w:r>
      <w:r w:rsidR="00551170" w:rsidRPr="0083715B">
        <w:rPr>
          <w:lang w:val="fr-FR"/>
        </w:rPr>
        <w:t xml:space="preserve">ormation professionnelle des jeunes dans les domaines prioritaires. </w:t>
      </w:r>
    </w:p>
    <w:p w:rsidR="00551170" w:rsidRDefault="00551170" w:rsidP="0083715B">
      <w:pPr>
        <w:pStyle w:val="ListParagraph"/>
        <w:numPr>
          <w:ilvl w:val="0"/>
          <w:numId w:val="11"/>
        </w:numPr>
        <w:rPr>
          <w:lang w:val="fr-FR"/>
        </w:rPr>
      </w:pPr>
      <w:r w:rsidRPr="0083715B">
        <w:rPr>
          <w:lang w:val="fr-FR"/>
        </w:rPr>
        <w:t>Appu</w:t>
      </w:r>
      <w:r w:rsidR="006D692F">
        <w:rPr>
          <w:lang w:val="fr-FR"/>
        </w:rPr>
        <w:t>yer</w:t>
      </w:r>
      <w:r w:rsidRPr="0083715B">
        <w:rPr>
          <w:lang w:val="fr-FR"/>
        </w:rPr>
        <w:t xml:space="preserve"> </w:t>
      </w:r>
      <w:r w:rsidR="006D692F">
        <w:rPr>
          <w:lang w:val="fr-FR"/>
        </w:rPr>
        <w:t xml:space="preserve"> les</w:t>
      </w:r>
      <w:r w:rsidRPr="0083715B">
        <w:rPr>
          <w:lang w:val="fr-FR"/>
        </w:rPr>
        <w:t xml:space="preserve"> jeunes candidat(e)s à la formulation et au développement de projets et activités génératrices de revenus à travers le </w:t>
      </w:r>
      <w:r w:rsidR="0083715B" w:rsidRPr="0083715B">
        <w:rPr>
          <w:lang w:val="fr-FR"/>
        </w:rPr>
        <w:t>microcrédit</w:t>
      </w:r>
      <w:r w:rsidRPr="0083715B">
        <w:rPr>
          <w:lang w:val="fr-FR"/>
        </w:rPr>
        <w:t>.</w:t>
      </w:r>
    </w:p>
    <w:p w:rsidR="00736FB1" w:rsidRDefault="00736FB1" w:rsidP="0083715B">
      <w:pPr>
        <w:pStyle w:val="ListParagraph"/>
        <w:numPr>
          <w:ilvl w:val="0"/>
          <w:numId w:val="11"/>
        </w:numPr>
        <w:rPr>
          <w:lang w:val="fr-FR"/>
        </w:rPr>
      </w:pPr>
      <w:r>
        <w:rPr>
          <w:lang w:val="fr-FR"/>
        </w:rPr>
        <w:t>Attribu</w:t>
      </w:r>
      <w:r w:rsidR="006D692F">
        <w:rPr>
          <w:lang w:val="fr-FR"/>
        </w:rPr>
        <w:t>er</w:t>
      </w:r>
      <w:r>
        <w:rPr>
          <w:lang w:val="fr-FR"/>
        </w:rPr>
        <w:t xml:space="preserve"> des crédits aux jeunes, selon les modalités et conditions d’octroi </w:t>
      </w:r>
    </w:p>
    <w:p w:rsidR="00CD44F9" w:rsidRPr="0083715B" w:rsidRDefault="006D692F" w:rsidP="0083715B">
      <w:pPr>
        <w:pStyle w:val="ListParagraph"/>
        <w:numPr>
          <w:ilvl w:val="0"/>
          <w:numId w:val="11"/>
        </w:numPr>
        <w:rPr>
          <w:lang w:val="fr-FR"/>
        </w:rPr>
      </w:pPr>
      <w:r>
        <w:rPr>
          <w:lang w:val="fr-FR"/>
        </w:rPr>
        <w:t>Assurer le s</w:t>
      </w:r>
      <w:r w:rsidR="00CD44F9">
        <w:rPr>
          <w:lang w:val="fr-FR"/>
        </w:rPr>
        <w:t xml:space="preserve">uivi et </w:t>
      </w:r>
      <w:r>
        <w:rPr>
          <w:lang w:val="fr-FR"/>
        </w:rPr>
        <w:t>l’</w:t>
      </w:r>
      <w:r w:rsidR="00CD44F9">
        <w:rPr>
          <w:lang w:val="fr-FR"/>
        </w:rPr>
        <w:t xml:space="preserve">appui technique des jeunes ayant </w:t>
      </w:r>
      <w:r w:rsidR="00736FB1">
        <w:rPr>
          <w:lang w:val="fr-FR"/>
        </w:rPr>
        <w:t>bénéficié</w:t>
      </w:r>
      <w:r w:rsidR="00CD44F9">
        <w:rPr>
          <w:lang w:val="fr-FR"/>
        </w:rPr>
        <w:t xml:space="preserve"> de crédit pour mieux s´assurer du progrès de leurs activités d´entreprenariat.</w:t>
      </w:r>
    </w:p>
    <w:p w:rsidR="00551170" w:rsidRPr="0083715B" w:rsidRDefault="00551170" w:rsidP="00076284">
      <w:pPr>
        <w:rPr>
          <w:lang w:val="fr-FR"/>
        </w:rPr>
      </w:pPr>
    </w:p>
    <w:p w:rsidR="0083715B" w:rsidRDefault="0083715B" w:rsidP="00076284">
      <w:pPr>
        <w:rPr>
          <w:lang w:val="fr-FR"/>
        </w:rPr>
      </w:pPr>
      <w:r>
        <w:rPr>
          <w:lang w:val="fr-FR"/>
        </w:rPr>
        <w:t xml:space="preserve"> Ainsi</w:t>
      </w:r>
      <w:r w:rsidR="00C358FD">
        <w:rPr>
          <w:lang w:val="fr-FR"/>
        </w:rPr>
        <w:t>,</w:t>
      </w:r>
      <w:r>
        <w:rPr>
          <w:lang w:val="fr-FR"/>
        </w:rPr>
        <w:t xml:space="preserve"> l</w:t>
      </w:r>
      <w:r w:rsidR="00C358FD">
        <w:rPr>
          <w:lang w:val="fr-FR"/>
        </w:rPr>
        <w:t>es activités suivant</w:t>
      </w:r>
      <w:r w:rsidR="00690ABB">
        <w:rPr>
          <w:lang w:val="fr-FR"/>
        </w:rPr>
        <w:t>es</w:t>
      </w:r>
      <w:r w:rsidR="00C358FD">
        <w:rPr>
          <w:lang w:val="fr-FR"/>
        </w:rPr>
        <w:t xml:space="preserve"> seront programmé</w:t>
      </w:r>
      <w:r w:rsidR="00690ABB">
        <w:rPr>
          <w:lang w:val="fr-FR"/>
        </w:rPr>
        <w:t>e</w:t>
      </w:r>
      <w:r w:rsidR="00C358FD">
        <w:rPr>
          <w:lang w:val="fr-FR"/>
        </w:rPr>
        <w:t>s</w:t>
      </w:r>
      <w:r>
        <w:rPr>
          <w:lang w:val="fr-FR"/>
        </w:rPr>
        <w:t xml:space="preserve">: </w:t>
      </w:r>
    </w:p>
    <w:p w:rsidR="00551170" w:rsidRPr="00014210" w:rsidRDefault="00551170" w:rsidP="00ED6A03">
      <w:pPr>
        <w:jc w:val="both"/>
        <w:rPr>
          <w:lang w:val="fr-FR"/>
        </w:rPr>
      </w:pPr>
    </w:p>
    <w:p w:rsidR="00076284" w:rsidRPr="0083715B" w:rsidRDefault="00076284" w:rsidP="00ED6A03">
      <w:pPr>
        <w:pStyle w:val="ListParagraph"/>
        <w:numPr>
          <w:ilvl w:val="0"/>
          <w:numId w:val="12"/>
        </w:numPr>
        <w:jc w:val="both"/>
        <w:rPr>
          <w:lang w:val="fr-FR"/>
        </w:rPr>
      </w:pPr>
      <w:r w:rsidRPr="0083715B">
        <w:rPr>
          <w:lang w:val="fr-FR"/>
        </w:rPr>
        <w:t xml:space="preserve">Formation des jeunes qui bénéficieront des formations dans les domaines de formation identifiés </w:t>
      </w:r>
      <w:r w:rsidR="0083715B" w:rsidRPr="0083715B">
        <w:rPr>
          <w:lang w:val="fr-FR"/>
        </w:rPr>
        <w:t xml:space="preserve">considérant </w:t>
      </w:r>
      <w:r w:rsidRPr="0083715B">
        <w:rPr>
          <w:lang w:val="fr-FR"/>
        </w:rPr>
        <w:t>notamment des adhérents des organisations communautaires de base</w:t>
      </w:r>
      <w:r w:rsidR="006341F7">
        <w:rPr>
          <w:lang w:val="fr-FR"/>
        </w:rPr>
        <w:t> ;</w:t>
      </w:r>
    </w:p>
    <w:p w:rsidR="00551170" w:rsidRDefault="00551170" w:rsidP="00ED6A03">
      <w:pPr>
        <w:jc w:val="both"/>
        <w:rPr>
          <w:lang w:val="fr-FR"/>
        </w:rPr>
      </w:pPr>
    </w:p>
    <w:p w:rsidR="00076284" w:rsidRPr="0083715B" w:rsidRDefault="00076284" w:rsidP="00ED6A03">
      <w:pPr>
        <w:pStyle w:val="ListParagraph"/>
        <w:numPr>
          <w:ilvl w:val="0"/>
          <w:numId w:val="12"/>
        </w:numPr>
        <w:jc w:val="both"/>
        <w:rPr>
          <w:lang w:val="fr-FR"/>
        </w:rPr>
      </w:pPr>
      <w:r w:rsidRPr="0083715B">
        <w:rPr>
          <w:lang w:val="fr-FR"/>
        </w:rPr>
        <w:t>Appui à la formulation et au développement des projets par les jeunes et leurs sélections pour le financement et encadrement</w:t>
      </w:r>
      <w:r w:rsidR="006341F7">
        <w:rPr>
          <w:lang w:val="fr-FR"/>
        </w:rPr>
        <w:t> ;</w:t>
      </w:r>
    </w:p>
    <w:p w:rsidR="00551170" w:rsidRPr="00014210" w:rsidRDefault="00551170" w:rsidP="00ED6A03">
      <w:pPr>
        <w:jc w:val="both"/>
        <w:rPr>
          <w:lang w:val="fr-FR"/>
        </w:rPr>
      </w:pPr>
    </w:p>
    <w:p w:rsidR="00076284" w:rsidRPr="0083715B" w:rsidRDefault="009A7D08" w:rsidP="00ED6A03">
      <w:pPr>
        <w:pStyle w:val="ListParagraph"/>
        <w:numPr>
          <w:ilvl w:val="0"/>
          <w:numId w:val="12"/>
        </w:numPr>
        <w:jc w:val="both"/>
        <w:rPr>
          <w:lang w:val="fr-FR"/>
        </w:rPr>
      </w:pPr>
      <w:r>
        <w:rPr>
          <w:lang w:val="fr-FR"/>
        </w:rPr>
        <w:t>E</w:t>
      </w:r>
      <w:r w:rsidR="00076284" w:rsidRPr="0083715B">
        <w:rPr>
          <w:lang w:val="fr-FR"/>
        </w:rPr>
        <w:t>tablissement de contrats avec ces institutions</w:t>
      </w:r>
      <w:r w:rsidR="006341F7">
        <w:rPr>
          <w:lang w:val="fr-FR"/>
        </w:rPr>
        <w:t> ;</w:t>
      </w:r>
    </w:p>
    <w:p w:rsidR="00551170" w:rsidRDefault="00551170" w:rsidP="00ED6A03">
      <w:pPr>
        <w:jc w:val="both"/>
        <w:rPr>
          <w:lang w:val="fr-FR"/>
        </w:rPr>
      </w:pPr>
    </w:p>
    <w:p w:rsidR="00736FB1" w:rsidRPr="00736FB1" w:rsidRDefault="00736FB1" w:rsidP="00736FB1">
      <w:pPr>
        <w:pStyle w:val="ListParagraph"/>
        <w:rPr>
          <w:lang w:val="fr-FR"/>
        </w:rPr>
      </w:pPr>
    </w:p>
    <w:p w:rsidR="00736FB1" w:rsidRDefault="00736FB1" w:rsidP="00736FB1">
      <w:pPr>
        <w:pStyle w:val="ListParagraph"/>
        <w:numPr>
          <w:ilvl w:val="0"/>
          <w:numId w:val="12"/>
        </w:numPr>
        <w:jc w:val="both"/>
        <w:rPr>
          <w:lang w:val="fr-FR"/>
        </w:rPr>
      </w:pPr>
      <w:r>
        <w:rPr>
          <w:lang w:val="fr-FR"/>
        </w:rPr>
        <w:t>Assistan</w:t>
      </w:r>
      <w:r w:rsidR="009A7D08">
        <w:rPr>
          <w:lang w:val="fr-FR"/>
        </w:rPr>
        <w:t>ce technique apportée</w:t>
      </w:r>
      <w:r>
        <w:rPr>
          <w:lang w:val="fr-FR"/>
        </w:rPr>
        <w:t xml:space="preserve"> aux jeunes entrepreneurs ayant bénéficié de crédit pour assurer le suivi de leurs activités.</w:t>
      </w:r>
    </w:p>
    <w:p w:rsidR="00736FB1" w:rsidRDefault="00736FB1" w:rsidP="00736FB1">
      <w:pPr>
        <w:pStyle w:val="ListParagraph"/>
        <w:jc w:val="both"/>
        <w:rPr>
          <w:lang w:val="fr-FR"/>
        </w:rPr>
      </w:pPr>
    </w:p>
    <w:p w:rsidR="00076284" w:rsidRDefault="00076284" w:rsidP="00ED6A03">
      <w:pPr>
        <w:pStyle w:val="ListParagraph"/>
        <w:numPr>
          <w:ilvl w:val="0"/>
          <w:numId w:val="12"/>
        </w:numPr>
        <w:jc w:val="both"/>
        <w:rPr>
          <w:lang w:val="fr-FR"/>
        </w:rPr>
      </w:pPr>
      <w:r w:rsidRPr="0083715B">
        <w:rPr>
          <w:lang w:val="fr-FR"/>
        </w:rPr>
        <w:t>Assistance technique apportée aux institutions de formation pour leur organisation/fonctionnement, élaboration des</w:t>
      </w:r>
      <w:r w:rsidR="00ED6A03">
        <w:rPr>
          <w:lang w:val="fr-FR"/>
        </w:rPr>
        <w:t xml:space="preserve"> modules de formation dans les </w:t>
      </w:r>
      <w:r w:rsidRPr="0083715B">
        <w:rPr>
          <w:lang w:val="fr-FR"/>
        </w:rPr>
        <w:t>domaines de formation identifiés et la formation de formateurs s</w:t>
      </w:r>
      <w:r w:rsidR="0053151E">
        <w:rPr>
          <w:lang w:val="fr-FR"/>
        </w:rPr>
        <w:t>elon les programmes d</w:t>
      </w:r>
      <w:r w:rsidR="00ED6A03">
        <w:rPr>
          <w:lang w:val="fr-FR"/>
        </w:rPr>
        <w:t xml:space="preserve">e </w:t>
      </w:r>
      <w:r w:rsidR="0053151E">
        <w:rPr>
          <w:lang w:val="fr-FR"/>
        </w:rPr>
        <w:t>formation</w:t>
      </w:r>
      <w:r w:rsidR="00384384">
        <w:rPr>
          <w:lang w:val="fr-FR"/>
        </w:rPr>
        <w:t> ;</w:t>
      </w:r>
    </w:p>
    <w:p w:rsidR="005D0679" w:rsidRPr="003806CD" w:rsidRDefault="005D0679" w:rsidP="003806CD">
      <w:pPr>
        <w:rPr>
          <w:lang w:val="fr-FR"/>
        </w:rPr>
      </w:pPr>
    </w:p>
    <w:p w:rsidR="00F20B62" w:rsidRDefault="00F20B62" w:rsidP="00F20B62">
      <w:pPr>
        <w:jc w:val="both"/>
        <w:rPr>
          <w:lang w:val="fr-FR"/>
        </w:rPr>
      </w:pPr>
    </w:p>
    <w:p w:rsidR="00A8225F" w:rsidRPr="004573B2" w:rsidRDefault="00736FB1" w:rsidP="004573B2">
      <w:pPr>
        <w:pStyle w:val="ListParagraph"/>
        <w:numPr>
          <w:ilvl w:val="1"/>
          <w:numId w:val="12"/>
        </w:numPr>
        <w:rPr>
          <w:b/>
          <w:lang w:val="fr-FR"/>
        </w:rPr>
      </w:pPr>
      <w:r>
        <w:rPr>
          <w:b/>
          <w:lang w:val="fr-FR"/>
        </w:rPr>
        <w:t xml:space="preserve"> </w:t>
      </w:r>
      <w:r w:rsidR="00690ABB">
        <w:rPr>
          <w:b/>
          <w:lang w:val="fr-FR"/>
        </w:rPr>
        <w:t>Ajustements éventuel</w:t>
      </w:r>
      <w:r w:rsidR="009D5B6A" w:rsidRPr="004573B2">
        <w:rPr>
          <w:b/>
          <w:lang w:val="fr-FR"/>
        </w:rPr>
        <w:t xml:space="preserve"> en stratégies, résultats etc ; </w:t>
      </w:r>
    </w:p>
    <w:p w:rsidR="009D5B6A" w:rsidRDefault="009D5B6A" w:rsidP="00F20B62">
      <w:pPr>
        <w:rPr>
          <w:lang w:val="fr-FR"/>
        </w:rPr>
      </w:pPr>
    </w:p>
    <w:p w:rsidR="0053151E" w:rsidRPr="00076284" w:rsidRDefault="00A8225F" w:rsidP="00076284">
      <w:pPr>
        <w:rPr>
          <w:lang w:val="fr-FR"/>
        </w:rPr>
      </w:pPr>
      <w:r>
        <w:rPr>
          <w:lang w:val="fr-FR"/>
        </w:rPr>
        <w:t>Du fait d</w:t>
      </w:r>
      <w:r w:rsidR="006341F7">
        <w:rPr>
          <w:lang w:val="fr-FR"/>
        </w:rPr>
        <w:t>’un certain retard vérifié dans la négociation avec les banques pour la gestion de ligne</w:t>
      </w:r>
      <w:r w:rsidR="00690ABB">
        <w:rPr>
          <w:lang w:val="fr-FR"/>
        </w:rPr>
        <w:t>s</w:t>
      </w:r>
      <w:r w:rsidR="006341F7">
        <w:rPr>
          <w:lang w:val="fr-FR"/>
        </w:rPr>
        <w:t xml:space="preserve"> de crédit, il serait nécessaire de prolonger la durée du projet pour l’octroi des crédits aux </w:t>
      </w:r>
      <w:r w:rsidR="009A7D08">
        <w:rPr>
          <w:lang w:val="fr-FR"/>
        </w:rPr>
        <w:t>240</w:t>
      </w:r>
      <w:r w:rsidR="00E31D5A">
        <w:rPr>
          <w:lang w:val="fr-FR"/>
        </w:rPr>
        <w:t xml:space="preserve"> plans d’affaires déjà </w:t>
      </w:r>
      <w:r w:rsidR="00BF0224">
        <w:rPr>
          <w:lang w:val="fr-FR"/>
        </w:rPr>
        <w:t xml:space="preserve">prêts. </w:t>
      </w:r>
      <w:r w:rsidR="009A7D08">
        <w:rPr>
          <w:lang w:val="fr-FR"/>
        </w:rPr>
        <w:t>D´autre</w:t>
      </w:r>
      <w:r w:rsidR="006341F7">
        <w:rPr>
          <w:lang w:val="fr-FR"/>
        </w:rPr>
        <w:t xml:space="preserve"> part, le document du projet n’a pas prévu l’assistance technique pour assurer le suivi des jeunes ayant bénéficié </w:t>
      </w:r>
      <w:r w:rsidR="00736FB1">
        <w:rPr>
          <w:lang w:val="fr-FR"/>
        </w:rPr>
        <w:t>des prêts</w:t>
      </w:r>
      <w:r w:rsidR="006341F7">
        <w:rPr>
          <w:lang w:val="fr-FR"/>
        </w:rPr>
        <w:t xml:space="preserve"> dans la mise en œuvre de leurs activités</w:t>
      </w:r>
      <w:r w:rsidR="00736FB1">
        <w:rPr>
          <w:lang w:val="fr-FR"/>
        </w:rPr>
        <w:t xml:space="preserve"> d´entreprenariat</w:t>
      </w:r>
      <w:r w:rsidR="006341F7">
        <w:rPr>
          <w:lang w:val="fr-FR"/>
        </w:rPr>
        <w:t>.</w:t>
      </w:r>
      <w:r w:rsidR="00736FB1">
        <w:rPr>
          <w:lang w:val="fr-FR"/>
        </w:rPr>
        <w:t xml:space="preserve"> Pour s’assurer du progrès et du succès du projet, il faudrait une attention particulière à cette composante. </w:t>
      </w:r>
      <w:r w:rsidR="00A346CB">
        <w:rPr>
          <w:lang w:val="fr-FR"/>
        </w:rPr>
        <w:t xml:space="preserve"> </w:t>
      </w:r>
    </w:p>
    <w:sectPr w:rsidR="0053151E" w:rsidRPr="00076284" w:rsidSect="006E0A18">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6F2" w:rsidRDefault="009A06F2" w:rsidP="005E7FD6">
      <w:r>
        <w:separator/>
      </w:r>
    </w:p>
  </w:endnote>
  <w:endnote w:type="continuationSeparator" w:id="0">
    <w:p w:rsidR="009A06F2" w:rsidRDefault="009A06F2" w:rsidP="005E7F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CD3" w:rsidRDefault="00D14CD3">
    <w:pPr>
      <w:pStyle w:val="Footer"/>
      <w:pBdr>
        <w:top w:val="single" w:sz="4" w:space="1" w:color="auto"/>
      </w:pBdr>
      <w:tabs>
        <w:tab w:val="clear" w:pos="4320"/>
        <w:tab w:val="clear" w:pos="8640"/>
        <w:tab w:val="center" w:pos="4500"/>
        <w:tab w:val="right" w:pos="9000"/>
      </w:tabs>
      <w:rPr>
        <w:rFonts w:ascii="Arial" w:hAnsi="Arial" w:cs="Arial"/>
        <w:sz w:val="18"/>
        <w:szCs w:val="18"/>
        <w:lang w:val="en-US"/>
      </w:rPr>
    </w:pPr>
    <w:r>
      <w:rPr>
        <w:rFonts w:ascii="Arial" w:hAnsi="Arial" w:cs="Arial"/>
        <w:sz w:val="18"/>
        <w:szCs w:val="18"/>
        <w:lang w:val="en-US"/>
      </w:rPr>
      <w:tab/>
    </w:r>
    <w:r>
      <w:rPr>
        <w:rFonts w:ascii="Arial" w:hAnsi="Arial" w:cs="Arial"/>
        <w:sz w:val="18"/>
        <w:szCs w:val="18"/>
        <w:lang w:val="en-US"/>
      </w:rPr>
      <w:tab/>
      <w:t xml:space="preserve">Page </w:t>
    </w:r>
    <w:r w:rsidR="005F50AF">
      <w:rPr>
        <w:rFonts w:ascii="Arial" w:hAnsi="Arial" w:cs="Arial"/>
        <w:sz w:val="18"/>
        <w:szCs w:val="18"/>
        <w:lang w:val="en-US"/>
      </w:rPr>
      <w:fldChar w:fldCharType="begin"/>
    </w:r>
    <w:r>
      <w:rPr>
        <w:rFonts w:ascii="Arial" w:hAnsi="Arial" w:cs="Arial"/>
        <w:sz w:val="18"/>
        <w:szCs w:val="18"/>
        <w:lang w:val="en-US"/>
      </w:rPr>
      <w:instrText xml:space="preserve"> PAGE   \* MERGEFORMAT </w:instrText>
    </w:r>
    <w:r w:rsidR="005F50AF">
      <w:rPr>
        <w:rFonts w:ascii="Arial" w:hAnsi="Arial" w:cs="Arial"/>
        <w:sz w:val="18"/>
        <w:szCs w:val="18"/>
        <w:lang w:val="en-US"/>
      </w:rPr>
      <w:fldChar w:fldCharType="separate"/>
    </w:r>
    <w:r w:rsidR="00CF6FE7">
      <w:rPr>
        <w:rFonts w:ascii="Arial" w:hAnsi="Arial" w:cs="Arial"/>
        <w:noProof/>
        <w:sz w:val="18"/>
        <w:szCs w:val="18"/>
        <w:lang w:val="en-US"/>
      </w:rPr>
      <w:t>1</w:t>
    </w:r>
    <w:r w:rsidR="005F50AF">
      <w:rPr>
        <w:rFonts w:ascii="Arial" w:hAnsi="Arial" w:cs="Arial"/>
        <w:sz w:val="18"/>
        <w:szCs w:val="18"/>
        <w:lang w:val="en-US"/>
      </w:rPr>
      <w:fldChar w:fldCharType="end"/>
    </w:r>
    <w:r>
      <w:rPr>
        <w:rFonts w:ascii="Arial" w:hAnsi="Arial" w:cs="Arial"/>
        <w:sz w:val="18"/>
        <w:szCs w:val="18"/>
        <w:lang w:val="en-US"/>
      </w:rPr>
      <w:t xml:space="preserve"> of </w:t>
    </w:r>
    <w:fldSimple w:instr=" NUMPAGES   \* MERGEFORMAT ">
      <w:r w:rsidR="00CF6FE7" w:rsidRPr="00CF6FE7">
        <w:rPr>
          <w:rFonts w:ascii="Arial" w:hAnsi="Arial" w:cs="Arial"/>
          <w:noProof/>
          <w:sz w:val="18"/>
          <w:szCs w:val="18"/>
          <w:lang w:val="en-US"/>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CD3" w:rsidRDefault="00D14CD3">
    <w:pPr>
      <w:pStyle w:val="Footer"/>
      <w:pBdr>
        <w:top w:val="single" w:sz="4" w:space="1" w:color="auto"/>
      </w:pBdr>
      <w:tabs>
        <w:tab w:val="clear" w:pos="4320"/>
        <w:tab w:val="clear" w:pos="8640"/>
        <w:tab w:val="center" w:pos="4500"/>
        <w:tab w:val="right" w:pos="9000"/>
      </w:tabs>
      <w:rPr>
        <w:rFonts w:ascii="Arial" w:hAnsi="Arial" w:cs="Arial"/>
        <w:sz w:val="18"/>
        <w:szCs w:val="18"/>
        <w:lang w:val="en-US"/>
      </w:rPr>
    </w:pPr>
    <w:r>
      <w:rPr>
        <w:rFonts w:ascii="Arial" w:hAnsi="Arial" w:cs="Arial"/>
        <w:sz w:val="18"/>
        <w:szCs w:val="18"/>
        <w:lang w:val="en-US"/>
      </w:rPr>
      <w:t>Sixth Six-Month Progress Report</w:t>
    </w:r>
    <w:r>
      <w:rPr>
        <w:rFonts w:ascii="Arial" w:hAnsi="Arial" w:cs="Arial"/>
        <w:sz w:val="18"/>
        <w:szCs w:val="18"/>
        <w:lang w:val="en-US"/>
      </w:rPr>
      <w:tab/>
      <w:t>1 January – 30 June 2007</w:t>
    </w:r>
    <w:r>
      <w:rPr>
        <w:rFonts w:ascii="Arial" w:hAnsi="Arial" w:cs="Arial"/>
        <w:sz w:val="18"/>
        <w:szCs w:val="18"/>
        <w:lang w:val="en-US"/>
      </w:rPr>
      <w:tab/>
      <w:t xml:space="preserve">Page </w:t>
    </w:r>
    <w:r w:rsidR="005F50AF">
      <w:rPr>
        <w:rFonts w:ascii="Arial" w:hAnsi="Arial" w:cs="Arial"/>
        <w:sz w:val="18"/>
        <w:szCs w:val="18"/>
        <w:lang w:val="en-US"/>
      </w:rPr>
      <w:fldChar w:fldCharType="begin"/>
    </w:r>
    <w:r>
      <w:rPr>
        <w:rFonts w:ascii="Arial" w:hAnsi="Arial" w:cs="Arial"/>
        <w:sz w:val="18"/>
        <w:szCs w:val="18"/>
        <w:lang w:val="en-US"/>
      </w:rPr>
      <w:instrText xml:space="preserve"> PAGE   \* MERGEFORMAT </w:instrText>
    </w:r>
    <w:r w:rsidR="005F50AF">
      <w:rPr>
        <w:rFonts w:ascii="Arial" w:hAnsi="Arial" w:cs="Arial"/>
        <w:sz w:val="18"/>
        <w:szCs w:val="18"/>
        <w:lang w:val="en-US"/>
      </w:rPr>
      <w:fldChar w:fldCharType="separate"/>
    </w:r>
    <w:r>
      <w:rPr>
        <w:rFonts w:ascii="Arial" w:hAnsi="Arial" w:cs="Arial"/>
        <w:noProof/>
        <w:sz w:val="18"/>
        <w:szCs w:val="18"/>
        <w:lang w:val="en-US"/>
      </w:rPr>
      <w:t>5</w:t>
    </w:r>
    <w:r w:rsidR="005F50AF">
      <w:rPr>
        <w:rFonts w:ascii="Arial" w:hAnsi="Arial" w:cs="Arial"/>
        <w:sz w:val="18"/>
        <w:szCs w:val="18"/>
        <w:lang w:val="en-US"/>
      </w:rPr>
      <w:fldChar w:fldCharType="end"/>
    </w:r>
    <w:r>
      <w:rPr>
        <w:rFonts w:ascii="Arial" w:hAnsi="Arial" w:cs="Arial"/>
        <w:sz w:val="18"/>
        <w:szCs w:val="18"/>
        <w:lang w:val="en-US"/>
      </w:rPr>
      <w:t xml:space="preserve"> of </w:t>
    </w:r>
    <w:fldSimple w:instr=" NUMPAGES   \* MERGEFORMAT ">
      <w:r w:rsidR="00024893" w:rsidRPr="00024893">
        <w:rPr>
          <w:rFonts w:ascii="Arial" w:hAnsi="Arial" w:cs="Arial"/>
          <w:noProof/>
          <w:sz w:val="18"/>
          <w:szCs w:val="18"/>
          <w:lang w:val="en-US"/>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CD3" w:rsidRDefault="005F50AF" w:rsidP="00D14CD3">
    <w:pPr>
      <w:pStyle w:val="Footer"/>
      <w:framePr w:wrap="around" w:vAnchor="text" w:hAnchor="margin" w:xAlign="right" w:y="1"/>
      <w:rPr>
        <w:rStyle w:val="PageNumber"/>
      </w:rPr>
    </w:pPr>
    <w:r>
      <w:rPr>
        <w:rStyle w:val="PageNumber"/>
      </w:rPr>
      <w:fldChar w:fldCharType="begin"/>
    </w:r>
    <w:r w:rsidR="00D14CD3">
      <w:rPr>
        <w:rStyle w:val="PageNumber"/>
      </w:rPr>
      <w:instrText xml:space="preserve">PAGE  </w:instrText>
    </w:r>
    <w:r>
      <w:rPr>
        <w:rStyle w:val="PageNumber"/>
      </w:rPr>
      <w:fldChar w:fldCharType="end"/>
    </w:r>
  </w:p>
  <w:p w:rsidR="00D14CD3" w:rsidRDefault="00D14CD3" w:rsidP="00D14CD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CD3" w:rsidRDefault="005F50AF" w:rsidP="00D14CD3">
    <w:pPr>
      <w:pStyle w:val="Footer"/>
      <w:framePr w:wrap="around" w:vAnchor="text" w:hAnchor="margin" w:xAlign="right" w:y="1"/>
      <w:rPr>
        <w:rStyle w:val="PageNumber"/>
      </w:rPr>
    </w:pPr>
    <w:r>
      <w:rPr>
        <w:rStyle w:val="PageNumber"/>
      </w:rPr>
      <w:fldChar w:fldCharType="begin"/>
    </w:r>
    <w:r w:rsidR="00D14CD3">
      <w:rPr>
        <w:rStyle w:val="PageNumber"/>
      </w:rPr>
      <w:instrText xml:space="preserve">PAGE  </w:instrText>
    </w:r>
    <w:r>
      <w:rPr>
        <w:rStyle w:val="PageNumber"/>
      </w:rPr>
      <w:fldChar w:fldCharType="separate"/>
    </w:r>
    <w:r w:rsidR="00CF6FE7">
      <w:rPr>
        <w:rStyle w:val="PageNumber"/>
        <w:noProof/>
      </w:rPr>
      <w:t>2</w:t>
    </w:r>
    <w:r>
      <w:rPr>
        <w:rStyle w:val="PageNumber"/>
      </w:rPr>
      <w:fldChar w:fldCharType="end"/>
    </w:r>
  </w:p>
  <w:p w:rsidR="00D14CD3" w:rsidRDefault="00D14CD3" w:rsidP="00D14C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6F2" w:rsidRDefault="009A06F2" w:rsidP="005E7FD6">
      <w:r>
        <w:separator/>
      </w:r>
    </w:p>
  </w:footnote>
  <w:footnote w:type="continuationSeparator" w:id="0">
    <w:p w:rsidR="009A06F2" w:rsidRDefault="009A06F2" w:rsidP="005E7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B3162"/>
    <w:multiLevelType w:val="hybridMultilevel"/>
    <w:tmpl w:val="7DC8E99C"/>
    <w:lvl w:ilvl="0" w:tplc="B39853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041192"/>
    <w:multiLevelType w:val="hybridMultilevel"/>
    <w:tmpl w:val="A8D43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565E43"/>
    <w:multiLevelType w:val="hybridMultilevel"/>
    <w:tmpl w:val="DE562606"/>
    <w:lvl w:ilvl="0" w:tplc="027EFC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6A2119"/>
    <w:multiLevelType w:val="hybridMultilevel"/>
    <w:tmpl w:val="BBE83FF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67952F8"/>
    <w:multiLevelType w:val="hybridMultilevel"/>
    <w:tmpl w:val="81C86914"/>
    <w:lvl w:ilvl="0" w:tplc="28D6EA10">
      <w:start w:val="1"/>
      <w:numFmt w:val="upperRoman"/>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B025CAF"/>
    <w:multiLevelType w:val="hybridMultilevel"/>
    <w:tmpl w:val="7256AFC2"/>
    <w:lvl w:ilvl="0" w:tplc="506251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441007D"/>
    <w:multiLevelType w:val="multilevel"/>
    <w:tmpl w:val="7640E35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9BA07DF"/>
    <w:multiLevelType w:val="hybridMultilevel"/>
    <w:tmpl w:val="C8A8659E"/>
    <w:lvl w:ilvl="0" w:tplc="4612A1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9313CA4"/>
    <w:multiLevelType w:val="hybridMultilevel"/>
    <w:tmpl w:val="88A49822"/>
    <w:lvl w:ilvl="0" w:tplc="70746A90">
      <w:start w:val="1"/>
      <w:numFmt w:val="upperRoman"/>
      <w:lvlText w:val="%1."/>
      <w:lvlJc w:val="left"/>
      <w:pPr>
        <w:ind w:left="720" w:hanging="72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433E74CB"/>
    <w:multiLevelType w:val="multilevel"/>
    <w:tmpl w:val="681C96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FC64FF"/>
    <w:multiLevelType w:val="multilevel"/>
    <w:tmpl w:val="BEFEA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2E81023"/>
    <w:multiLevelType w:val="hybridMultilevel"/>
    <w:tmpl w:val="A7EA2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72525F0"/>
    <w:multiLevelType w:val="hybridMultilevel"/>
    <w:tmpl w:val="4106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8"/>
  </w:num>
  <w:num w:numId="6">
    <w:abstractNumId w:val="9"/>
  </w:num>
  <w:num w:numId="7">
    <w:abstractNumId w:val="4"/>
  </w:num>
  <w:num w:numId="8">
    <w:abstractNumId w:val="5"/>
  </w:num>
  <w:num w:numId="9">
    <w:abstractNumId w:val="2"/>
  </w:num>
  <w:num w:numId="10">
    <w:abstractNumId w:val="12"/>
  </w:num>
  <w:num w:numId="11">
    <w:abstractNumId w:val="13"/>
  </w:num>
  <w:num w:numId="12">
    <w:abstractNumId w:val="7"/>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7389"/>
    <w:rsid w:val="00004EF2"/>
    <w:rsid w:val="00024893"/>
    <w:rsid w:val="00047C7F"/>
    <w:rsid w:val="00052003"/>
    <w:rsid w:val="00054F00"/>
    <w:rsid w:val="000720BB"/>
    <w:rsid w:val="00076284"/>
    <w:rsid w:val="00081458"/>
    <w:rsid w:val="00081581"/>
    <w:rsid w:val="0008181B"/>
    <w:rsid w:val="000C4A43"/>
    <w:rsid w:val="000E6D4E"/>
    <w:rsid w:val="000F3B54"/>
    <w:rsid w:val="0013333E"/>
    <w:rsid w:val="001724B8"/>
    <w:rsid w:val="001A281A"/>
    <w:rsid w:val="001B0405"/>
    <w:rsid w:val="001B2D81"/>
    <w:rsid w:val="001F1490"/>
    <w:rsid w:val="00203243"/>
    <w:rsid w:val="00210F17"/>
    <w:rsid w:val="00224ED7"/>
    <w:rsid w:val="00237657"/>
    <w:rsid w:val="0024311C"/>
    <w:rsid w:val="00246172"/>
    <w:rsid w:val="0025597E"/>
    <w:rsid w:val="00266D04"/>
    <w:rsid w:val="00272410"/>
    <w:rsid w:val="00295F5F"/>
    <w:rsid w:val="002A3F8B"/>
    <w:rsid w:val="002B1881"/>
    <w:rsid w:val="002C2334"/>
    <w:rsid w:val="002C52DD"/>
    <w:rsid w:val="002C7729"/>
    <w:rsid w:val="002E52BF"/>
    <w:rsid w:val="00301619"/>
    <w:rsid w:val="0030181C"/>
    <w:rsid w:val="00302AC4"/>
    <w:rsid w:val="003044CC"/>
    <w:rsid w:val="003118D6"/>
    <w:rsid w:val="00340688"/>
    <w:rsid w:val="00342D6B"/>
    <w:rsid w:val="00366B67"/>
    <w:rsid w:val="003806CD"/>
    <w:rsid w:val="00384384"/>
    <w:rsid w:val="003926DC"/>
    <w:rsid w:val="003B1757"/>
    <w:rsid w:val="003D15A3"/>
    <w:rsid w:val="003F7E64"/>
    <w:rsid w:val="00412646"/>
    <w:rsid w:val="004159BD"/>
    <w:rsid w:val="00426ECE"/>
    <w:rsid w:val="00442E7E"/>
    <w:rsid w:val="004477B4"/>
    <w:rsid w:val="004478AE"/>
    <w:rsid w:val="00455C34"/>
    <w:rsid w:val="004573B2"/>
    <w:rsid w:val="00477EDE"/>
    <w:rsid w:val="0048263C"/>
    <w:rsid w:val="00483E7E"/>
    <w:rsid w:val="00484298"/>
    <w:rsid w:val="00484F2C"/>
    <w:rsid w:val="004939CC"/>
    <w:rsid w:val="004962EE"/>
    <w:rsid w:val="004F455E"/>
    <w:rsid w:val="00501E50"/>
    <w:rsid w:val="0051570F"/>
    <w:rsid w:val="0053151E"/>
    <w:rsid w:val="005414F6"/>
    <w:rsid w:val="005467F7"/>
    <w:rsid w:val="00551170"/>
    <w:rsid w:val="00554C55"/>
    <w:rsid w:val="005659E6"/>
    <w:rsid w:val="00574221"/>
    <w:rsid w:val="00580905"/>
    <w:rsid w:val="00591545"/>
    <w:rsid w:val="00594208"/>
    <w:rsid w:val="005A10AC"/>
    <w:rsid w:val="005B6BFA"/>
    <w:rsid w:val="005C4472"/>
    <w:rsid w:val="005C7389"/>
    <w:rsid w:val="005D0679"/>
    <w:rsid w:val="005E7FD6"/>
    <w:rsid w:val="005F50AF"/>
    <w:rsid w:val="00625C8B"/>
    <w:rsid w:val="006341F7"/>
    <w:rsid w:val="006406F0"/>
    <w:rsid w:val="006624D6"/>
    <w:rsid w:val="00690ABB"/>
    <w:rsid w:val="00693FA6"/>
    <w:rsid w:val="006B3469"/>
    <w:rsid w:val="006C7326"/>
    <w:rsid w:val="006D417F"/>
    <w:rsid w:val="006D692F"/>
    <w:rsid w:val="006D7F86"/>
    <w:rsid w:val="006E0A18"/>
    <w:rsid w:val="006E6364"/>
    <w:rsid w:val="00711939"/>
    <w:rsid w:val="00716ED1"/>
    <w:rsid w:val="00736FB1"/>
    <w:rsid w:val="00742E20"/>
    <w:rsid w:val="0075194A"/>
    <w:rsid w:val="007554CA"/>
    <w:rsid w:val="007612D9"/>
    <w:rsid w:val="00770761"/>
    <w:rsid w:val="00776D97"/>
    <w:rsid w:val="00780DCB"/>
    <w:rsid w:val="00791789"/>
    <w:rsid w:val="007A0503"/>
    <w:rsid w:val="007B4000"/>
    <w:rsid w:val="007D14BA"/>
    <w:rsid w:val="007E603D"/>
    <w:rsid w:val="007F1B08"/>
    <w:rsid w:val="00825230"/>
    <w:rsid w:val="00830923"/>
    <w:rsid w:val="0083715B"/>
    <w:rsid w:val="008468EE"/>
    <w:rsid w:val="0085327D"/>
    <w:rsid w:val="00856C3B"/>
    <w:rsid w:val="00860D9F"/>
    <w:rsid w:val="008718A1"/>
    <w:rsid w:val="008920E9"/>
    <w:rsid w:val="008A15DF"/>
    <w:rsid w:val="008B4711"/>
    <w:rsid w:val="008B663E"/>
    <w:rsid w:val="008C1A3A"/>
    <w:rsid w:val="008F41A0"/>
    <w:rsid w:val="00905654"/>
    <w:rsid w:val="00906DD6"/>
    <w:rsid w:val="0095047F"/>
    <w:rsid w:val="00951FD7"/>
    <w:rsid w:val="009834CA"/>
    <w:rsid w:val="009973B3"/>
    <w:rsid w:val="009A06F2"/>
    <w:rsid w:val="009A7BE7"/>
    <w:rsid w:val="009A7D08"/>
    <w:rsid w:val="009B3ABB"/>
    <w:rsid w:val="009B467D"/>
    <w:rsid w:val="009D5B6A"/>
    <w:rsid w:val="009E7545"/>
    <w:rsid w:val="009F589B"/>
    <w:rsid w:val="00A24839"/>
    <w:rsid w:val="00A2736B"/>
    <w:rsid w:val="00A346CB"/>
    <w:rsid w:val="00A80FF3"/>
    <w:rsid w:val="00A8225F"/>
    <w:rsid w:val="00A84201"/>
    <w:rsid w:val="00AA3E67"/>
    <w:rsid w:val="00AA6138"/>
    <w:rsid w:val="00AE2DAA"/>
    <w:rsid w:val="00AE4786"/>
    <w:rsid w:val="00AF511E"/>
    <w:rsid w:val="00AF51F3"/>
    <w:rsid w:val="00B22800"/>
    <w:rsid w:val="00B25B40"/>
    <w:rsid w:val="00B40AC5"/>
    <w:rsid w:val="00B41E3E"/>
    <w:rsid w:val="00B7744E"/>
    <w:rsid w:val="00B84623"/>
    <w:rsid w:val="00BA2562"/>
    <w:rsid w:val="00BB66A4"/>
    <w:rsid w:val="00BC7A87"/>
    <w:rsid w:val="00BD2BAA"/>
    <w:rsid w:val="00BE08E3"/>
    <w:rsid w:val="00BE1086"/>
    <w:rsid w:val="00BF0224"/>
    <w:rsid w:val="00BF5EBA"/>
    <w:rsid w:val="00C254D6"/>
    <w:rsid w:val="00C3181B"/>
    <w:rsid w:val="00C358FD"/>
    <w:rsid w:val="00C4625A"/>
    <w:rsid w:val="00C54FE4"/>
    <w:rsid w:val="00C57C84"/>
    <w:rsid w:val="00C723B9"/>
    <w:rsid w:val="00C8305F"/>
    <w:rsid w:val="00C9475E"/>
    <w:rsid w:val="00CA1FA4"/>
    <w:rsid w:val="00CD44F9"/>
    <w:rsid w:val="00CD6528"/>
    <w:rsid w:val="00CE6520"/>
    <w:rsid w:val="00CF6FE7"/>
    <w:rsid w:val="00D03BA0"/>
    <w:rsid w:val="00D06652"/>
    <w:rsid w:val="00D14CD3"/>
    <w:rsid w:val="00D35569"/>
    <w:rsid w:val="00D53E69"/>
    <w:rsid w:val="00D77B46"/>
    <w:rsid w:val="00D915DE"/>
    <w:rsid w:val="00DB78C8"/>
    <w:rsid w:val="00DC20EB"/>
    <w:rsid w:val="00DD5EC2"/>
    <w:rsid w:val="00DF4A7E"/>
    <w:rsid w:val="00E04793"/>
    <w:rsid w:val="00E22C84"/>
    <w:rsid w:val="00E22FA9"/>
    <w:rsid w:val="00E31D5A"/>
    <w:rsid w:val="00E43A9A"/>
    <w:rsid w:val="00E547F3"/>
    <w:rsid w:val="00E57659"/>
    <w:rsid w:val="00E61393"/>
    <w:rsid w:val="00E62CE3"/>
    <w:rsid w:val="00E65F82"/>
    <w:rsid w:val="00E76FB4"/>
    <w:rsid w:val="00E956D7"/>
    <w:rsid w:val="00E97D9C"/>
    <w:rsid w:val="00EA7A71"/>
    <w:rsid w:val="00ED6A03"/>
    <w:rsid w:val="00EE2962"/>
    <w:rsid w:val="00F16506"/>
    <w:rsid w:val="00F16A0B"/>
    <w:rsid w:val="00F20B62"/>
    <w:rsid w:val="00F45B05"/>
    <w:rsid w:val="00F471CC"/>
    <w:rsid w:val="00F53ABD"/>
    <w:rsid w:val="00F56A8B"/>
    <w:rsid w:val="00FA7E85"/>
    <w:rsid w:val="00FC2FEC"/>
    <w:rsid w:val="00FD615D"/>
    <w:rsid w:val="00FF00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8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C7389"/>
    <w:pPr>
      <w:keepNext/>
      <w:spacing w:before="240" w:after="120"/>
      <w:outlineLvl w:val="0"/>
    </w:pPr>
    <w:rPr>
      <w:rFonts w:ascii="Arial" w:hAnsi="Arial" w:cs="Arial"/>
      <w:b/>
      <w:bCs/>
      <w:color w:val="333399"/>
      <w:kern w:val="32"/>
      <w:sz w:val="28"/>
      <w:szCs w:val="32"/>
    </w:rPr>
  </w:style>
  <w:style w:type="paragraph" w:styleId="Heading2">
    <w:name w:val="heading 2"/>
    <w:basedOn w:val="Normal"/>
    <w:next w:val="Normal"/>
    <w:link w:val="Heading2Char"/>
    <w:qFormat/>
    <w:rsid w:val="005C738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389"/>
    <w:rPr>
      <w:rFonts w:ascii="Arial" w:eastAsia="Times New Roman" w:hAnsi="Arial" w:cs="Arial"/>
      <w:b/>
      <w:bCs/>
      <w:color w:val="333399"/>
      <w:kern w:val="32"/>
      <w:sz w:val="28"/>
      <w:szCs w:val="32"/>
      <w:lang w:val="en-GB"/>
    </w:rPr>
  </w:style>
  <w:style w:type="character" w:customStyle="1" w:styleId="Heading2Char">
    <w:name w:val="Heading 2 Char"/>
    <w:basedOn w:val="DefaultParagraphFont"/>
    <w:link w:val="Heading2"/>
    <w:rsid w:val="005C7389"/>
    <w:rPr>
      <w:rFonts w:ascii="Arial" w:eastAsia="Times New Roman" w:hAnsi="Arial" w:cs="Arial"/>
      <w:b/>
      <w:bCs/>
      <w:i/>
      <w:iCs/>
      <w:sz w:val="28"/>
      <w:szCs w:val="28"/>
      <w:lang w:val="en-GB"/>
    </w:rPr>
  </w:style>
  <w:style w:type="paragraph" w:styleId="BodyText">
    <w:name w:val="Body Text"/>
    <w:basedOn w:val="Normal"/>
    <w:link w:val="BodyTextChar"/>
    <w:rsid w:val="005C7389"/>
    <w:pPr>
      <w:spacing w:before="60" w:after="60"/>
      <w:jc w:val="both"/>
    </w:pPr>
    <w:rPr>
      <w:rFonts w:ascii="Arial" w:hAnsi="Arial"/>
      <w:color w:val="333399"/>
      <w:sz w:val="22"/>
    </w:rPr>
  </w:style>
  <w:style w:type="character" w:customStyle="1" w:styleId="BodyTextChar">
    <w:name w:val="Body Text Char"/>
    <w:basedOn w:val="DefaultParagraphFont"/>
    <w:link w:val="BodyText"/>
    <w:rsid w:val="005C7389"/>
    <w:rPr>
      <w:rFonts w:ascii="Arial" w:eastAsia="Times New Roman" w:hAnsi="Arial" w:cs="Times New Roman"/>
      <w:color w:val="333399"/>
      <w:szCs w:val="24"/>
      <w:lang w:val="en-GB"/>
    </w:rPr>
  </w:style>
  <w:style w:type="paragraph" w:styleId="Footer">
    <w:name w:val="footer"/>
    <w:basedOn w:val="Normal"/>
    <w:link w:val="FooterChar"/>
    <w:rsid w:val="005C7389"/>
    <w:pPr>
      <w:tabs>
        <w:tab w:val="center" w:pos="4320"/>
        <w:tab w:val="right" w:pos="8640"/>
      </w:tabs>
    </w:pPr>
  </w:style>
  <w:style w:type="character" w:customStyle="1" w:styleId="FooterChar">
    <w:name w:val="Footer Char"/>
    <w:basedOn w:val="DefaultParagraphFont"/>
    <w:link w:val="Footer"/>
    <w:rsid w:val="005C738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5C7389"/>
    <w:rPr>
      <w:rFonts w:ascii="Tahoma" w:hAnsi="Tahoma" w:cs="Tahoma"/>
      <w:sz w:val="16"/>
      <w:szCs w:val="16"/>
    </w:rPr>
  </w:style>
  <w:style w:type="character" w:customStyle="1" w:styleId="BalloonTextChar">
    <w:name w:val="Balloon Text Char"/>
    <w:basedOn w:val="DefaultParagraphFont"/>
    <w:link w:val="BalloonText"/>
    <w:uiPriority w:val="99"/>
    <w:semiHidden/>
    <w:rsid w:val="005C7389"/>
    <w:rPr>
      <w:rFonts w:ascii="Tahoma" w:eastAsia="Times New Roman" w:hAnsi="Tahoma" w:cs="Tahoma"/>
      <w:sz w:val="16"/>
      <w:szCs w:val="16"/>
      <w:lang w:val="en-GB"/>
    </w:rPr>
  </w:style>
  <w:style w:type="paragraph" w:styleId="ListParagraph">
    <w:name w:val="List Paragraph"/>
    <w:basedOn w:val="Normal"/>
    <w:uiPriority w:val="34"/>
    <w:qFormat/>
    <w:rsid w:val="005C7389"/>
    <w:pPr>
      <w:ind w:left="720"/>
      <w:contextualSpacing/>
    </w:pPr>
  </w:style>
  <w:style w:type="character" w:styleId="PageNumber">
    <w:name w:val="page number"/>
    <w:basedOn w:val="DefaultParagraphFont"/>
    <w:rsid w:val="00076284"/>
  </w:style>
  <w:style w:type="character" w:customStyle="1" w:styleId="longtext1">
    <w:name w:val="long_text1"/>
    <w:basedOn w:val="DefaultParagraphFont"/>
    <w:rsid w:val="00B40AC5"/>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6C8C4-4D13-452B-AE9D-29864369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4304</Words>
  <Characters>24534</Characters>
  <Application>Microsoft Office Word</Application>
  <DocSecurity>0</DocSecurity>
  <Lines>204</Lines>
  <Paragraphs>57</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Projecto Jovem</dc:creator>
  <cp:lastModifiedBy>Cristina.Bertarelli</cp:lastModifiedBy>
  <cp:revision>2</cp:revision>
  <cp:lastPrinted>2010-04-27T09:54:00Z</cp:lastPrinted>
  <dcterms:created xsi:type="dcterms:W3CDTF">2010-04-30T20:18:00Z</dcterms:created>
  <dcterms:modified xsi:type="dcterms:W3CDTF">2010-04-30T20:18:00Z</dcterms:modified>
</cp:coreProperties>
</file>