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4527"/>
      </w:tblGrid>
      <w:tr w:rsidR="005D7DBE" w:rsidRPr="00F7637C" w:rsidTr="005D7DBE">
        <w:tc>
          <w:tcPr>
            <w:tcW w:w="4716" w:type="dxa"/>
          </w:tcPr>
          <w:p w:rsidR="005D7DBE" w:rsidRPr="00F7637C" w:rsidRDefault="00C96400" w:rsidP="00AF7BE2">
            <w:pPr>
              <w:jc w:val="center"/>
              <w:rPr>
                <w:b/>
                <w:u w:val="single"/>
              </w:rPr>
            </w:pPr>
            <w:r>
              <w:rPr>
                <w:noProof/>
                <w:spacing w:val="-3"/>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4527" w:type="dxa"/>
          </w:tcPr>
          <w:p w:rsidR="005D7DBE" w:rsidRPr="00F7637C" w:rsidRDefault="005D7DBE" w:rsidP="00AF7BE2">
            <w:pPr>
              <w:jc w:val="center"/>
              <w:rPr>
                <w:u w:val="single"/>
              </w:rPr>
            </w:pPr>
            <w:r w:rsidRPr="00F7637C">
              <w:rPr>
                <w:u w:val="single"/>
              </w:rPr>
              <w:t>Insert Fund specific logo, if applicable</w:t>
            </w:r>
          </w:p>
        </w:tc>
      </w:tr>
    </w:tbl>
    <w:p w:rsidR="005D7DBE" w:rsidRPr="00E37C09" w:rsidRDefault="005D7DBE" w:rsidP="005D7DBE">
      <w:pPr>
        <w:jc w:val="center"/>
        <w:rPr>
          <w:b/>
        </w:rPr>
      </w:pPr>
      <w:r w:rsidRPr="004658BE">
        <w:rPr>
          <w:b/>
          <w:u w:val="single"/>
        </w:rPr>
        <w:t xml:space="preserve"> </w:t>
      </w:r>
    </w:p>
    <w:p w:rsidR="005D7DBE" w:rsidRPr="00E37C09" w:rsidRDefault="00C81A36" w:rsidP="005D7DBE">
      <w:pPr>
        <w:jc w:val="center"/>
        <w:rPr>
          <w:b/>
        </w:rPr>
      </w:pPr>
      <w:r>
        <w:rPr>
          <w:b/>
        </w:rPr>
        <w:t>LIBERIA PEACEBUILDING FUND</w:t>
      </w:r>
    </w:p>
    <w:p w:rsidR="005D7DBE" w:rsidRPr="00675DCC" w:rsidRDefault="005D7DBE" w:rsidP="005D7DBE">
      <w:pPr>
        <w:rPr>
          <w:sz w:val="14"/>
          <w:szCs w:val="16"/>
        </w:rPr>
      </w:pPr>
    </w:p>
    <w:p w:rsidR="005D7DBE" w:rsidRDefault="005D7DBE" w:rsidP="005D7DBE">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5D7DBE" w:rsidRPr="00AB0274" w:rsidRDefault="005D7DBE" w:rsidP="005D7DBE">
      <w:pPr>
        <w:jc w:val="center"/>
        <w:rPr>
          <w:b/>
          <w:bCs/>
          <w:caps/>
        </w:rPr>
      </w:pPr>
      <w:r>
        <w:rPr>
          <w:b/>
          <w:bCs/>
          <w:caps/>
        </w:rPr>
        <w:t xml:space="preserve">REPORTING PERIOD: </w:t>
      </w:r>
      <w:r w:rsidR="00BB73BB">
        <w:rPr>
          <w:b/>
          <w:bCs/>
          <w:caps/>
        </w:rPr>
        <w:t>28 aPRIL</w:t>
      </w:r>
      <w:r>
        <w:rPr>
          <w:b/>
          <w:bCs/>
          <w:caps/>
        </w:rPr>
        <w:t xml:space="preserve"> – </w:t>
      </w:r>
      <w:r w:rsidR="000F3ED8">
        <w:rPr>
          <w:b/>
          <w:bCs/>
          <w:caps/>
        </w:rPr>
        <w:t>28</w:t>
      </w:r>
      <w:r>
        <w:rPr>
          <w:b/>
          <w:bCs/>
          <w:caps/>
        </w:rPr>
        <w:t xml:space="preserve"> </w:t>
      </w:r>
      <w:r w:rsidR="000F3ED8">
        <w:rPr>
          <w:b/>
          <w:bCs/>
          <w:caps/>
        </w:rPr>
        <w:t>FEBRUARY</w:t>
      </w:r>
      <w:r>
        <w:rPr>
          <w:b/>
          <w:bCs/>
          <w:caps/>
        </w:rPr>
        <w:t xml:space="preserve"> 20</w:t>
      </w:r>
      <w:r w:rsidR="000F3ED8">
        <w:rPr>
          <w:b/>
          <w:bCs/>
          <w:caps/>
        </w:rPr>
        <w:t>1</w:t>
      </w:r>
      <w:r>
        <w:rPr>
          <w:b/>
          <w:bCs/>
          <w:caps/>
        </w:rPr>
        <w:t>0</w:t>
      </w:r>
    </w:p>
    <w:p w:rsidR="005D7DBE" w:rsidRPr="00234CC4" w:rsidRDefault="005D7DBE" w:rsidP="005D7DBE"/>
    <w:tbl>
      <w:tblPr>
        <w:tblW w:w="0" w:type="auto"/>
        <w:tblLook w:val="01E0"/>
      </w:tblPr>
      <w:tblGrid>
        <w:gridCol w:w="4461"/>
        <w:gridCol w:w="263"/>
        <w:gridCol w:w="4519"/>
      </w:tblGrid>
      <w:tr w:rsidR="005D7DBE" w:rsidRPr="00C77D10" w:rsidTr="00AF7BE2">
        <w:tc>
          <w:tcPr>
            <w:tcW w:w="4878" w:type="dxa"/>
            <w:vMerge w:val="restart"/>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0" w:name="_Toc249364469"/>
            <w:r w:rsidRPr="00AF7BE2">
              <w:rPr>
                <w:rFonts w:ascii="Arial" w:hAnsi="Arial" w:cs="Arial"/>
                <w:i w:val="0"/>
                <w:sz w:val="20"/>
                <w:szCs w:val="20"/>
              </w:rPr>
              <w:t>Submitted by:</w:t>
            </w:r>
            <w:bookmarkEnd w:id="0"/>
          </w:p>
          <w:p w:rsidR="00BB73BB" w:rsidRPr="00C77D10" w:rsidRDefault="00BB73BB" w:rsidP="00AF7BE2">
            <w:pPr>
              <w:rPr>
                <w:rFonts w:cs="Arial"/>
              </w:rPr>
            </w:pPr>
            <w:r w:rsidRPr="00C77D10">
              <w:rPr>
                <w:rFonts w:cs="Arial"/>
              </w:rPr>
              <w:t>Isabel Crowley</w:t>
            </w:r>
          </w:p>
          <w:p w:rsidR="00BB73BB" w:rsidRPr="00C77D10" w:rsidRDefault="00BB73BB" w:rsidP="00AF7BE2">
            <w:pPr>
              <w:rPr>
                <w:rFonts w:cs="Arial"/>
              </w:rPr>
            </w:pPr>
            <w:r w:rsidRPr="00C77D10">
              <w:rPr>
                <w:rFonts w:cs="Arial"/>
              </w:rPr>
              <w:t>UNICEF Liberia</w:t>
            </w:r>
          </w:p>
          <w:p w:rsidR="00BB73BB" w:rsidRPr="00C77D10" w:rsidRDefault="00BB73BB" w:rsidP="00AF7BE2">
            <w:pPr>
              <w:rPr>
                <w:rFonts w:cs="Arial"/>
              </w:rPr>
            </w:pPr>
            <w:r w:rsidRPr="00C77D10">
              <w:rPr>
                <w:rFonts w:cs="Arial"/>
              </w:rPr>
              <w:t xml:space="preserve">E-mail: </w:t>
            </w:r>
            <w:hyperlink r:id="rId8" w:history="1">
              <w:r w:rsidRPr="00AF7BE2">
                <w:rPr>
                  <w:rStyle w:val="Hyperlink"/>
                  <w:rFonts w:cs="Arial"/>
                </w:rPr>
                <w:t>icrowley@unicef.org</w:t>
              </w:r>
            </w:hyperlink>
          </w:p>
          <w:p w:rsidR="005D7DBE" w:rsidRPr="00C77D10" w:rsidRDefault="00BB73BB" w:rsidP="00AF7BE2">
            <w:pPr>
              <w:rPr>
                <w:rFonts w:cs="Arial"/>
              </w:rPr>
            </w:pPr>
            <w:r w:rsidRPr="00C77D10">
              <w:rPr>
                <w:rFonts w:cs="Arial"/>
              </w:rPr>
              <w:t>Tel: +2316702281</w:t>
            </w:r>
          </w:p>
        </w:tc>
        <w:tc>
          <w:tcPr>
            <w:tcW w:w="270" w:type="dxa"/>
            <w:tcBorders>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p>
        </w:tc>
        <w:tc>
          <w:tcPr>
            <w:tcW w:w="5040" w:type="dxa"/>
            <w:vMerge w:val="restart"/>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1" w:name="_Toc249364470"/>
            <w:r w:rsidRPr="00AF7BE2">
              <w:rPr>
                <w:rFonts w:ascii="Arial" w:hAnsi="Arial" w:cs="Arial"/>
                <w:i w:val="0"/>
                <w:sz w:val="20"/>
                <w:szCs w:val="20"/>
              </w:rPr>
              <w:t>Country and Thematic Area</w:t>
            </w:r>
            <w:bookmarkEnd w:id="1"/>
            <w:r w:rsidRPr="00AF7BE2">
              <w:rPr>
                <w:rStyle w:val="FootnoteReference"/>
                <w:rFonts w:ascii="Arial" w:hAnsi="Arial" w:cs="Arial"/>
                <w:i w:val="0"/>
                <w:sz w:val="20"/>
                <w:szCs w:val="20"/>
              </w:rPr>
              <w:footnoteReference w:id="2"/>
            </w:r>
          </w:p>
          <w:p w:rsidR="005D7DBE" w:rsidRPr="00C77D10" w:rsidRDefault="00C81A36" w:rsidP="00C81A36">
            <w:pPr>
              <w:jc w:val="left"/>
              <w:rPr>
                <w:rFonts w:cs="Arial"/>
                <w:b/>
                <w:i/>
              </w:rPr>
            </w:pPr>
            <w:r w:rsidRPr="00C77D10">
              <w:rPr>
                <w:rFonts w:cs="Arial"/>
              </w:rPr>
              <w:t>Priority Area 1: Fostering National Reconciliation and Conflict Management (with strong linkages to Priority Area 2: Critical Interventions to Promote Peace and Resolve Conflict)</w:t>
            </w:r>
          </w:p>
          <w:p w:rsidR="005D7DBE" w:rsidRPr="00C77D10" w:rsidRDefault="005D7DBE" w:rsidP="00AF7BE2">
            <w:pPr>
              <w:rPr>
                <w:rFonts w:cs="Arial"/>
              </w:rPr>
            </w:pPr>
          </w:p>
        </w:tc>
      </w:tr>
      <w:tr w:rsidR="005D7DBE" w:rsidRPr="00C77D10" w:rsidTr="00AF7BE2">
        <w:trPr>
          <w:trHeight w:val="396"/>
        </w:trPr>
        <w:tc>
          <w:tcPr>
            <w:tcW w:w="4878" w:type="dxa"/>
            <w:vMerge/>
            <w:tcBorders>
              <w:left w:val="single" w:sz="4" w:space="0" w:color="auto"/>
              <w:bottom w:val="single" w:sz="4" w:space="0" w:color="auto"/>
              <w:right w:val="single" w:sz="4" w:space="0" w:color="auto"/>
            </w:tcBorders>
          </w:tcPr>
          <w:p w:rsidR="005D7DBE" w:rsidRPr="00C77D10" w:rsidRDefault="005D7DBE" w:rsidP="00AF7BE2">
            <w:pPr>
              <w:pStyle w:val="BodyText"/>
              <w:rPr>
                <w:rFonts w:ascii="Arial" w:hAnsi="Arial" w:cs="Arial"/>
                <w:sz w:val="20"/>
              </w:rPr>
            </w:pPr>
          </w:p>
        </w:tc>
        <w:tc>
          <w:tcPr>
            <w:tcW w:w="270" w:type="dxa"/>
            <w:tcBorders>
              <w:left w:val="single" w:sz="4" w:space="0" w:color="auto"/>
              <w:right w:val="single" w:sz="4" w:space="0" w:color="auto"/>
            </w:tcBorders>
          </w:tcPr>
          <w:p w:rsidR="005D7DBE" w:rsidRPr="00C77D10" w:rsidRDefault="005D7DBE" w:rsidP="00AF7BE2">
            <w:pPr>
              <w:pStyle w:val="BodyText"/>
              <w:rPr>
                <w:rFonts w:ascii="Arial" w:hAnsi="Arial" w:cs="Arial"/>
                <w:sz w:val="20"/>
              </w:rPr>
            </w:pPr>
          </w:p>
        </w:tc>
        <w:tc>
          <w:tcPr>
            <w:tcW w:w="5040" w:type="dxa"/>
            <w:vMerge/>
            <w:tcBorders>
              <w:left w:val="single" w:sz="4" w:space="0" w:color="auto"/>
              <w:bottom w:val="single" w:sz="4" w:space="0" w:color="auto"/>
              <w:right w:val="single" w:sz="4" w:space="0" w:color="auto"/>
            </w:tcBorders>
          </w:tcPr>
          <w:p w:rsidR="005D7DBE" w:rsidRPr="00C77D10" w:rsidRDefault="005D7DBE" w:rsidP="00AF7BE2">
            <w:pPr>
              <w:pStyle w:val="BodyText"/>
              <w:rPr>
                <w:rFonts w:ascii="Arial" w:hAnsi="Arial" w:cs="Arial"/>
                <w:sz w:val="20"/>
              </w:rPr>
            </w:pPr>
          </w:p>
        </w:tc>
      </w:tr>
    </w:tbl>
    <w:p w:rsidR="005D7DBE" w:rsidRPr="00C77D10" w:rsidRDefault="005D7DBE" w:rsidP="005D7DBE">
      <w:pPr>
        <w:rPr>
          <w:rFonts w:cs="Arial"/>
        </w:rPr>
      </w:pPr>
    </w:p>
    <w:tbl>
      <w:tblPr>
        <w:tblW w:w="0" w:type="auto"/>
        <w:tblLook w:val="01E0"/>
      </w:tblPr>
      <w:tblGrid>
        <w:gridCol w:w="4428"/>
        <w:gridCol w:w="263"/>
        <w:gridCol w:w="4552"/>
      </w:tblGrid>
      <w:tr w:rsidR="005D7DBE" w:rsidRPr="00C77D10" w:rsidTr="00AF7BE2">
        <w:tc>
          <w:tcPr>
            <w:tcW w:w="4878" w:type="dxa"/>
            <w:vMerge w:val="restart"/>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2" w:name="_Toc249364474"/>
            <w:r w:rsidRPr="00AF7BE2">
              <w:rPr>
                <w:rFonts w:ascii="Arial" w:hAnsi="Arial" w:cs="Arial"/>
                <w:i w:val="0"/>
                <w:sz w:val="20"/>
                <w:szCs w:val="20"/>
              </w:rPr>
              <w:t>Programme No:</w:t>
            </w:r>
            <w:bookmarkEnd w:id="2"/>
            <w:r w:rsidR="00C81A36" w:rsidRPr="00AF7BE2">
              <w:rPr>
                <w:rFonts w:ascii="Arial" w:hAnsi="Arial" w:cs="Arial"/>
                <w:sz w:val="20"/>
                <w:szCs w:val="20"/>
              </w:rPr>
              <w:t xml:space="preserve"> PBF/PP/R3/A1/01</w:t>
            </w:r>
          </w:p>
          <w:p w:rsidR="005D7DBE" w:rsidRPr="00C77D10" w:rsidRDefault="005D7DBE" w:rsidP="00AF7BE2">
            <w:pPr>
              <w:rPr>
                <w:rFonts w:cs="Arial"/>
                <w:b/>
                <w:i/>
              </w:rPr>
            </w:pPr>
            <w:r w:rsidRPr="00C77D10">
              <w:rPr>
                <w:rFonts w:cs="Arial"/>
                <w:b/>
                <w:i/>
              </w:rPr>
              <w:t xml:space="preserve">MDTF Office Atlas No: </w:t>
            </w:r>
          </w:p>
          <w:p w:rsidR="005D7DBE" w:rsidRPr="00AF7BE2" w:rsidRDefault="005D7DBE" w:rsidP="00AF7BE2">
            <w:pPr>
              <w:pStyle w:val="Heading2"/>
              <w:rPr>
                <w:rFonts w:ascii="Arial" w:hAnsi="Arial" w:cs="Arial"/>
                <w:i w:val="0"/>
                <w:sz w:val="20"/>
                <w:szCs w:val="20"/>
              </w:rPr>
            </w:pPr>
            <w:bookmarkStart w:id="3" w:name="_Toc249364475"/>
            <w:r w:rsidRPr="00AF7BE2">
              <w:rPr>
                <w:rFonts w:ascii="Arial" w:hAnsi="Arial" w:cs="Arial"/>
                <w:i w:val="0"/>
                <w:sz w:val="20"/>
                <w:szCs w:val="20"/>
              </w:rPr>
              <w:t>Programme Title:</w:t>
            </w:r>
            <w:bookmarkEnd w:id="3"/>
          </w:p>
          <w:p w:rsidR="005D7DBE" w:rsidRPr="00C77D10" w:rsidRDefault="00C81A36" w:rsidP="003C6E51">
            <w:pPr>
              <w:jc w:val="left"/>
              <w:rPr>
                <w:rFonts w:cs="Arial"/>
              </w:rPr>
            </w:pPr>
            <w:r w:rsidRPr="00C77D10">
              <w:rPr>
                <w:rFonts w:cs="Arial"/>
              </w:rPr>
              <w:t>Youth Empowerment Services for Peace Building and Stability</w:t>
            </w:r>
          </w:p>
        </w:tc>
        <w:tc>
          <w:tcPr>
            <w:tcW w:w="270" w:type="dxa"/>
            <w:tcBorders>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p>
        </w:tc>
        <w:tc>
          <w:tcPr>
            <w:tcW w:w="5040" w:type="dxa"/>
            <w:vMerge w:val="restart"/>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4" w:name="_Toc249364476"/>
            <w:r w:rsidRPr="00AF7BE2">
              <w:rPr>
                <w:rFonts w:ascii="Arial" w:hAnsi="Arial" w:cs="Arial"/>
                <w:i w:val="0"/>
                <w:sz w:val="20"/>
                <w:szCs w:val="20"/>
              </w:rPr>
              <w:t>Participating Organization(s):</w:t>
            </w:r>
            <w:bookmarkEnd w:id="4"/>
            <w:r w:rsidRPr="00AF7BE2">
              <w:rPr>
                <w:rFonts w:ascii="Arial" w:hAnsi="Arial" w:cs="Arial"/>
                <w:i w:val="0"/>
                <w:sz w:val="20"/>
                <w:szCs w:val="20"/>
              </w:rPr>
              <w:tab/>
            </w:r>
          </w:p>
          <w:p w:rsidR="00C81A36" w:rsidRPr="00C77D10" w:rsidRDefault="00FF3FEA" w:rsidP="00C81A36">
            <w:pPr>
              <w:rPr>
                <w:rFonts w:cs="Arial"/>
              </w:rPr>
            </w:pPr>
            <w:r>
              <w:rPr>
                <w:rFonts w:cs="Arial"/>
              </w:rPr>
              <w:t>UNICEF</w:t>
            </w:r>
          </w:p>
        </w:tc>
      </w:tr>
      <w:tr w:rsidR="005D7DBE" w:rsidRPr="00C77D10" w:rsidTr="003C6E51">
        <w:trPr>
          <w:trHeight w:val="1223"/>
        </w:trPr>
        <w:tc>
          <w:tcPr>
            <w:tcW w:w="4878" w:type="dxa"/>
            <w:vMerge/>
            <w:tcBorders>
              <w:left w:val="single" w:sz="4" w:space="0" w:color="auto"/>
              <w:bottom w:val="single" w:sz="4" w:space="0" w:color="auto"/>
              <w:right w:val="single" w:sz="4" w:space="0" w:color="auto"/>
            </w:tcBorders>
          </w:tcPr>
          <w:p w:rsidR="005D7DBE" w:rsidRPr="00C77D10" w:rsidRDefault="005D7DBE" w:rsidP="00AF7BE2">
            <w:pPr>
              <w:pStyle w:val="BodyText"/>
              <w:rPr>
                <w:rFonts w:ascii="Arial" w:hAnsi="Arial" w:cs="Arial"/>
                <w:sz w:val="20"/>
              </w:rPr>
            </w:pPr>
          </w:p>
        </w:tc>
        <w:tc>
          <w:tcPr>
            <w:tcW w:w="270" w:type="dxa"/>
            <w:tcBorders>
              <w:left w:val="single" w:sz="4" w:space="0" w:color="auto"/>
              <w:right w:val="single" w:sz="4" w:space="0" w:color="auto"/>
            </w:tcBorders>
          </w:tcPr>
          <w:p w:rsidR="005D7DBE" w:rsidRPr="00C77D10" w:rsidRDefault="005D7DBE" w:rsidP="00AF7BE2">
            <w:pPr>
              <w:pStyle w:val="BodyText"/>
              <w:rPr>
                <w:rFonts w:ascii="Arial" w:hAnsi="Arial" w:cs="Arial"/>
                <w:sz w:val="20"/>
              </w:rPr>
            </w:pPr>
          </w:p>
        </w:tc>
        <w:tc>
          <w:tcPr>
            <w:tcW w:w="5040" w:type="dxa"/>
            <w:vMerge/>
            <w:tcBorders>
              <w:left w:val="single" w:sz="4" w:space="0" w:color="auto"/>
              <w:bottom w:val="single" w:sz="4" w:space="0" w:color="auto"/>
              <w:right w:val="single" w:sz="4" w:space="0" w:color="auto"/>
            </w:tcBorders>
          </w:tcPr>
          <w:p w:rsidR="005D7DBE" w:rsidRPr="00C77D10" w:rsidRDefault="005D7DBE" w:rsidP="00AF7BE2">
            <w:pPr>
              <w:pStyle w:val="BodyText"/>
              <w:rPr>
                <w:rFonts w:ascii="Arial" w:hAnsi="Arial" w:cs="Arial"/>
                <w:i/>
                <w:sz w:val="20"/>
              </w:rPr>
            </w:pPr>
          </w:p>
        </w:tc>
      </w:tr>
    </w:tbl>
    <w:p w:rsidR="005D7DBE" w:rsidRPr="00C77D10" w:rsidRDefault="005D7DBE" w:rsidP="005D7DBE">
      <w:pPr>
        <w:rPr>
          <w:rFonts w:cs="Arial"/>
        </w:rPr>
      </w:pPr>
    </w:p>
    <w:tbl>
      <w:tblPr>
        <w:tblW w:w="0" w:type="auto"/>
        <w:tblLook w:val="01E0"/>
      </w:tblPr>
      <w:tblGrid>
        <w:gridCol w:w="4481"/>
        <w:gridCol w:w="263"/>
        <w:gridCol w:w="4499"/>
      </w:tblGrid>
      <w:tr w:rsidR="005D7DBE" w:rsidRPr="00C77D10" w:rsidTr="00AF7BE2">
        <w:trPr>
          <w:trHeight w:val="1385"/>
        </w:trPr>
        <w:tc>
          <w:tcPr>
            <w:tcW w:w="4850" w:type="dxa"/>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5" w:name="_Toc249364477"/>
            <w:r w:rsidRPr="00AF7BE2">
              <w:rPr>
                <w:rFonts w:ascii="Arial" w:hAnsi="Arial" w:cs="Arial"/>
                <w:i w:val="0"/>
                <w:sz w:val="20"/>
                <w:szCs w:val="20"/>
              </w:rPr>
              <w:t>Implementing Partners:</w:t>
            </w:r>
            <w:bookmarkEnd w:id="5"/>
            <w:r w:rsidRPr="00AF7BE2">
              <w:rPr>
                <w:rFonts w:ascii="Arial" w:hAnsi="Arial" w:cs="Arial"/>
                <w:i w:val="0"/>
                <w:sz w:val="20"/>
                <w:szCs w:val="20"/>
              </w:rPr>
              <w:t xml:space="preserve"> </w:t>
            </w:r>
          </w:p>
          <w:p w:rsidR="005D7DBE" w:rsidRPr="00AF7BE2" w:rsidRDefault="005D7DBE" w:rsidP="005D7DBE">
            <w:pPr>
              <w:pStyle w:val="Heading2"/>
              <w:widowControl/>
              <w:numPr>
                <w:ilvl w:val="0"/>
                <w:numId w:val="23"/>
              </w:numPr>
              <w:spacing w:before="0" w:after="0"/>
              <w:jc w:val="left"/>
              <w:rPr>
                <w:rFonts w:ascii="Arial" w:hAnsi="Arial" w:cs="Arial"/>
                <w:b w:val="0"/>
                <w:bCs w:val="0"/>
                <w:i w:val="0"/>
                <w:sz w:val="20"/>
                <w:szCs w:val="20"/>
              </w:rPr>
            </w:pPr>
            <w:bookmarkStart w:id="6" w:name="_Toc249364478"/>
            <w:r w:rsidRPr="00AF7BE2">
              <w:rPr>
                <w:rFonts w:ascii="Arial" w:hAnsi="Arial" w:cs="Arial"/>
                <w:b w:val="0"/>
                <w:bCs w:val="0"/>
                <w:i w:val="0"/>
                <w:sz w:val="20"/>
                <w:szCs w:val="20"/>
              </w:rPr>
              <w:t>National counterparts (government, private, NGOs &amp; others</w:t>
            </w:r>
            <w:bookmarkEnd w:id="6"/>
            <w:r w:rsidRPr="00AF7BE2">
              <w:rPr>
                <w:rFonts w:ascii="Arial" w:hAnsi="Arial" w:cs="Arial"/>
                <w:b w:val="0"/>
                <w:bCs w:val="0"/>
                <w:i w:val="0"/>
                <w:sz w:val="20"/>
                <w:szCs w:val="20"/>
              </w:rPr>
              <w:t>)</w:t>
            </w:r>
            <w:r w:rsidR="00C81A36" w:rsidRPr="00AF7BE2">
              <w:rPr>
                <w:rFonts w:ascii="Arial" w:hAnsi="Arial" w:cs="Arial"/>
                <w:b w:val="0"/>
                <w:bCs w:val="0"/>
                <w:i w:val="0"/>
                <w:sz w:val="20"/>
                <w:szCs w:val="20"/>
              </w:rPr>
              <w:t xml:space="preserve">: </w:t>
            </w:r>
            <w:r w:rsidR="00C81A36" w:rsidRPr="00AF7BE2">
              <w:rPr>
                <w:rFonts w:ascii="Arial" w:hAnsi="Arial" w:cs="Arial"/>
                <w:sz w:val="20"/>
                <w:szCs w:val="20"/>
              </w:rPr>
              <w:t>Ministry of Youth and Sports</w:t>
            </w:r>
          </w:p>
          <w:p w:rsidR="005D7DBE" w:rsidRPr="00C77D10" w:rsidRDefault="005D7DBE" w:rsidP="0027365E">
            <w:pPr>
              <w:pStyle w:val="BodyText"/>
              <w:numPr>
                <w:ilvl w:val="0"/>
                <w:numId w:val="23"/>
              </w:numPr>
              <w:tabs>
                <w:tab w:val="clear" w:pos="360"/>
              </w:tabs>
              <w:jc w:val="left"/>
              <w:rPr>
                <w:rFonts w:ascii="Arial" w:hAnsi="Arial" w:cs="Arial"/>
                <w:sz w:val="20"/>
              </w:rPr>
            </w:pPr>
            <w:r w:rsidRPr="00C77D10">
              <w:rPr>
                <w:rFonts w:ascii="Arial" w:hAnsi="Arial" w:cs="Arial"/>
                <w:i/>
                <w:sz w:val="20"/>
              </w:rPr>
              <w:t>International Organizations, including NGOs</w:t>
            </w:r>
            <w:r w:rsidR="00C81A36" w:rsidRPr="00C77D10">
              <w:rPr>
                <w:rFonts w:ascii="Arial" w:hAnsi="Arial" w:cs="Arial"/>
                <w:i/>
                <w:sz w:val="20"/>
              </w:rPr>
              <w:t xml:space="preserve">: </w:t>
            </w:r>
            <w:r w:rsidR="0027365E" w:rsidRPr="00C77D10">
              <w:rPr>
                <w:rFonts w:ascii="Arial" w:hAnsi="Arial" w:cs="Arial"/>
                <w:b/>
                <w:i/>
                <w:sz w:val="20"/>
              </w:rPr>
              <w:t xml:space="preserve">Action AID Liberia; and </w:t>
            </w:r>
            <w:r w:rsidR="00C81A36" w:rsidRPr="00C77D10">
              <w:rPr>
                <w:rFonts w:ascii="Arial" w:hAnsi="Arial" w:cs="Arial"/>
                <w:b/>
                <w:i/>
                <w:sz w:val="20"/>
              </w:rPr>
              <w:t>Federation of Liberian Youth (FLY)</w:t>
            </w:r>
          </w:p>
        </w:tc>
        <w:tc>
          <w:tcPr>
            <w:tcW w:w="269" w:type="dxa"/>
            <w:tcBorders>
              <w:left w:val="single" w:sz="4" w:space="0" w:color="auto"/>
              <w:right w:val="single" w:sz="4" w:space="0" w:color="auto"/>
            </w:tcBorders>
          </w:tcPr>
          <w:p w:rsidR="005D7DBE" w:rsidRPr="00AF7BE2" w:rsidRDefault="005D7DBE" w:rsidP="00AF7BE2">
            <w:pPr>
              <w:pStyle w:val="Heading2"/>
              <w:rPr>
                <w:rFonts w:ascii="Arial" w:hAnsi="Arial" w:cs="Arial"/>
                <w:sz w:val="20"/>
                <w:szCs w:val="20"/>
              </w:rPr>
            </w:pPr>
          </w:p>
        </w:tc>
        <w:tc>
          <w:tcPr>
            <w:tcW w:w="5001" w:type="dxa"/>
            <w:tcBorders>
              <w:top w:val="single" w:sz="4" w:space="0" w:color="auto"/>
              <w:left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7" w:name="_Toc249364479"/>
            <w:r w:rsidRPr="00AF7BE2">
              <w:rPr>
                <w:rFonts w:ascii="Arial" w:hAnsi="Arial" w:cs="Arial"/>
                <w:i w:val="0"/>
                <w:sz w:val="20"/>
                <w:szCs w:val="20"/>
              </w:rPr>
              <w:t>Programme Budget (from the Fund):</w:t>
            </w:r>
            <w:bookmarkEnd w:id="7"/>
          </w:p>
          <w:p w:rsidR="005D7DBE" w:rsidRPr="00C77D10" w:rsidRDefault="005D7DBE" w:rsidP="00AF7BE2">
            <w:pPr>
              <w:rPr>
                <w:rFonts w:cs="Arial"/>
                <w:i/>
              </w:rPr>
            </w:pPr>
            <w:r w:rsidRPr="00C77D10">
              <w:rPr>
                <w:rFonts w:cs="Arial"/>
                <w:i/>
              </w:rPr>
              <w:t>For Joint Programme provide breakdown by UN Organization</w:t>
            </w:r>
          </w:p>
          <w:p w:rsidR="005D7DBE" w:rsidRPr="00C77D10" w:rsidRDefault="005D7DBE" w:rsidP="00AF7BE2">
            <w:pPr>
              <w:rPr>
                <w:rFonts w:cs="Arial"/>
                <w:lang w:val="fr-FR"/>
              </w:rPr>
            </w:pPr>
            <w:r w:rsidRPr="00C77D10">
              <w:rPr>
                <w:rFonts w:cs="Arial"/>
                <w:lang w:val="fr-FR"/>
              </w:rPr>
              <w:t>UN Org A:</w:t>
            </w:r>
          </w:p>
          <w:p w:rsidR="005D7DBE" w:rsidRPr="00C77D10" w:rsidRDefault="005D7DBE" w:rsidP="00AF7BE2">
            <w:pPr>
              <w:rPr>
                <w:rFonts w:cs="Arial"/>
                <w:lang w:val="fr-FR"/>
              </w:rPr>
            </w:pPr>
            <w:r w:rsidRPr="00C77D10">
              <w:rPr>
                <w:rFonts w:cs="Arial"/>
                <w:lang w:val="fr-FR"/>
              </w:rPr>
              <w:t>UN Org B:</w:t>
            </w:r>
          </w:p>
        </w:tc>
      </w:tr>
      <w:tr w:rsidR="005D7DBE" w:rsidRPr="001A2C73" w:rsidTr="003C6E51">
        <w:trPr>
          <w:trHeight w:val="161"/>
        </w:trPr>
        <w:tc>
          <w:tcPr>
            <w:tcW w:w="4850" w:type="dxa"/>
            <w:tcBorders>
              <w:left w:val="single" w:sz="4" w:space="0" w:color="auto"/>
              <w:bottom w:val="single" w:sz="4" w:space="0" w:color="auto"/>
              <w:right w:val="single" w:sz="4" w:space="0" w:color="auto"/>
            </w:tcBorders>
          </w:tcPr>
          <w:p w:rsidR="005D7DBE" w:rsidRPr="004B5AAB" w:rsidRDefault="005D7DBE" w:rsidP="00AF7BE2">
            <w:pPr>
              <w:pStyle w:val="BodyText"/>
              <w:rPr>
                <w:rFonts w:ascii="Times New Roman" w:hAnsi="Times New Roman"/>
                <w:sz w:val="24"/>
                <w:lang w:val="fr-FR"/>
              </w:rPr>
            </w:pPr>
          </w:p>
        </w:tc>
        <w:tc>
          <w:tcPr>
            <w:tcW w:w="269" w:type="dxa"/>
            <w:tcBorders>
              <w:left w:val="single" w:sz="4" w:space="0" w:color="auto"/>
              <w:right w:val="single" w:sz="4" w:space="0" w:color="auto"/>
            </w:tcBorders>
          </w:tcPr>
          <w:p w:rsidR="005D7DBE" w:rsidRPr="004B5AAB" w:rsidRDefault="005D7DBE" w:rsidP="00AF7BE2">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5D7DBE" w:rsidRPr="001A2C73" w:rsidRDefault="005D7DBE" w:rsidP="00AF7BE2">
            <w:pPr>
              <w:pStyle w:val="BodyText"/>
              <w:rPr>
                <w:rFonts w:ascii="Times New Roman" w:hAnsi="Times New Roman"/>
                <w:sz w:val="24"/>
              </w:rPr>
            </w:pPr>
            <w:r w:rsidRPr="001A2C73">
              <w:rPr>
                <w:rFonts w:ascii="Times New Roman" w:hAnsi="Times New Roman"/>
                <w:sz w:val="24"/>
              </w:rPr>
              <w:t>Etc.</w:t>
            </w:r>
          </w:p>
        </w:tc>
      </w:tr>
      <w:tr w:rsidR="003C6E51" w:rsidRPr="00892409" w:rsidTr="003C6E51">
        <w:tblPrEx>
          <w:tblBorders>
            <w:top w:val="single" w:sz="4" w:space="0" w:color="auto"/>
            <w:left w:val="single" w:sz="4" w:space="0" w:color="auto"/>
            <w:bottom w:val="single" w:sz="4" w:space="0" w:color="auto"/>
            <w:right w:val="single" w:sz="4" w:space="0" w:color="auto"/>
          </w:tblBorders>
        </w:tblPrEx>
        <w:trPr>
          <w:gridAfter w:val="2"/>
          <w:wAfter w:w="5270" w:type="dxa"/>
          <w:trHeight w:val="274"/>
        </w:trPr>
        <w:tc>
          <w:tcPr>
            <w:tcW w:w="4850" w:type="dxa"/>
            <w:tcBorders>
              <w:top w:val="single" w:sz="4" w:space="0" w:color="auto"/>
              <w:left w:val="nil"/>
              <w:bottom w:val="single" w:sz="4" w:space="0" w:color="auto"/>
              <w:right w:val="nil"/>
            </w:tcBorders>
          </w:tcPr>
          <w:p w:rsidR="003C6E51" w:rsidRPr="003C6E51" w:rsidRDefault="003C6E51" w:rsidP="003C6E51"/>
        </w:tc>
      </w:tr>
      <w:tr w:rsidR="005D7DBE" w:rsidRPr="00892409" w:rsidTr="00AF7BE2">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5D7DBE" w:rsidRPr="00AF7BE2" w:rsidRDefault="005D7DBE" w:rsidP="00AF7BE2">
            <w:pPr>
              <w:pStyle w:val="Heading2"/>
              <w:rPr>
                <w:rFonts w:ascii="Arial" w:hAnsi="Arial" w:cs="Arial"/>
                <w:i w:val="0"/>
                <w:sz w:val="20"/>
                <w:szCs w:val="20"/>
              </w:rPr>
            </w:pPr>
            <w:bookmarkStart w:id="8" w:name="_Toc249364481"/>
            <w:r w:rsidRPr="00AF7BE2">
              <w:rPr>
                <w:rFonts w:ascii="Arial" w:hAnsi="Arial" w:cs="Arial"/>
                <w:i w:val="0"/>
                <w:sz w:val="20"/>
                <w:szCs w:val="20"/>
              </w:rPr>
              <w:t>Programme Duration (in months):</w:t>
            </w:r>
            <w:bookmarkEnd w:id="8"/>
          </w:p>
          <w:p w:rsidR="005D7DBE" w:rsidRPr="003C6E51" w:rsidRDefault="005D7DBE" w:rsidP="00AF7BE2">
            <w:pPr>
              <w:pStyle w:val="BodyText"/>
              <w:rPr>
                <w:rFonts w:ascii="Arial" w:hAnsi="Arial" w:cs="Arial"/>
                <w:sz w:val="20"/>
                <w:u w:val="single"/>
              </w:rPr>
            </w:pPr>
            <w:r w:rsidRPr="003C6E51">
              <w:rPr>
                <w:rFonts w:ascii="Arial" w:hAnsi="Arial" w:cs="Arial"/>
                <w:sz w:val="20"/>
                <w:u w:val="single"/>
              </w:rPr>
              <w:t>Start date</w:t>
            </w:r>
            <w:r w:rsidRPr="003C6E51">
              <w:rPr>
                <w:rStyle w:val="FootnoteReference"/>
                <w:rFonts w:ascii="Arial" w:hAnsi="Arial" w:cs="Arial"/>
                <w:sz w:val="20"/>
                <w:u w:val="single"/>
              </w:rPr>
              <w:footnoteReference w:id="3"/>
            </w:r>
            <w:r w:rsidRPr="003C6E51">
              <w:rPr>
                <w:rFonts w:ascii="Arial" w:hAnsi="Arial" w:cs="Arial"/>
                <w:sz w:val="20"/>
                <w:u w:val="single"/>
              </w:rPr>
              <w:t>:</w:t>
            </w:r>
            <w:r w:rsidR="002F5728" w:rsidRPr="003C6E51">
              <w:rPr>
                <w:rFonts w:ascii="Arial" w:hAnsi="Arial" w:cs="Arial"/>
                <w:sz w:val="20"/>
                <w:u w:val="single"/>
              </w:rPr>
              <w:t xml:space="preserve"> 28/04/2009</w:t>
            </w:r>
          </w:p>
          <w:p w:rsidR="005D7DBE" w:rsidRPr="003C6E51" w:rsidRDefault="005D7DBE" w:rsidP="00AF7BE2">
            <w:pPr>
              <w:pStyle w:val="BodyText"/>
              <w:rPr>
                <w:rFonts w:ascii="Arial" w:hAnsi="Arial" w:cs="Arial"/>
                <w:sz w:val="20"/>
                <w:u w:val="single"/>
              </w:rPr>
            </w:pPr>
            <w:r w:rsidRPr="003C6E51">
              <w:rPr>
                <w:rFonts w:ascii="Arial" w:hAnsi="Arial" w:cs="Arial"/>
                <w:sz w:val="20"/>
                <w:u w:val="single"/>
              </w:rPr>
              <w:t>End date:</w:t>
            </w:r>
            <w:r w:rsidR="002F5728" w:rsidRPr="003C6E51">
              <w:rPr>
                <w:rFonts w:ascii="Arial" w:hAnsi="Arial" w:cs="Arial"/>
                <w:sz w:val="20"/>
                <w:u w:val="single"/>
              </w:rPr>
              <w:t xml:space="preserve"> 27/10/2010</w:t>
            </w:r>
          </w:p>
          <w:p w:rsidR="005D7DBE" w:rsidRPr="003C6E51" w:rsidRDefault="005D7DBE" w:rsidP="005D7DBE">
            <w:pPr>
              <w:pStyle w:val="BodyText"/>
              <w:numPr>
                <w:ilvl w:val="0"/>
                <w:numId w:val="24"/>
              </w:numPr>
              <w:ind w:left="252" w:hanging="252"/>
              <w:jc w:val="left"/>
              <w:rPr>
                <w:rFonts w:ascii="Arial" w:hAnsi="Arial" w:cs="Arial"/>
                <w:i/>
                <w:sz w:val="20"/>
              </w:rPr>
            </w:pPr>
            <w:r w:rsidRPr="003C6E51">
              <w:rPr>
                <w:rFonts w:ascii="Arial" w:hAnsi="Arial" w:cs="Arial"/>
                <w:i/>
                <w:sz w:val="20"/>
              </w:rPr>
              <w:t>Original end date</w:t>
            </w:r>
            <w:r w:rsidR="002F5728" w:rsidRPr="003C6E51">
              <w:rPr>
                <w:rFonts w:ascii="Arial" w:hAnsi="Arial" w:cs="Arial"/>
                <w:i/>
                <w:sz w:val="20"/>
              </w:rPr>
              <w:t>: 27/10/2010</w:t>
            </w:r>
            <w:r w:rsidRPr="003C6E51">
              <w:rPr>
                <w:rFonts w:ascii="Arial" w:hAnsi="Arial" w:cs="Arial"/>
                <w:i/>
                <w:sz w:val="20"/>
              </w:rPr>
              <w:t xml:space="preserve"> </w:t>
            </w:r>
          </w:p>
          <w:p w:rsidR="005D7DBE" w:rsidRPr="003C6E51" w:rsidRDefault="005D7DBE" w:rsidP="005D7DBE">
            <w:pPr>
              <w:pStyle w:val="BodyText"/>
              <w:numPr>
                <w:ilvl w:val="0"/>
                <w:numId w:val="24"/>
              </w:numPr>
              <w:ind w:left="252" w:hanging="252"/>
              <w:jc w:val="left"/>
              <w:rPr>
                <w:rFonts w:ascii="Arial" w:hAnsi="Arial" w:cs="Arial"/>
                <w:i/>
                <w:sz w:val="20"/>
              </w:rPr>
            </w:pPr>
            <w:r w:rsidRPr="003C6E51">
              <w:rPr>
                <w:rFonts w:ascii="Arial" w:hAnsi="Arial" w:cs="Arial"/>
                <w:i/>
                <w:sz w:val="20"/>
              </w:rPr>
              <w:t>Revised end date, if applicable</w:t>
            </w:r>
          </w:p>
          <w:p w:rsidR="005D7DBE" w:rsidRPr="003C6E51" w:rsidRDefault="005D7DBE" w:rsidP="005D7DBE">
            <w:pPr>
              <w:pStyle w:val="BodyText"/>
              <w:numPr>
                <w:ilvl w:val="0"/>
                <w:numId w:val="24"/>
              </w:numPr>
              <w:ind w:left="252" w:hanging="252"/>
              <w:jc w:val="left"/>
              <w:rPr>
                <w:rFonts w:ascii="Arial" w:hAnsi="Arial" w:cs="Arial"/>
                <w:i/>
                <w:sz w:val="20"/>
              </w:rPr>
            </w:pPr>
            <w:r w:rsidRPr="003C6E51">
              <w:rPr>
                <w:rFonts w:ascii="Arial" w:hAnsi="Arial" w:cs="Arial"/>
                <w:i/>
                <w:sz w:val="20"/>
              </w:rPr>
              <w:t>Operational Closure Date</w:t>
            </w:r>
            <w:r w:rsidRPr="003C6E51">
              <w:rPr>
                <w:rStyle w:val="FootnoteReference"/>
                <w:rFonts w:ascii="Arial" w:hAnsi="Arial" w:cs="Arial"/>
                <w:sz w:val="20"/>
              </w:rPr>
              <w:footnoteReference w:id="4"/>
            </w:r>
            <w:r w:rsidRPr="003C6E51">
              <w:rPr>
                <w:rFonts w:ascii="Arial" w:hAnsi="Arial" w:cs="Arial"/>
                <w:i/>
                <w:sz w:val="20"/>
              </w:rPr>
              <w:t>, if applicable:</w:t>
            </w:r>
          </w:p>
          <w:p w:rsidR="005D7DBE" w:rsidRPr="003C6E51" w:rsidRDefault="005D7DBE" w:rsidP="00AF7BE2">
            <w:pPr>
              <w:pStyle w:val="BodyText"/>
              <w:rPr>
                <w:rFonts w:ascii="Arial" w:hAnsi="Arial" w:cs="Arial"/>
                <w:sz w:val="20"/>
                <w:u w:val="single"/>
              </w:rPr>
            </w:pPr>
            <w:r w:rsidRPr="003C6E51">
              <w:rPr>
                <w:rFonts w:ascii="Arial" w:hAnsi="Arial" w:cs="Arial"/>
                <w:sz w:val="20"/>
                <w:u w:val="single"/>
              </w:rPr>
              <w:t>Budget Revisions/Extensions:</w:t>
            </w:r>
          </w:p>
          <w:p w:rsidR="005D7DBE" w:rsidRPr="00AF7BE2" w:rsidRDefault="005D7DBE" w:rsidP="00AF7BE2">
            <w:pPr>
              <w:pStyle w:val="Heading2"/>
              <w:rPr>
                <w:rFonts w:ascii="Arial" w:hAnsi="Arial" w:cs="Arial"/>
                <w:b w:val="0"/>
                <w:sz w:val="20"/>
                <w:szCs w:val="20"/>
              </w:rPr>
            </w:pPr>
            <w:r w:rsidRPr="00AF7BE2">
              <w:rPr>
                <w:rFonts w:ascii="Arial" w:hAnsi="Arial" w:cs="Arial"/>
                <w:b w:val="0"/>
                <w:i w:val="0"/>
                <w:sz w:val="20"/>
                <w:szCs w:val="20"/>
              </w:rPr>
              <w:t>List budget revisions and extensions, with approval dates, if applicable</w:t>
            </w:r>
            <w:r w:rsidRPr="00AF7BE2">
              <w:rPr>
                <w:rFonts w:ascii="Arial" w:hAnsi="Arial" w:cs="Arial"/>
                <w:b w:val="0"/>
                <w:i w:val="0"/>
                <w:color w:val="0000FF"/>
                <w:sz w:val="20"/>
                <w:szCs w:val="20"/>
              </w:rPr>
              <w:t xml:space="preserve"> </w:t>
            </w:r>
          </w:p>
        </w:tc>
      </w:tr>
    </w:tbl>
    <w:p w:rsidR="005D7DBE" w:rsidRDefault="005D7DBE" w:rsidP="005D7DBE"/>
    <w:p w:rsidR="0027365E" w:rsidRDefault="0027365E" w:rsidP="0027365E">
      <w:pPr>
        <w:autoSpaceDE w:val="0"/>
        <w:autoSpaceDN w:val="0"/>
        <w:adjustRightInd w:val="0"/>
      </w:pPr>
    </w:p>
    <w:p w:rsidR="0027365E" w:rsidRDefault="0027365E" w:rsidP="0027365E">
      <w:pPr>
        <w:pStyle w:val="Heading3"/>
        <w:rPr>
          <w:b/>
          <w:bCs w:val="0"/>
        </w:rPr>
      </w:pPr>
      <w:r>
        <w:rPr>
          <w:b/>
          <w:bCs w:val="0"/>
        </w:rPr>
        <w:t>I. PURPOSE</w:t>
      </w:r>
    </w:p>
    <w:p w:rsidR="00880415" w:rsidRPr="00270A81" w:rsidRDefault="00880415" w:rsidP="00880415">
      <w:pPr>
        <w:jc w:val="center"/>
        <w:rPr>
          <w:b/>
        </w:rPr>
      </w:pPr>
    </w:p>
    <w:p w:rsidR="002963C7" w:rsidRPr="00003C2A" w:rsidRDefault="002963C7" w:rsidP="002963C7">
      <w:pPr>
        <w:autoSpaceDE w:val="0"/>
        <w:autoSpaceDN w:val="0"/>
        <w:adjustRightInd w:val="0"/>
        <w:rPr>
          <w:rFonts w:cs="Arial"/>
        </w:rPr>
      </w:pPr>
      <w:r w:rsidRPr="00003C2A">
        <w:rPr>
          <w:rFonts w:cs="Arial"/>
        </w:rPr>
        <w:t>Given the vulnerability of youth generally and especially in Liberia, young people must have access to a range of integrated services</w:t>
      </w:r>
      <w:r>
        <w:rPr>
          <w:rFonts w:cs="Arial"/>
        </w:rPr>
        <w:t xml:space="preserve">. </w:t>
      </w:r>
      <w:r>
        <w:t>Liberia lacks</w:t>
      </w:r>
      <w:r w:rsidRPr="00890A38">
        <w:t xml:space="preserve"> adequate structures that </w:t>
      </w:r>
      <w:r>
        <w:t xml:space="preserve">can </w:t>
      </w:r>
      <w:r w:rsidRPr="00890A38">
        <w:t>provide the civic and political space for youth to positively and substantially participate in mainstream decision-making and related activities in the political, economic and social spheres</w:t>
      </w:r>
      <w:r>
        <w:t xml:space="preserve">. </w:t>
      </w:r>
      <w:r w:rsidRPr="00003C2A">
        <w:rPr>
          <w:rFonts w:cs="Arial"/>
        </w:rPr>
        <w:t xml:space="preserve">Fostering youth empowerment and the social cohesion of youth in Liberia is an essential step in the direction of breaking the vicious nexus between youth marginalization and conflict. By supporting community-based initiatives that target out-of-school youth and providing them with leadership and life skills, the </w:t>
      </w:r>
      <w:r>
        <w:rPr>
          <w:rFonts w:cs="Arial"/>
        </w:rPr>
        <w:t>project</w:t>
      </w:r>
      <w:r w:rsidRPr="00003C2A">
        <w:rPr>
          <w:rFonts w:cs="Arial"/>
        </w:rPr>
        <w:t xml:space="preserve"> </w:t>
      </w:r>
      <w:r>
        <w:rPr>
          <w:rFonts w:cs="Arial"/>
        </w:rPr>
        <w:t>under Priority Area 1 of the Peacebuilding Fund</w:t>
      </w:r>
      <w:r w:rsidRPr="00003C2A">
        <w:rPr>
          <w:rFonts w:cs="Arial"/>
        </w:rPr>
        <w:t xml:space="preserve"> aims to reduce the likelihood of Liberia’s youth being easy to mobilize for violence or other anti-social activities. </w:t>
      </w:r>
    </w:p>
    <w:p w:rsidR="0027445C" w:rsidRDefault="0027445C">
      <w:pPr>
        <w:pStyle w:val="BodyText"/>
        <w:rPr>
          <w:rFonts w:ascii="Times New Roman" w:hAnsi="Times New Roman"/>
          <w:color w:val="000000"/>
          <w:sz w:val="24"/>
        </w:rPr>
      </w:pPr>
    </w:p>
    <w:p w:rsidR="00AD5DE9" w:rsidRDefault="00AD5DE9" w:rsidP="00AD5DE9">
      <w:pPr>
        <w:pStyle w:val="BodyText"/>
        <w:rPr>
          <w:sz w:val="20"/>
        </w:rPr>
      </w:pPr>
      <w:r>
        <w:rPr>
          <w:sz w:val="20"/>
        </w:rPr>
        <w:t>This report highlighting the progress made so far in the implementation of the project “</w:t>
      </w:r>
      <w:r>
        <w:rPr>
          <w:rFonts w:cs="Arial"/>
          <w:sz w:val="20"/>
        </w:rPr>
        <w:t xml:space="preserve">Youth Empowerment Services for Peacebuilding and Stability”. The overall program aims at integrating youth in to local economic, social and political systems and to reduced the propensity for alienated youth to be drawn into destructive and violent structures and actions. </w:t>
      </w:r>
    </w:p>
    <w:p w:rsidR="00AD5DE9" w:rsidRDefault="00AD5DE9" w:rsidP="00AD5DE9">
      <w:pPr>
        <w:pStyle w:val="BodyText"/>
        <w:rPr>
          <w:sz w:val="20"/>
        </w:rPr>
      </w:pPr>
    </w:p>
    <w:p w:rsidR="00AD5DE9" w:rsidRDefault="008A6758" w:rsidP="00AD5DE9">
      <w:pPr>
        <w:rPr>
          <w:rFonts w:cs="Arial"/>
        </w:rPr>
      </w:pPr>
      <w:r w:rsidRPr="009F4973">
        <w:rPr>
          <w:rFonts w:cs="Arial"/>
        </w:rPr>
        <w:t xml:space="preserve">The key </w:t>
      </w:r>
      <w:r>
        <w:rPr>
          <w:rFonts w:cs="Arial"/>
        </w:rPr>
        <w:t>expected outcomes are the following</w:t>
      </w:r>
      <w:r w:rsidRPr="009F4973">
        <w:rPr>
          <w:rFonts w:cs="Arial"/>
        </w:rPr>
        <w:t>:</w:t>
      </w:r>
    </w:p>
    <w:p w:rsidR="00AD5DE9" w:rsidRDefault="00AD5DE9" w:rsidP="00AD5DE9">
      <w:pPr>
        <w:rPr>
          <w:rFonts w:cs="Arial"/>
        </w:rPr>
      </w:pPr>
    </w:p>
    <w:p w:rsidR="00AD5DE9" w:rsidRPr="00AD5DE9" w:rsidRDefault="00AD5DE9" w:rsidP="00AD5DE9">
      <w:pPr>
        <w:framePr w:hSpace="180" w:wrap="around" w:vAnchor="text" w:hAnchor="margin" w:y="-19"/>
        <w:widowControl/>
        <w:numPr>
          <w:ilvl w:val="0"/>
          <w:numId w:val="15"/>
        </w:numPr>
        <w:autoSpaceDE w:val="0"/>
        <w:autoSpaceDN w:val="0"/>
        <w:adjustRightInd w:val="0"/>
        <w:rPr>
          <w:rFonts w:cs="Arial"/>
          <w:spacing w:val="-2"/>
        </w:rPr>
      </w:pPr>
      <w:r w:rsidRPr="00AD5DE9">
        <w:rPr>
          <w:rFonts w:cs="Arial"/>
          <w:spacing w:val="-2"/>
        </w:rPr>
        <w:t>Enhanced capacity of targeted youth population to assume leadership, participate in local and national policy networks and decision making processes and to contribute to peace and development.</w:t>
      </w:r>
    </w:p>
    <w:p w:rsidR="00AD5DE9" w:rsidRPr="00AD5DE9" w:rsidRDefault="00AD5DE9" w:rsidP="00AD5DE9">
      <w:pPr>
        <w:framePr w:hSpace="180" w:wrap="around" w:vAnchor="text" w:hAnchor="margin" w:y="-19"/>
        <w:widowControl/>
        <w:numPr>
          <w:ilvl w:val="0"/>
          <w:numId w:val="15"/>
        </w:numPr>
        <w:autoSpaceDE w:val="0"/>
        <w:autoSpaceDN w:val="0"/>
        <w:adjustRightInd w:val="0"/>
        <w:rPr>
          <w:rFonts w:cs="Arial"/>
        </w:rPr>
      </w:pPr>
      <w:r w:rsidRPr="00AD5DE9">
        <w:rPr>
          <w:rFonts w:cs="Arial"/>
          <w:spacing w:val="-3"/>
        </w:rPr>
        <w:t xml:space="preserve">Targeted youth are empowered to use their capacities, skills, opportunities and energies constructively to enhance non-violence, peaceful co-existence and assume civil responsibilities on all levels of society. </w:t>
      </w:r>
    </w:p>
    <w:p w:rsidR="00AD5DE9" w:rsidRPr="00AD5DE9" w:rsidRDefault="008A6758" w:rsidP="00AD5DE9">
      <w:pPr>
        <w:framePr w:hSpace="180" w:wrap="around" w:vAnchor="text" w:hAnchor="margin" w:y="-19"/>
        <w:widowControl/>
        <w:numPr>
          <w:ilvl w:val="0"/>
          <w:numId w:val="15"/>
        </w:numPr>
        <w:autoSpaceDE w:val="0"/>
        <w:autoSpaceDN w:val="0"/>
        <w:adjustRightInd w:val="0"/>
        <w:rPr>
          <w:rFonts w:cs="Arial"/>
        </w:rPr>
      </w:pPr>
      <w:r>
        <w:rPr>
          <w:rFonts w:cs="Arial"/>
          <w:spacing w:val="-3"/>
        </w:rPr>
        <w:t xml:space="preserve">Improved understanding and knowledge about youth issues leads to “youth sensitized” local and national policy making structures. </w:t>
      </w:r>
    </w:p>
    <w:p w:rsidR="00FD25D7" w:rsidRPr="00B36B94" w:rsidRDefault="00B36B94">
      <w:pPr>
        <w:rPr>
          <w:rFonts w:cs="Arial"/>
        </w:rPr>
      </w:pPr>
      <w:r w:rsidRPr="00B36B94">
        <w:rPr>
          <w:rFonts w:cs="Arial"/>
        </w:rPr>
        <w:t>The program contributes as well to Component 4, Youth Empowerment and Social Cohesion of the Joint Programme for Youth Empowerment and Employment</w:t>
      </w:r>
      <w:r>
        <w:rPr>
          <w:rFonts w:cs="Arial"/>
        </w:rPr>
        <w:t xml:space="preserve">. </w:t>
      </w:r>
    </w:p>
    <w:p w:rsidR="0045099C" w:rsidRDefault="0045099C"/>
    <w:p w:rsidR="00FD25D7" w:rsidRDefault="00FD25D7">
      <w:pPr>
        <w:pStyle w:val="Heading3"/>
        <w:rPr>
          <w:b/>
          <w:bCs w:val="0"/>
        </w:rPr>
      </w:pPr>
      <w:r>
        <w:rPr>
          <w:b/>
          <w:bCs w:val="0"/>
        </w:rPr>
        <w:t>I</w:t>
      </w:r>
      <w:r w:rsidR="00270A81">
        <w:rPr>
          <w:b/>
          <w:bCs w:val="0"/>
        </w:rPr>
        <w:t>I</w:t>
      </w:r>
      <w:r w:rsidR="0027445C">
        <w:rPr>
          <w:b/>
          <w:bCs w:val="0"/>
        </w:rPr>
        <w:t xml:space="preserve">. </w:t>
      </w:r>
      <w:r>
        <w:rPr>
          <w:b/>
          <w:bCs w:val="0"/>
        </w:rPr>
        <w:t>RESOURCES</w:t>
      </w:r>
    </w:p>
    <w:p w:rsidR="0027445C" w:rsidRDefault="0027445C">
      <w:pPr>
        <w:pStyle w:val="BodyText3"/>
        <w:jc w:val="left"/>
      </w:pPr>
    </w:p>
    <w:p w:rsidR="00EF1075" w:rsidRPr="00692D27" w:rsidRDefault="00EF1075" w:rsidP="00AD5DE9">
      <w:pPr>
        <w:pStyle w:val="BodyText3"/>
        <w:jc w:val="left"/>
        <w:rPr>
          <w:rFonts w:cs="Arial"/>
          <w:b/>
          <w:i/>
          <w:szCs w:val="20"/>
        </w:rPr>
      </w:pPr>
      <w:r w:rsidRPr="00692D27">
        <w:rPr>
          <w:rFonts w:cs="Arial"/>
          <w:b/>
          <w:i/>
          <w:szCs w:val="20"/>
        </w:rPr>
        <w:t xml:space="preserve">Financial Resources </w:t>
      </w:r>
    </w:p>
    <w:p w:rsidR="00AD5DE9" w:rsidRPr="00E064B4" w:rsidRDefault="00AD5DE9" w:rsidP="00AD5DE9">
      <w:pPr>
        <w:pStyle w:val="BodyText3"/>
        <w:jc w:val="left"/>
        <w:rPr>
          <w:rFonts w:cs="Arial"/>
          <w:szCs w:val="20"/>
        </w:rPr>
      </w:pPr>
      <w:r w:rsidRPr="00E064B4">
        <w:rPr>
          <w:rFonts w:cs="Arial"/>
          <w:szCs w:val="20"/>
        </w:rPr>
        <w:t xml:space="preserve">The funding management for this programme component has largely been a </w:t>
      </w:r>
      <w:r w:rsidRPr="00E064B4">
        <w:rPr>
          <w:rFonts w:cs="Arial"/>
          <w:szCs w:val="20"/>
          <w:u w:val="single"/>
        </w:rPr>
        <w:t xml:space="preserve">combination of pass-through and parallel fund </w:t>
      </w:r>
      <w:r>
        <w:rPr>
          <w:rFonts w:cs="Arial"/>
          <w:szCs w:val="20"/>
          <w:u w:val="single"/>
        </w:rPr>
        <w:t>mechanisms</w:t>
      </w:r>
      <w:r w:rsidRPr="00E064B4">
        <w:rPr>
          <w:rFonts w:cs="Arial"/>
          <w:szCs w:val="20"/>
        </w:rPr>
        <w:t xml:space="preserve">. Funding </w:t>
      </w:r>
      <w:r>
        <w:rPr>
          <w:rFonts w:cs="Arial"/>
          <w:szCs w:val="20"/>
        </w:rPr>
        <w:t xml:space="preserve">thus far </w:t>
      </w:r>
      <w:r w:rsidRPr="00E064B4">
        <w:rPr>
          <w:rFonts w:cs="Arial"/>
          <w:szCs w:val="20"/>
        </w:rPr>
        <w:t xml:space="preserve">received </w:t>
      </w:r>
      <w:r>
        <w:rPr>
          <w:rFonts w:cs="Arial"/>
          <w:szCs w:val="20"/>
        </w:rPr>
        <w:t>is as follows</w:t>
      </w:r>
      <w:r w:rsidRPr="00E064B4">
        <w:rPr>
          <w:rFonts w:cs="Arial"/>
          <w:szCs w:val="20"/>
        </w:rPr>
        <w:t>:</w:t>
      </w:r>
    </w:p>
    <w:p w:rsidR="00AD5DE9" w:rsidRPr="00E064B4" w:rsidRDefault="00AD5DE9" w:rsidP="00AD5DE9">
      <w:pPr>
        <w:pStyle w:val="BodyText3"/>
        <w:jc w:val="left"/>
        <w:rPr>
          <w:rFonts w:cs="Arial"/>
          <w:szCs w:val="20"/>
        </w:rPr>
      </w:pPr>
    </w:p>
    <w:p w:rsidR="00AD5DE9" w:rsidRPr="00E064B4" w:rsidRDefault="00AD5DE9" w:rsidP="00AD5DE9">
      <w:pPr>
        <w:pStyle w:val="BodyText3"/>
        <w:jc w:val="left"/>
        <w:rPr>
          <w:rFonts w:cs="Arial"/>
          <w:szCs w:val="20"/>
        </w:rPr>
      </w:pPr>
      <w:smartTag w:uri="urn:schemas-microsoft-com:office:smarttags" w:element="place">
        <w:smartTag w:uri="urn:schemas-microsoft-com:office:smarttags" w:element="PlaceName">
          <w:r w:rsidRPr="00E064B4">
            <w:rPr>
              <w:rFonts w:cs="Arial"/>
              <w:szCs w:val="20"/>
            </w:rPr>
            <w:t>Peace</w:t>
          </w:r>
        </w:smartTag>
        <w:r w:rsidRPr="00E064B4">
          <w:rPr>
            <w:rFonts w:cs="Arial"/>
            <w:szCs w:val="20"/>
          </w:rPr>
          <w:t xml:space="preserve"> </w:t>
        </w:r>
        <w:smartTag w:uri="urn:schemas-microsoft-com:office:smarttags" w:element="PlaceType">
          <w:r w:rsidRPr="00E064B4">
            <w:rPr>
              <w:rFonts w:cs="Arial"/>
              <w:szCs w:val="20"/>
            </w:rPr>
            <w:t>B</w:t>
          </w:r>
          <w:r>
            <w:rPr>
              <w:rFonts w:cs="Arial"/>
              <w:szCs w:val="20"/>
            </w:rPr>
            <w:t>uilding</w:t>
          </w:r>
        </w:smartTag>
      </w:smartTag>
      <w:r>
        <w:rPr>
          <w:rFonts w:cs="Arial"/>
          <w:szCs w:val="20"/>
        </w:rPr>
        <w:t xml:space="preserve"> Fund: </w:t>
      </w:r>
      <w:r>
        <w:rPr>
          <w:rFonts w:cs="Arial"/>
          <w:szCs w:val="20"/>
        </w:rPr>
        <w:tab/>
        <w:t>USD 1,000,</w:t>
      </w:r>
      <w:r w:rsidRPr="00E064B4">
        <w:rPr>
          <w:rFonts w:cs="Arial"/>
          <w:szCs w:val="20"/>
        </w:rPr>
        <w:t>000</w:t>
      </w:r>
      <w:r>
        <w:rPr>
          <w:rFonts w:cs="Arial"/>
          <w:szCs w:val="20"/>
        </w:rPr>
        <w:t>.00</w:t>
      </w:r>
    </w:p>
    <w:p w:rsidR="00AD5DE9" w:rsidRPr="00E064B4" w:rsidRDefault="00AD5DE9" w:rsidP="00AD5DE9">
      <w:pPr>
        <w:pStyle w:val="BodyText3"/>
        <w:jc w:val="left"/>
        <w:rPr>
          <w:rFonts w:cs="Arial"/>
          <w:szCs w:val="20"/>
        </w:rPr>
      </w:pPr>
      <w:r w:rsidRPr="00D868B2">
        <w:rPr>
          <w:rFonts w:cs="Arial"/>
          <w:szCs w:val="20"/>
        </w:rPr>
        <w:t>DANIDA:</w:t>
      </w:r>
      <w:r w:rsidRPr="00D868B2">
        <w:rPr>
          <w:rFonts w:cs="Arial"/>
          <w:szCs w:val="20"/>
        </w:rPr>
        <w:tab/>
      </w:r>
      <w:r w:rsidRPr="00D868B2">
        <w:rPr>
          <w:rFonts w:cs="Arial"/>
          <w:szCs w:val="20"/>
        </w:rPr>
        <w:tab/>
        <w:t>USD</w:t>
      </w:r>
      <w:r w:rsidRPr="00E064B4">
        <w:rPr>
          <w:rFonts w:cs="Arial"/>
          <w:szCs w:val="20"/>
        </w:rPr>
        <w:t xml:space="preserve">    </w:t>
      </w:r>
      <w:r w:rsidRPr="00D868B2">
        <w:rPr>
          <w:rFonts w:cs="Arial"/>
          <w:color w:val="000000"/>
          <w:szCs w:val="20"/>
        </w:rPr>
        <w:t>158,882.92</w:t>
      </w:r>
    </w:p>
    <w:p w:rsidR="00AD5DE9" w:rsidRPr="00E064B4" w:rsidRDefault="00AD5DE9" w:rsidP="00AD5DE9">
      <w:pPr>
        <w:pStyle w:val="BodyText3"/>
        <w:jc w:val="left"/>
        <w:rPr>
          <w:rFonts w:cs="Arial"/>
          <w:szCs w:val="20"/>
        </w:rPr>
      </w:pPr>
      <w:r w:rsidRPr="00E064B4">
        <w:rPr>
          <w:rFonts w:cs="Arial"/>
          <w:szCs w:val="20"/>
        </w:rPr>
        <w:t>UNICEF:</w:t>
      </w:r>
      <w:r w:rsidRPr="00E064B4">
        <w:rPr>
          <w:rFonts w:cs="Arial"/>
          <w:szCs w:val="20"/>
        </w:rPr>
        <w:tab/>
      </w:r>
      <w:r w:rsidRPr="00E064B4">
        <w:rPr>
          <w:rFonts w:cs="Arial"/>
          <w:szCs w:val="20"/>
        </w:rPr>
        <w:tab/>
        <w:t xml:space="preserve">USD      </w:t>
      </w:r>
      <w:r>
        <w:rPr>
          <w:rFonts w:cs="Arial"/>
          <w:szCs w:val="20"/>
        </w:rPr>
        <w:t>61,</w:t>
      </w:r>
      <w:r w:rsidRPr="00E064B4">
        <w:rPr>
          <w:rFonts w:cs="Arial"/>
          <w:szCs w:val="20"/>
        </w:rPr>
        <w:t>250</w:t>
      </w:r>
      <w:r>
        <w:rPr>
          <w:rFonts w:cs="Arial"/>
          <w:szCs w:val="20"/>
        </w:rPr>
        <w:t>.00</w:t>
      </w:r>
      <w:r w:rsidRPr="00E064B4">
        <w:rPr>
          <w:rFonts w:cs="Arial"/>
          <w:szCs w:val="20"/>
        </w:rPr>
        <w:tab/>
      </w:r>
    </w:p>
    <w:p w:rsidR="00AD5DE9" w:rsidRPr="00E064B4" w:rsidRDefault="00AD5DE9" w:rsidP="00AD5DE9">
      <w:pPr>
        <w:pStyle w:val="BodyText3"/>
        <w:jc w:val="left"/>
        <w:rPr>
          <w:rFonts w:cs="Arial"/>
          <w:szCs w:val="20"/>
        </w:rPr>
      </w:pPr>
      <w:r w:rsidRPr="00E064B4">
        <w:rPr>
          <w:rFonts w:cs="Arial"/>
          <w:szCs w:val="20"/>
        </w:rPr>
        <w:t>GOL - MoYS:</w:t>
      </w:r>
      <w:r w:rsidRPr="00E064B4">
        <w:rPr>
          <w:rFonts w:cs="Arial"/>
          <w:szCs w:val="20"/>
        </w:rPr>
        <w:tab/>
      </w:r>
      <w:r w:rsidRPr="00E064B4">
        <w:rPr>
          <w:rFonts w:cs="Arial"/>
          <w:szCs w:val="20"/>
        </w:rPr>
        <w:tab/>
        <w:t xml:space="preserve">USD     </w:t>
      </w:r>
      <w:r>
        <w:rPr>
          <w:rFonts w:cs="Arial"/>
          <w:szCs w:val="20"/>
        </w:rPr>
        <w:t xml:space="preserve"> 50,</w:t>
      </w:r>
      <w:r w:rsidRPr="00E064B4">
        <w:rPr>
          <w:rFonts w:cs="Arial"/>
          <w:szCs w:val="20"/>
        </w:rPr>
        <w:t>500</w:t>
      </w:r>
      <w:r>
        <w:rPr>
          <w:rFonts w:cs="Arial"/>
          <w:szCs w:val="20"/>
        </w:rPr>
        <w:t>.00</w:t>
      </w:r>
    </w:p>
    <w:p w:rsidR="00AD5DE9" w:rsidRDefault="00AD5DE9" w:rsidP="00AD5DE9">
      <w:pPr>
        <w:pStyle w:val="BodyText3"/>
        <w:jc w:val="left"/>
        <w:rPr>
          <w:rFonts w:cs="Arial"/>
          <w:b/>
          <w:szCs w:val="20"/>
        </w:rPr>
      </w:pPr>
      <w:r w:rsidRPr="00D868B2">
        <w:rPr>
          <w:rFonts w:cs="Arial"/>
          <w:b/>
          <w:szCs w:val="20"/>
        </w:rPr>
        <w:t>Total</w:t>
      </w:r>
      <w:r w:rsidRPr="00D868B2">
        <w:rPr>
          <w:rFonts w:cs="Arial"/>
          <w:szCs w:val="20"/>
        </w:rPr>
        <w:t xml:space="preserve">: </w:t>
      </w:r>
      <w:r w:rsidRPr="00D868B2">
        <w:rPr>
          <w:rFonts w:cs="Arial"/>
          <w:szCs w:val="20"/>
        </w:rPr>
        <w:tab/>
      </w:r>
      <w:r w:rsidRPr="00D868B2">
        <w:rPr>
          <w:rFonts w:cs="Arial"/>
          <w:szCs w:val="20"/>
        </w:rPr>
        <w:tab/>
      </w:r>
      <w:r w:rsidRPr="00D868B2">
        <w:rPr>
          <w:rFonts w:cs="Arial"/>
          <w:szCs w:val="20"/>
        </w:rPr>
        <w:tab/>
      </w:r>
      <w:r w:rsidRPr="00D868B2">
        <w:rPr>
          <w:rFonts w:cs="Arial"/>
          <w:b/>
          <w:szCs w:val="20"/>
        </w:rPr>
        <w:t>USD</w:t>
      </w:r>
      <w:r w:rsidRPr="009735EA">
        <w:rPr>
          <w:rFonts w:cs="Arial"/>
          <w:b/>
          <w:szCs w:val="20"/>
        </w:rPr>
        <w:t xml:space="preserve"> </w:t>
      </w:r>
      <w:r>
        <w:rPr>
          <w:rFonts w:cs="Arial"/>
          <w:b/>
          <w:szCs w:val="20"/>
        </w:rPr>
        <w:t>1,270,632.92</w:t>
      </w:r>
    </w:p>
    <w:p w:rsidR="00EF1075" w:rsidRDefault="00EF1075" w:rsidP="00AD5DE9">
      <w:pPr>
        <w:pStyle w:val="BodyText3"/>
        <w:jc w:val="left"/>
        <w:rPr>
          <w:rFonts w:cs="Arial"/>
          <w:szCs w:val="20"/>
        </w:rPr>
      </w:pPr>
    </w:p>
    <w:p w:rsidR="00EF1075" w:rsidRPr="00692D27" w:rsidRDefault="00EF1075" w:rsidP="00AD5DE9">
      <w:pPr>
        <w:pStyle w:val="BodyText3"/>
        <w:jc w:val="left"/>
        <w:rPr>
          <w:rFonts w:cs="Arial"/>
          <w:b/>
          <w:i/>
          <w:szCs w:val="20"/>
        </w:rPr>
      </w:pPr>
      <w:r w:rsidRPr="00692D27">
        <w:rPr>
          <w:rFonts w:cs="Arial"/>
          <w:b/>
          <w:i/>
          <w:szCs w:val="20"/>
        </w:rPr>
        <w:t>Human Resources:</w:t>
      </w:r>
    </w:p>
    <w:p w:rsidR="00EF1075" w:rsidRDefault="00692D27" w:rsidP="00692D27">
      <w:pPr>
        <w:pStyle w:val="BodyText3"/>
        <w:numPr>
          <w:ilvl w:val="0"/>
          <w:numId w:val="26"/>
        </w:numPr>
        <w:jc w:val="left"/>
        <w:rPr>
          <w:rFonts w:cs="Arial"/>
          <w:szCs w:val="20"/>
        </w:rPr>
      </w:pPr>
      <w:r>
        <w:rPr>
          <w:rFonts w:cs="Arial"/>
          <w:szCs w:val="20"/>
        </w:rPr>
        <w:t>A P</w:t>
      </w:r>
      <w:r w:rsidR="00EF1075">
        <w:rPr>
          <w:rFonts w:cs="Arial"/>
          <w:szCs w:val="20"/>
        </w:rPr>
        <w:t xml:space="preserve">roject </w:t>
      </w:r>
      <w:r>
        <w:rPr>
          <w:rFonts w:cs="Arial"/>
          <w:szCs w:val="20"/>
        </w:rPr>
        <w:t>M</w:t>
      </w:r>
      <w:r w:rsidR="00EF1075">
        <w:rPr>
          <w:rFonts w:cs="Arial"/>
          <w:szCs w:val="20"/>
        </w:rPr>
        <w:t xml:space="preserve">anager, 1 project assistant, </w:t>
      </w:r>
      <w:r>
        <w:rPr>
          <w:rFonts w:cs="Arial"/>
          <w:szCs w:val="20"/>
        </w:rPr>
        <w:t>1 Ministry of Youth and Sports focal point</w:t>
      </w:r>
      <w:r w:rsidR="007E5834">
        <w:rPr>
          <w:rFonts w:cs="Arial"/>
          <w:szCs w:val="20"/>
        </w:rPr>
        <w:t xml:space="preserve"> (paid using DANIDA contribution) </w:t>
      </w:r>
      <w:r>
        <w:rPr>
          <w:rFonts w:cs="Arial"/>
          <w:szCs w:val="20"/>
        </w:rPr>
        <w:t xml:space="preserve">/National Coordinator and </w:t>
      </w:r>
      <w:r w:rsidR="00EF20AC">
        <w:rPr>
          <w:rFonts w:cs="Arial"/>
          <w:szCs w:val="20"/>
        </w:rPr>
        <w:t xml:space="preserve">a </w:t>
      </w:r>
      <w:r>
        <w:rPr>
          <w:rFonts w:cs="Arial"/>
          <w:szCs w:val="20"/>
        </w:rPr>
        <w:t>driver.</w:t>
      </w:r>
    </w:p>
    <w:p w:rsidR="00EF1075" w:rsidRPr="00234CC4" w:rsidRDefault="00692D27" w:rsidP="00692D27">
      <w:pPr>
        <w:numPr>
          <w:ilvl w:val="0"/>
          <w:numId w:val="26"/>
        </w:numPr>
      </w:pPr>
      <w:r>
        <w:t xml:space="preserve">A </w:t>
      </w:r>
      <w:r w:rsidR="00EF1075">
        <w:t>consultant, who has overall responsibilities to the project</w:t>
      </w:r>
      <w:r>
        <w:t xml:space="preserve"> and liaises with the NGO undertaking field implementation. </w:t>
      </w:r>
    </w:p>
    <w:p w:rsidR="00EF1075" w:rsidRDefault="00EF1075" w:rsidP="00AD5DE9">
      <w:pPr>
        <w:pStyle w:val="BodyText3"/>
        <w:jc w:val="left"/>
        <w:rPr>
          <w:rFonts w:cs="Arial"/>
          <w:szCs w:val="20"/>
        </w:rPr>
      </w:pPr>
    </w:p>
    <w:p w:rsidR="00EF1075" w:rsidRDefault="00EF1075" w:rsidP="00EF1075">
      <w:pPr>
        <w:pStyle w:val="Heading3"/>
        <w:rPr>
          <w:b/>
          <w:bCs w:val="0"/>
        </w:rPr>
      </w:pPr>
      <w:r>
        <w:rPr>
          <w:b/>
          <w:bCs w:val="0"/>
        </w:rPr>
        <w:t>III. IMPLEMENTATION AND MONITORING ARRANGEMENT</w:t>
      </w:r>
    </w:p>
    <w:p w:rsidR="00EF1075" w:rsidRDefault="00EF1075" w:rsidP="00EF1075">
      <w:pPr>
        <w:pStyle w:val="BodyText2"/>
        <w:rPr>
          <w:rFonts w:ascii="Times New Roman" w:hAnsi="Times New Roman"/>
          <w:sz w:val="24"/>
        </w:rPr>
      </w:pPr>
    </w:p>
    <w:p w:rsidR="0027365E" w:rsidRDefault="0027365E" w:rsidP="0027365E">
      <w:r>
        <w:t>UNICEF’s partner in implementing the project is the Ministry of Youth and Sports. An international NGO (Action Aid Liberia) and a series of youth groups under the Federation of Liberian Youth are undertaking field implementation in the two counties of focus.</w:t>
      </w:r>
    </w:p>
    <w:p w:rsidR="00692D27" w:rsidRPr="00273F16" w:rsidRDefault="00692D27" w:rsidP="00692D27">
      <w:pPr>
        <w:pStyle w:val="BodyText2"/>
        <w:numPr>
          <w:ilvl w:val="0"/>
          <w:numId w:val="19"/>
        </w:numPr>
        <w:tabs>
          <w:tab w:val="clear" w:pos="720"/>
          <w:tab w:val="num" w:pos="252"/>
        </w:tabs>
        <w:ind w:left="252" w:hanging="252"/>
        <w:rPr>
          <w:rFonts w:cs="Arial"/>
        </w:rPr>
      </w:pPr>
      <w:r w:rsidRPr="00273F16">
        <w:rPr>
          <w:rFonts w:cs="Arial"/>
        </w:rPr>
        <w:t>Monthly monitoring and support supervisory visits made to project counties by the project steering committee members.</w:t>
      </w:r>
    </w:p>
    <w:p w:rsidR="00692D27" w:rsidRPr="00273F16" w:rsidRDefault="00692D27" w:rsidP="00AF7BE2">
      <w:pPr>
        <w:pStyle w:val="BodyText2"/>
        <w:numPr>
          <w:ilvl w:val="0"/>
          <w:numId w:val="19"/>
        </w:numPr>
        <w:tabs>
          <w:tab w:val="clear" w:pos="720"/>
          <w:tab w:val="num" w:pos="252"/>
        </w:tabs>
        <w:ind w:left="252" w:hanging="252"/>
        <w:rPr>
          <w:rFonts w:cs="Arial"/>
        </w:rPr>
      </w:pPr>
      <w:r w:rsidRPr="00273F16">
        <w:rPr>
          <w:rFonts w:cs="Arial"/>
        </w:rPr>
        <w:lastRenderedPageBreak/>
        <w:t xml:space="preserve">Ongoing discussions with Population Council on the support of the establishment of a Youth Development Index. </w:t>
      </w:r>
    </w:p>
    <w:p w:rsidR="00FD25D7" w:rsidRDefault="00270A81">
      <w:pPr>
        <w:pStyle w:val="Heading3"/>
        <w:rPr>
          <w:b/>
          <w:bCs w:val="0"/>
        </w:rPr>
      </w:pPr>
      <w:r>
        <w:rPr>
          <w:b/>
          <w:bCs w:val="0"/>
        </w:rPr>
        <w:t>IV</w:t>
      </w:r>
      <w:r w:rsidR="0027445C">
        <w:rPr>
          <w:b/>
          <w:bCs w:val="0"/>
        </w:rPr>
        <w:t xml:space="preserve">. </w:t>
      </w:r>
      <w:r w:rsidR="00FD25D7">
        <w:rPr>
          <w:b/>
          <w:bCs w:val="0"/>
        </w:rPr>
        <w:t>RESULTS</w:t>
      </w:r>
    </w:p>
    <w:p w:rsidR="0027445C" w:rsidRDefault="0027445C">
      <w:pPr>
        <w:pStyle w:val="BodyText2"/>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5881"/>
        <w:gridCol w:w="1338"/>
      </w:tblGrid>
      <w:tr w:rsidR="00EF20AC" w:rsidRPr="00273F16" w:rsidTr="00EF20AC">
        <w:tc>
          <w:tcPr>
            <w:tcW w:w="2024" w:type="dxa"/>
            <w:shd w:val="clear" w:color="auto" w:fill="E0E0E0"/>
          </w:tcPr>
          <w:p w:rsidR="00EF20AC" w:rsidRPr="00273F16" w:rsidRDefault="00EF20AC" w:rsidP="00273F16">
            <w:pPr>
              <w:widowControl/>
              <w:autoSpaceDE w:val="0"/>
              <w:autoSpaceDN w:val="0"/>
              <w:adjustRightInd w:val="0"/>
              <w:ind w:left="90"/>
              <w:rPr>
                <w:rFonts w:cs="Arial"/>
                <w:b/>
                <w:spacing w:val="-2"/>
              </w:rPr>
            </w:pPr>
            <w:r w:rsidRPr="00273F16">
              <w:rPr>
                <w:rFonts w:cs="Arial"/>
                <w:b/>
                <w:spacing w:val="-2"/>
              </w:rPr>
              <w:t>Expected Outcome</w:t>
            </w:r>
          </w:p>
        </w:tc>
        <w:tc>
          <w:tcPr>
            <w:tcW w:w="5881" w:type="dxa"/>
            <w:shd w:val="clear" w:color="auto" w:fill="E0E0E0"/>
          </w:tcPr>
          <w:p w:rsidR="00EF20AC" w:rsidRPr="00273F16" w:rsidRDefault="00EF20AC">
            <w:pPr>
              <w:pStyle w:val="BodyText2"/>
              <w:rPr>
                <w:rFonts w:cs="Arial"/>
                <w:b/>
              </w:rPr>
            </w:pPr>
            <w:r w:rsidRPr="00273F16">
              <w:rPr>
                <w:rFonts w:cs="Arial"/>
                <w:b/>
              </w:rPr>
              <w:t>Results</w:t>
            </w:r>
          </w:p>
          <w:p w:rsidR="00EF20AC" w:rsidRPr="00273F16" w:rsidRDefault="00EF20AC">
            <w:pPr>
              <w:pStyle w:val="BodyText2"/>
              <w:rPr>
                <w:rFonts w:cs="Arial"/>
                <w:b/>
              </w:rPr>
            </w:pPr>
          </w:p>
        </w:tc>
        <w:tc>
          <w:tcPr>
            <w:tcW w:w="1338" w:type="dxa"/>
            <w:shd w:val="clear" w:color="auto" w:fill="E0E0E0"/>
          </w:tcPr>
          <w:p w:rsidR="00EF20AC" w:rsidRPr="00273F16" w:rsidRDefault="00EF20AC" w:rsidP="00EF20AC">
            <w:pPr>
              <w:pStyle w:val="BodyText2"/>
              <w:jc w:val="center"/>
              <w:rPr>
                <w:rFonts w:cs="Arial"/>
                <w:b/>
              </w:rPr>
            </w:pPr>
            <w:r>
              <w:rPr>
                <w:rFonts w:cs="Arial"/>
                <w:b/>
              </w:rPr>
              <w:t>Percent of completion</w:t>
            </w:r>
          </w:p>
        </w:tc>
      </w:tr>
      <w:tr w:rsidR="00EF20AC" w:rsidRPr="00273F16" w:rsidTr="00EF20AC">
        <w:tc>
          <w:tcPr>
            <w:tcW w:w="2024" w:type="dxa"/>
          </w:tcPr>
          <w:p w:rsidR="00EF20AC" w:rsidRPr="00273F16" w:rsidRDefault="00EF20AC" w:rsidP="00273F16">
            <w:pPr>
              <w:widowControl/>
              <w:autoSpaceDE w:val="0"/>
              <w:autoSpaceDN w:val="0"/>
              <w:adjustRightInd w:val="0"/>
              <w:rPr>
                <w:rFonts w:cs="Arial"/>
                <w:spacing w:val="-2"/>
              </w:rPr>
            </w:pPr>
          </w:p>
          <w:p w:rsidR="00EF20AC" w:rsidRPr="00273F16" w:rsidRDefault="00EF20AC" w:rsidP="00273F16">
            <w:pPr>
              <w:widowControl/>
              <w:numPr>
                <w:ilvl w:val="0"/>
                <w:numId w:val="16"/>
              </w:numPr>
              <w:tabs>
                <w:tab w:val="clear" w:pos="450"/>
                <w:tab w:val="num" w:pos="180"/>
              </w:tabs>
              <w:autoSpaceDE w:val="0"/>
              <w:autoSpaceDN w:val="0"/>
              <w:adjustRightInd w:val="0"/>
              <w:ind w:left="180" w:hanging="180"/>
              <w:jc w:val="left"/>
              <w:rPr>
                <w:rFonts w:cs="Arial"/>
                <w:spacing w:val="-2"/>
              </w:rPr>
            </w:pPr>
            <w:r w:rsidRPr="00273F16">
              <w:rPr>
                <w:rFonts w:cs="Arial"/>
                <w:spacing w:val="-2"/>
              </w:rPr>
              <w:t>Enhanced capacity of targeted youth population to assume leadership, participate in local and national policy networks and decision making processes and to contribute to peace and development.</w:t>
            </w:r>
          </w:p>
          <w:p w:rsidR="00EF20AC" w:rsidRPr="00273F16" w:rsidRDefault="00EF20AC" w:rsidP="00273F16">
            <w:pPr>
              <w:pStyle w:val="BodyText2"/>
              <w:tabs>
                <w:tab w:val="num" w:pos="180"/>
              </w:tabs>
              <w:ind w:left="180" w:hanging="180"/>
              <w:rPr>
                <w:rFonts w:cs="Arial"/>
              </w:rPr>
            </w:pPr>
          </w:p>
        </w:tc>
        <w:tc>
          <w:tcPr>
            <w:tcW w:w="5881" w:type="dxa"/>
          </w:tcPr>
          <w:p w:rsidR="00EF20AC" w:rsidRPr="00273F16" w:rsidRDefault="00EF20AC" w:rsidP="00470EBA">
            <w:pPr>
              <w:pStyle w:val="BodyText2"/>
              <w:rPr>
                <w:rFonts w:cs="Arial"/>
              </w:rPr>
            </w:pP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 xml:space="preserve">A capacity needs assessment on leadership skills of youth between 15 to 24 years was conducted with key stakeholders in Monrovia and local youth organizations in Grand Cape Mount and Grand Bassa Counties. </w:t>
            </w: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 xml:space="preserve">A draft leadership skills training resource pack was tested during ToT training of 60 peer educators from local youth organizations in </w:t>
            </w:r>
            <w:smartTag w:uri="urn:schemas-microsoft-com:office:smarttags" w:element="PlaceType">
              <w:r w:rsidRPr="00273F16">
                <w:rPr>
                  <w:rFonts w:cs="Arial"/>
                </w:rPr>
                <w:t>Cape</w:t>
              </w:r>
            </w:smartTag>
            <w:r w:rsidRPr="00273F16">
              <w:rPr>
                <w:rFonts w:cs="Arial"/>
              </w:rPr>
              <w:t xml:space="preserve"> </w:t>
            </w:r>
            <w:smartTag w:uri="urn:schemas-microsoft-com:office:smarttags" w:element="PlaceName">
              <w:r w:rsidRPr="00273F16">
                <w:rPr>
                  <w:rFonts w:cs="Arial"/>
                </w:rPr>
                <w:t>Mount</w:t>
              </w:r>
            </w:smartTag>
            <w:r w:rsidRPr="00273F16">
              <w:rPr>
                <w:rFonts w:cs="Arial"/>
              </w:rPr>
              <w:t xml:space="preserve"> and </w:t>
            </w:r>
            <w:smartTag w:uri="urn:schemas-microsoft-com:office:smarttags" w:element="place">
              <w:smartTag w:uri="urn:schemas-microsoft-com:office:smarttags" w:element="PlaceName">
                <w:r w:rsidRPr="00273F16">
                  <w:rPr>
                    <w:rFonts w:cs="Arial"/>
                  </w:rPr>
                  <w:t>Grand</w:t>
                </w:r>
              </w:smartTag>
              <w:r w:rsidRPr="00273F16">
                <w:rPr>
                  <w:rFonts w:cs="Arial"/>
                </w:rPr>
                <w:t xml:space="preserve"> </w:t>
              </w:r>
              <w:smartTag w:uri="urn:schemas-microsoft-com:office:smarttags" w:element="PlaceName">
                <w:r w:rsidRPr="00273F16">
                  <w:rPr>
                    <w:rFonts w:cs="Arial"/>
                  </w:rPr>
                  <w:t>Bassa</w:t>
                </w:r>
              </w:smartTag>
              <w:r w:rsidRPr="00273F16">
                <w:rPr>
                  <w:rFonts w:cs="Arial"/>
                </w:rPr>
                <w:t xml:space="preserve"> </w:t>
              </w:r>
              <w:smartTag w:uri="urn:schemas-microsoft-com:office:smarttags" w:element="PlaceType">
                <w:r w:rsidRPr="00273F16">
                  <w:rPr>
                    <w:rFonts w:cs="Arial"/>
                  </w:rPr>
                  <w:t>Counties</w:t>
                </w:r>
              </w:smartTag>
            </w:smartTag>
            <w:r w:rsidRPr="00273F16">
              <w:rPr>
                <w:rFonts w:cs="Arial"/>
              </w:rPr>
              <w:t xml:space="preserve">. </w:t>
            </w: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 xml:space="preserve">The leadership skills training manual was validated by key stakeholders such as MYS, MOE, MoGD, FLY and local youth organizations. </w:t>
            </w: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The leadership skills training manual was finalized and is in the process of printing. It includes trust building, communication and participation in community decision making.</w:t>
            </w: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 xml:space="preserve">Capacity building for local youth organizations: Local youth organizations were strongly involved in the consultation process as well as in the rolling out of the project in the field. </w:t>
            </w:r>
          </w:p>
          <w:p w:rsidR="00EF20AC" w:rsidRPr="00273F16" w:rsidRDefault="00EF20AC" w:rsidP="00273F16">
            <w:pPr>
              <w:pStyle w:val="BodyText2"/>
              <w:numPr>
                <w:ilvl w:val="0"/>
                <w:numId w:val="17"/>
              </w:numPr>
              <w:tabs>
                <w:tab w:val="clear" w:pos="720"/>
                <w:tab w:val="num" w:pos="252"/>
              </w:tabs>
              <w:ind w:left="252" w:hanging="252"/>
              <w:rPr>
                <w:rFonts w:cs="Arial"/>
              </w:rPr>
            </w:pPr>
            <w:r w:rsidRPr="00273F16">
              <w:rPr>
                <w:rFonts w:cs="Arial"/>
              </w:rPr>
              <w:t xml:space="preserve">Local youth organizations and communities selected beneficiaries for the youth community trainings which will target 5000 youth in Grand Bassa and </w:t>
            </w:r>
            <w:smartTag w:uri="urn:schemas-microsoft-com:office:smarttags" w:element="place">
              <w:smartTag w:uri="urn:schemas-microsoft-com:office:smarttags" w:element="PlaceType">
                <w:r w:rsidRPr="00273F16">
                  <w:rPr>
                    <w:rFonts w:cs="Arial"/>
                  </w:rPr>
                  <w:t>Cape</w:t>
                </w:r>
              </w:smartTag>
              <w:r w:rsidRPr="00273F16">
                <w:rPr>
                  <w:rFonts w:cs="Arial"/>
                </w:rPr>
                <w:t xml:space="preserve"> </w:t>
              </w:r>
              <w:smartTag w:uri="urn:schemas-microsoft-com:office:smarttags" w:element="PlaceName">
                <w:r w:rsidRPr="00273F16">
                  <w:rPr>
                    <w:rFonts w:cs="Arial"/>
                  </w:rPr>
                  <w:t>Mount</w:t>
                </w:r>
              </w:smartTag>
              <w:r w:rsidRPr="00273F16">
                <w:rPr>
                  <w:rFonts w:cs="Arial"/>
                </w:rPr>
                <w:t xml:space="preserve"> </w:t>
              </w:r>
              <w:smartTag w:uri="urn:schemas-microsoft-com:office:smarttags" w:element="PlaceType">
                <w:r w:rsidRPr="00273F16">
                  <w:rPr>
                    <w:rFonts w:cs="Arial"/>
                  </w:rPr>
                  <w:t>Counties</w:t>
                </w:r>
              </w:smartTag>
            </w:smartTag>
            <w:r w:rsidRPr="00273F16">
              <w:rPr>
                <w:rFonts w:cs="Arial"/>
              </w:rPr>
              <w:t xml:space="preserve">. </w:t>
            </w:r>
          </w:p>
          <w:p w:rsidR="00EF20AC" w:rsidRPr="00273F16" w:rsidRDefault="00EF20AC" w:rsidP="00470EBA">
            <w:pPr>
              <w:pStyle w:val="BodyText2"/>
              <w:rPr>
                <w:rFonts w:cs="Arial"/>
              </w:rPr>
            </w:pPr>
          </w:p>
        </w:tc>
        <w:tc>
          <w:tcPr>
            <w:tcW w:w="1338" w:type="dxa"/>
          </w:tcPr>
          <w:p w:rsidR="00EF20AC" w:rsidRDefault="00EF20AC" w:rsidP="00EF20AC">
            <w:pPr>
              <w:pStyle w:val="BodyText2"/>
              <w:jc w:val="center"/>
              <w:rPr>
                <w:rFonts w:cs="Arial"/>
              </w:rPr>
            </w:pPr>
          </w:p>
          <w:p w:rsidR="00EF20AC" w:rsidRPr="00273F16" w:rsidRDefault="00EF20AC" w:rsidP="00EF20AC">
            <w:pPr>
              <w:pStyle w:val="BodyText2"/>
              <w:jc w:val="center"/>
              <w:rPr>
                <w:rFonts w:cs="Arial"/>
              </w:rPr>
            </w:pPr>
            <w:r>
              <w:rPr>
                <w:rFonts w:cs="Arial"/>
              </w:rPr>
              <w:t>30%</w:t>
            </w:r>
          </w:p>
        </w:tc>
      </w:tr>
      <w:tr w:rsidR="00EF20AC" w:rsidRPr="00273F16" w:rsidTr="00EF20AC">
        <w:tc>
          <w:tcPr>
            <w:tcW w:w="2024" w:type="dxa"/>
          </w:tcPr>
          <w:p w:rsidR="00EF20AC" w:rsidRPr="00273F16" w:rsidRDefault="00EF20AC" w:rsidP="00273F16">
            <w:pPr>
              <w:widowControl/>
              <w:autoSpaceDE w:val="0"/>
              <w:autoSpaceDN w:val="0"/>
              <w:adjustRightInd w:val="0"/>
              <w:rPr>
                <w:rFonts w:cs="Arial"/>
              </w:rPr>
            </w:pPr>
          </w:p>
          <w:p w:rsidR="00EF20AC" w:rsidRPr="00273F16" w:rsidRDefault="00EF20AC" w:rsidP="00273F16">
            <w:pPr>
              <w:widowControl/>
              <w:numPr>
                <w:ilvl w:val="0"/>
                <w:numId w:val="16"/>
              </w:numPr>
              <w:tabs>
                <w:tab w:val="clear" w:pos="450"/>
                <w:tab w:val="num" w:pos="180"/>
              </w:tabs>
              <w:autoSpaceDE w:val="0"/>
              <w:autoSpaceDN w:val="0"/>
              <w:adjustRightInd w:val="0"/>
              <w:ind w:left="180" w:hanging="180"/>
              <w:jc w:val="left"/>
              <w:rPr>
                <w:rFonts w:cs="Arial"/>
              </w:rPr>
            </w:pPr>
            <w:r w:rsidRPr="00273F16">
              <w:rPr>
                <w:rFonts w:cs="Arial"/>
                <w:spacing w:val="-3"/>
              </w:rPr>
              <w:t xml:space="preserve">Targeted youth are empowered to use their capacities, skills, opportunities and energies constructively to enhance non-violence, peaceful co-existence and assume civil responsibilities on all levels of society. </w:t>
            </w:r>
          </w:p>
          <w:p w:rsidR="00EF20AC" w:rsidRPr="00273F16" w:rsidRDefault="00EF20AC" w:rsidP="00273F16">
            <w:pPr>
              <w:pStyle w:val="BodyText2"/>
              <w:tabs>
                <w:tab w:val="num" w:pos="180"/>
              </w:tabs>
              <w:ind w:left="180" w:hanging="180"/>
              <w:rPr>
                <w:rFonts w:cs="Arial"/>
              </w:rPr>
            </w:pPr>
          </w:p>
        </w:tc>
        <w:tc>
          <w:tcPr>
            <w:tcW w:w="5881" w:type="dxa"/>
          </w:tcPr>
          <w:p w:rsidR="00EF20AC" w:rsidRPr="00273F16" w:rsidRDefault="00EF20AC" w:rsidP="00470EBA">
            <w:pPr>
              <w:pStyle w:val="BodyText2"/>
              <w:rPr>
                <w:rFonts w:cs="Arial"/>
              </w:rPr>
            </w:pPr>
          </w:p>
          <w:p w:rsidR="00EF20AC" w:rsidRPr="00273F16" w:rsidRDefault="00EF20AC" w:rsidP="00273F16">
            <w:pPr>
              <w:pStyle w:val="BodyText2"/>
              <w:numPr>
                <w:ilvl w:val="0"/>
                <w:numId w:val="18"/>
              </w:numPr>
              <w:tabs>
                <w:tab w:val="clear" w:pos="720"/>
                <w:tab w:val="num" w:pos="252"/>
              </w:tabs>
              <w:ind w:left="252" w:hanging="252"/>
              <w:rPr>
                <w:rFonts w:cs="Arial"/>
              </w:rPr>
            </w:pPr>
            <w:r w:rsidRPr="00273F16">
              <w:rPr>
                <w:rFonts w:cs="Arial"/>
              </w:rPr>
              <w:t>The capacity needs assessment; the draft peacebuilding training resource pack; and capacity building for local youth organizations; and the 5000 youths selected for training as mentioned above also covered this result.</w:t>
            </w:r>
          </w:p>
          <w:p w:rsidR="00EF20AC" w:rsidRPr="00273F16" w:rsidRDefault="00EF20AC" w:rsidP="00273F16">
            <w:pPr>
              <w:pStyle w:val="BodyText2"/>
              <w:numPr>
                <w:ilvl w:val="0"/>
                <w:numId w:val="18"/>
              </w:numPr>
              <w:tabs>
                <w:tab w:val="clear" w:pos="720"/>
                <w:tab w:val="num" w:pos="252"/>
              </w:tabs>
              <w:ind w:left="252" w:hanging="252"/>
              <w:rPr>
                <w:rFonts w:cs="Arial"/>
              </w:rPr>
            </w:pPr>
            <w:r w:rsidRPr="00273F16">
              <w:rPr>
                <w:rFonts w:cs="Arial"/>
              </w:rPr>
              <w:t xml:space="preserve">The leadership skills training manual in print includes self-respect, anger management, and entails a section on human rights and civic education. </w:t>
            </w:r>
          </w:p>
          <w:p w:rsidR="00EF20AC" w:rsidRPr="00273F16" w:rsidRDefault="00EF20AC" w:rsidP="00273F16">
            <w:pPr>
              <w:pStyle w:val="BodyText2"/>
              <w:numPr>
                <w:ilvl w:val="0"/>
                <w:numId w:val="18"/>
              </w:numPr>
              <w:tabs>
                <w:tab w:val="clear" w:pos="720"/>
                <w:tab w:val="num" w:pos="252"/>
              </w:tabs>
              <w:ind w:left="252" w:hanging="252"/>
              <w:rPr>
                <w:rFonts w:cs="Arial"/>
              </w:rPr>
            </w:pPr>
            <w:r w:rsidRPr="00273F16">
              <w:rPr>
                <w:rFonts w:cs="Arial"/>
              </w:rPr>
              <w:t xml:space="preserve">Consultation process brought together youth leaders and community leaders in order to give input in the design of the training resource pack and the roll out of the program. </w:t>
            </w:r>
          </w:p>
          <w:p w:rsidR="00EF20AC" w:rsidRPr="00273F16" w:rsidRDefault="00EF20AC" w:rsidP="00273F16">
            <w:pPr>
              <w:pStyle w:val="BodyText2"/>
              <w:ind w:left="252"/>
              <w:rPr>
                <w:rFonts w:cs="Arial"/>
              </w:rPr>
            </w:pPr>
          </w:p>
        </w:tc>
        <w:tc>
          <w:tcPr>
            <w:tcW w:w="1338" w:type="dxa"/>
          </w:tcPr>
          <w:p w:rsidR="00EF20AC" w:rsidRDefault="00EF20AC" w:rsidP="00EF20AC">
            <w:pPr>
              <w:pStyle w:val="BodyText2"/>
              <w:jc w:val="center"/>
              <w:rPr>
                <w:rFonts w:cs="Arial"/>
              </w:rPr>
            </w:pPr>
          </w:p>
          <w:p w:rsidR="00EF20AC" w:rsidRPr="00273F16" w:rsidRDefault="00EF20AC" w:rsidP="00EF20AC">
            <w:pPr>
              <w:pStyle w:val="BodyText2"/>
              <w:jc w:val="center"/>
              <w:rPr>
                <w:rFonts w:cs="Arial"/>
              </w:rPr>
            </w:pPr>
            <w:r>
              <w:rPr>
                <w:rFonts w:cs="Arial"/>
              </w:rPr>
              <w:t>30%</w:t>
            </w:r>
          </w:p>
        </w:tc>
      </w:tr>
      <w:tr w:rsidR="00EF20AC" w:rsidRPr="00273F16" w:rsidTr="00EF20AC">
        <w:tc>
          <w:tcPr>
            <w:tcW w:w="2024" w:type="dxa"/>
          </w:tcPr>
          <w:p w:rsidR="00EF20AC" w:rsidRPr="00273F16" w:rsidRDefault="00EF20AC" w:rsidP="00273F16">
            <w:pPr>
              <w:widowControl/>
              <w:autoSpaceDE w:val="0"/>
              <w:autoSpaceDN w:val="0"/>
              <w:adjustRightInd w:val="0"/>
              <w:rPr>
                <w:rFonts w:cs="Arial"/>
              </w:rPr>
            </w:pPr>
          </w:p>
          <w:p w:rsidR="00EF20AC" w:rsidRPr="00273F16" w:rsidRDefault="00EF20AC" w:rsidP="00273F16">
            <w:pPr>
              <w:widowControl/>
              <w:numPr>
                <w:ilvl w:val="1"/>
                <w:numId w:val="16"/>
              </w:numPr>
              <w:tabs>
                <w:tab w:val="clear" w:pos="1170"/>
                <w:tab w:val="num" w:pos="180"/>
              </w:tabs>
              <w:autoSpaceDE w:val="0"/>
              <w:autoSpaceDN w:val="0"/>
              <w:adjustRightInd w:val="0"/>
              <w:ind w:left="180" w:hanging="180"/>
              <w:jc w:val="left"/>
              <w:rPr>
                <w:rFonts w:cs="Arial"/>
              </w:rPr>
            </w:pPr>
            <w:r w:rsidRPr="00273F16">
              <w:rPr>
                <w:rFonts w:cs="Arial"/>
                <w:spacing w:val="-3"/>
              </w:rPr>
              <w:t xml:space="preserve">Improved understanding and knowledge about youth issues leads to “youth sensitized” local and national policy making structures. </w:t>
            </w:r>
          </w:p>
          <w:p w:rsidR="00EF20AC" w:rsidRPr="00273F16" w:rsidRDefault="00EF20AC">
            <w:pPr>
              <w:pStyle w:val="BodyText2"/>
              <w:rPr>
                <w:rFonts w:cs="Arial"/>
              </w:rPr>
            </w:pPr>
          </w:p>
        </w:tc>
        <w:tc>
          <w:tcPr>
            <w:tcW w:w="5881" w:type="dxa"/>
          </w:tcPr>
          <w:p w:rsidR="00EF20AC" w:rsidRPr="00273F16" w:rsidRDefault="00EF20AC" w:rsidP="00470EBA">
            <w:pPr>
              <w:pStyle w:val="BodyText2"/>
              <w:rPr>
                <w:rFonts w:cs="Arial"/>
              </w:rPr>
            </w:pPr>
          </w:p>
          <w:p w:rsidR="00EF20AC" w:rsidRPr="00273F16" w:rsidRDefault="00EF20AC" w:rsidP="00273F16">
            <w:pPr>
              <w:pStyle w:val="BodyText2"/>
              <w:numPr>
                <w:ilvl w:val="2"/>
                <w:numId w:val="16"/>
              </w:numPr>
              <w:tabs>
                <w:tab w:val="clear" w:pos="2070"/>
                <w:tab w:val="num" w:pos="252"/>
              </w:tabs>
              <w:ind w:left="252" w:hanging="252"/>
              <w:rPr>
                <w:rFonts w:cs="Arial"/>
              </w:rPr>
            </w:pPr>
            <w:r w:rsidRPr="00273F16">
              <w:rPr>
                <w:rFonts w:cs="Arial"/>
              </w:rPr>
              <w:t xml:space="preserve">During the assessment phase, community leaders were sensitized on the importance of youth participating in community decision making structures, taking responsibility and the constructive role youth can play in conflict resolution. </w:t>
            </w:r>
          </w:p>
          <w:p w:rsidR="00EF20AC" w:rsidRPr="00273F16" w:rsidRDefault="00EF20AC" w:rsidP="00273F16">
            <w:pPr>
              <w:pStyle w:val="BodyText2"/>
              <w:numPr>
                <w:ilvl w:val="2"/>
                <w:numId w:val="16"/>
              </w:numPr>
              <w:tabs>
                <w:tab w:val="clear" w:pos="2070"/>
                <w:tab w:val="num" w:pos="252"/>
              </w:tabs>
              <w:ind w:left="252" w:hanging="252"/>
              <w:rPr>
                <w:rFonts w:cs="Arial"/>
              </w:rPr>
            </w:pPr>
            <w:r w:rsidRPr="00273F16">
              <w:rPr>
                <w:rFonts w:cs="Arial"/>
              </w:rPr>
              <w:t xml:space="preserve">Identification of 30 outreach communities in Cape Mount and Grand Bassa counties. Conducting of trainings in remote areas will further improve the understanding of local community leaders and decision makers of the challenges youth are facing.  </w:t>
            </w:r>
          </w:p>
          <w:p w:rsidR="00EF20AC" w:rsidRPr="00273F16" w:rsidRDefault="00EF20AC" w:rsidP="00273F16">
            <w:pPr>
              <w:pStyle w:val="BodyText2"/>
              <w:numPr>
                <w:ilvl w:val="2"/>
                <w:numId w:val="16"/>
              </w:numPr>
              <w:tabs>
                <w:tab w:val="clear" w:pos="2070"/>
                <w:tab w:val="num" w:pos="252"/>
              </w:tabs>
              <w:ind w:left="252" w:hanging="252"/>
              <w:rPr>
                <w:rFonts w:cs="Arial"/>
              </w:rPr>
            </w:pPr>
            <w:smartTag w:uri="urn:schemas-microsoft-com:office:smarttags" w:element="place">
              <w:smartTag w:uri="urn:schemas-microsoft-com:office:smarttags" w:element="PlaceType">
                <w:r w:rsidRPr="00273F16">
                  <w:rPr>
                    <w:rFonts w:cs="Arial"/>
                  </w:rPr>
                  <w:t>Cape</w:t>
                </w:r>
              </w:smartTag>
              <w:r w:rsidRPr="00273F16">
                <w:rPr>
                  <w:rFonts w:cs="Arial"/>
                </w:rPr>
                <w:t xml:space="preserve"> </w:t>
              </w:r>
              <w:smartTag w:uri="urn:schemas-microsoft-com:office:smarttags" w:element="PlaceName">
                <w:r w:rsidRPr="00273F16">
                  <w:rPr>
                    <w:rFonts w:cs="Arial"/>
                  </w:rPr>
                  <w:t>Mount</w:t>
                </w:r>
              </w:smartTag>
            </w:smartTag>
            <w:r w:rsidRPr="00273F16">
              <w:rPr>
                <w:rFonts w:cs="Arial"/>
              </w:rPr>
              <w:t xml:space="preserve"> and Grand Bassa county authorities are fully aware of the project and sensitized on youth issues</w:t>
            </w:r>
          </w:p>
          <w:p w:rsidR="00EF20AC" w:rsidRPr="00273F16" w:rsidRDefault="00EF20AC" w:rsidP="00C909AC">
            <w:pPr>
              <w:pStyle w:val="BodyText2"/>
              <w:rPr>
                <w:rFonts w:cs="Arial"/>
              </w:rPr>
            </w:pPr>
          </w:p>
        </w:tc>
        <w:tc>
          <w:tcPr>
            <w:tcW w:w="1338" w:type="dxa"/>
          </w:tcPr>
          <w:p w:rsidR="00EF20AC" w:rsidRDefault="00EF20AC" w:rsidP="00EF20AC">
            <w:pPr>
              <w:pStyle w:val="BodyText2"/>
              <w:jc w:val="center"/>
              <w:rPr>
                <w:rFonts w:cs="Arial"/>
              </w:rPr>
            </w:pPr>
          </w:p>
          <w:p w:rsidR="00EF20AC" w:rsidRPr="00273F16" w:rsidRDefault="00EF20AC" w:rsidP="00EF20AC">
            <w:pPr>
              <w:pStyle w:val="BodyText2"/>
              <w:jc w:val="center"/>
              <w:rPr>
                <w:rFonts w:cs="Arial"/>
              </w:rPr>
            </w:pPr>
            <w:r>
              <w:rPr>
                <w:rFonts w:cs="Arial"/>
              </w:rPr>
              <w:t>35%</w:t>
            </w:r>
          </w:p>
        </w:tc>
      </w:tr>
    </w:tbl>
    <w:p w:rsidR="00FD25D7" w:rsidRDefault="00FD25D7">
      <w:pPr>
        <w:pStyle w:val="BodyText2"/>
        <w:rPr>
          <w:rFonts w:ascii="Times New Roman" w:hAnsi="Times New Roman"/>
          <w:sz w:val="24"/>
        </w:rPr>
      </w:pPr>
    </w:p>
    <w:p w:rsidR="00B976D8" w:rsidRDefault="00B976D8">
      <w:pPr>
        <w:pStyle w:val="BodyText2"/>
        <w:rPr>
          <w:rFonts w:ascii="Times New Roman" w:hAnsi="Times New Roman"/>
          <w:sz w:val="24"/>
        </w:rPr>
      </w:pPr>
    </w:p>
    <w:p w:rsidR="00FD25D7" w:rsidRPr="009535DD" w:rsidRDefault="00FD25D7" w:rsidP="00B976D8">
      <w:pPr>
        <w:pStyle w:val="Heading3"/>
        <w:rPr>
          <w:b/>
        </w:rPr>
      </w:pPr>
      <w:r w:rsidRPr="009535DD">
        <w:rPr>
          <w:b/>
        </w:rPr>
        <w:t>V.  FUTURE WORK PLAN</w:t>
      </w:r>
    </w:p>
    <w:p w:rsidR="0027445C" w:rsidRDefault="0027445C">
      <w:pPr>
        <w:pStyle w:val="BodyText2"/>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07"/>
      </w:tblGrid>
      <w:tr w:rsidR="00F87E5C" w:rsidRPr="00273F16" w:rsidTr="00273F16">
        <w:tc>
          <w:tcPr>
            <w:tcW w:w="3936" w:type="dxa"/>
            <w:shd w:val="clear" w:color="auto" w:fill="E0E0E0"/>
          </w:tcPr>
          <w:p w:rsidR="00F87E5C" w:rsidRPr="00273F16" w:rsidRDefault="00F87E5C" w:rsidP="00273F16">
            <w:pPr>
              <w:widowControl/>
              <w:autoSpaceDE w:val="0"/>
              <w:autoSpaceDN w:val="0"/>
              <w:adjustRightInd w:val="0"/>
              <w:ind w:left="90"/>
              <w:rPr>
                <w:rFonts w:cs="Arial"/>
                <w:b/>
                <w:spacing w:val="-2"/>
              </w:rPr>
            </w:pPr>
            <w:r w:rsidRPr="00273F16">
              <w:rPr>
                <w:rFonts w:cs="Arial"/>
                <w:b/>
                <w:spacing w:val="-2"/>
              </w:rPr>
              <w:t>Expected Outcome</w:t>
            </w:r>
          </w:p>
        </w:tc>
        <w:tc>
          <w:tcPr>
            <w:tcW w:w="5307" w:type="dxa"/>
            <w:shd w:val="clear" w:color="auto" w:fill="E0E0E0"/>
          </w:tcPr>
          <w:p w:rsidR="00F87E5C" w:rsidRPr="00273F16" w:rsidRDefault="00F87E5C" w:rsidP="00894663">
            <w:pPr>
              <w:pStyle w:val="BodyText2"/>
              <w:rPr>
                <w:rFonts w:cs="Arial"/>
                <w:b/>
              </w:rPr>
            </w:pPr>
            <w:r w:rsidRPr="00273F16">
              <w:rPr>
                <w:rFonts w:cs="Arial"/>
                <w:b/>
              </w:rPr>
              <w:t>Results</w:t>
            </w:r>
          </w:p>
          <w:p w:rsidR="00F87E5C" w:rsidRPr="00273F16" w:rsidRDefault="00F87E5C" w:rsidP="00894663">
            <w:pPr>
              <w:pStyle w:val="BodyText2"/>
              <w:rPr>
                <w:rFonts w:cs="Arial"/>
                <w:b/>
              </w:rPr>
            </w:pPr>
          </w:p>
        </w:tc>
      </w:tr>
      <w:tr w:rsidR="00F87E5C" w:rsidRPr="00273F16" w:rsidTr="00273F16">
        <w:tc>
          <w:tcPr>
            <w:tcW w:w="3936" w:type="dxa"/>
          </w:tcPr>
          <w:p w:rsidR="00F87E5C" w:rsidRPr="00273F16" w:rsidRDefault="00F87E5C" w:rsidP="00273F16">
            <w:pPr>
              <w:widowControl/>
              <w:numPr>
                <w:ilvl w:val="0"/>
                <w:numId w:val="20"/>
              </w:numPr>
              <w:tabs>
                <w:tab w:val="clear" w:pos="720"/>
                <w:tab w:val="num" w:pos="180"/>
              </w:tabs>
              <w:autoSpaceDE w:val="0"/>
              <w:autoSpaceDN w:val="0"/>
              <w:adjustRightInd w:val="0"/>
              <w:ind w:left="180" w:hanging="180"/>
              <w:jc w:val="left"/>
              <w:rPr>
                <w:rFonts w:cs="Arial"/>
                <w:spacing w:val="-2"/>
              </w:rPr>
            </w:pPr>
            <w:r w:rsidRPr="00273F16">
              <w:rPr>
                <w:rFonts w:cs="Arial"/>
                <w:spacing w:val="-2"/>
              </w:rPr>
              <w:t>Enhanced capacity of targeted youth population to assume leadership, participate in local and national policy networks and decision making processes and to contribute to peace and development.</w:t>
            </w:r>
          </w:p>
          <w:p w:rsidR="00F87E5C" w:rsidRPr="00273F16" w:rsidRDefault="00F87E5C" w:rsidP="00273F16">
            <w:pPr>
              <w:pStyle w:val="BodyText2"/>
              <w:tabs>
                <w:tab w:val="num" w:pos="180"/>
              </w:tabs>
              <w:ind w:left="180" w:hanging="180"/>
              <w:rPr>
                <w:rFonts w:cs="Arial"/>
              </w:rPr>
            </w:pPr>
          </w:p>
        </w:tc>
        <w:tc>
          <w:tcPr>
            <w:tcW w:w="5307" w:type="dxa"/>
          </w:tcPr>
          <w:p w:rsidR="00F87E5C" w:rsidRPr="00273F16" w:rsidRDefault="00F87E5C" w:rsidP="00894663">
            <w:pPr>
              <w:pStyle w:val="BodyText2"/>
              <w:rPr>
                <w:rFonts w:cs="Arial"/>
              </w:rPr>
            </w:pPr>
          </w:p>
          <w:p w:rsidR="00F87E5C" w:rsidRPr="00273F16" w:rsidRDefault="00C909AC" w:rsidP="00273F16">
            <w:pPr>
              <w:pStyle w:val="BodyText2"/>
              <w:numPr>
                <w:ilvl w:val="0"/>
                <w:numId w:val="17"/>
              </w:numPr>
              <w:tabs>
                <w:tab w:val="clear" w:pos="720"/>
                <w:tab w:val="num" w:pos="252"/>
              </w:tabs>
              <w:ind w:left="252" w:hanging="252"/>
              <w:rPr>
                <w:rFonts w:cs="Arial"/>
              </w:rPr>
            </w:pPr>
            <w:r w:rsidRPr="00273F16">
              <w:rPr>
                <w:rFonts w:cs="Arial"/>
              </w:rPr>
              <w:t>Roll out of leadership skills training for 5000 youth in 30 outreach communities and 5 youth centers</w:t>
            </w:r>
            <w:r w:rsidR="0045099C" w:rsidRPr="00273F16">
              <w:rPr>
                <w:rFonts w:cs="Arial"/>
              </w:rPr>
              <w:t xml:space="preserve"> in Grand Bassa and </w:t>
            </w:r>
            <w:smartTag w:uri="urn:schemas-microsoft-com:office:smarttags" w:element="place">
              <w:smartTag w:uri="urn:schemas-microsoft-com:office:smarttags" w:element="PlaceType">
                <w:r w:rsidR="0045099C" w:rsidRPr="00273F16">
                  <w:rPr>
                    <w:rFonts w:cs="Arial"/>
                  </w:rPr>
                  <w:t>Cape</w:t>
                </w:r>
              </w:smartTag>
              <w:r w:rsidR="0045099C" w:rsidRPr="00273F16">
                <w:rPr>
                  <w:rFonts w:cs="Arial"/>
                </w:rPr>
                <w:t xml:space="preserve"> </w:t>
              </w:r>
              <w:smartTag w:uri="urn:schemas-microsoft-com:office:smarttags" w:element="PlaceName">
                <w:r w:rsidR="0045099C" w:rsidRPr="00273F16">
                  <w:rPr>
                    <w:rFonts w:cs="Arial"/>
                  </w:rPr>
                  <w:t>Mount</w:t>
                </w:r>
              </w:smartTag>
            </w:smartTag>
            <w:r w:rsidR="0045099C" w:rsidRPr="00273F16">
              <w:rPr>
                <w:rFonts w:cs="Arial"/>
              </w:rPr>
              <w:t xml:space="preserve"> counties.</w:t>
            </w:r>
          </w:p>
          <w:p w:rsidR="00C909AC" w:rsidRPr="00273F16" w:rsidRDefault="00C909AC" w:rsidP="00273F16">
            <w:pPr>
              <w:pStyle w:val="BodyText2"/>
              <w:numPr>
                <w:ilvl w:val="0"/>
                <w:numId w:val="17"/>
              </w:numPr>
              <w:tabs>
                <w:tab w:val="clear" w:pos="720"/>
                <w:tab w:val="num" w:pos="252"/>
              </w:tabs>
              <w:ind w:left="252" w:hanging="252"/>
              <w:rPr>
                <w:rFonts w:cs="Arial"/>
              </w:rPr>
            </w:pPr>
            <w:r w:rsidRPr="00273F16">
              <w:rPr>
                <w:rFonts w:cs="Arial"/>
              </w:rPr>
              <w:t>Certification of those who successfully completed the course</w:t>
            </w:r>
          </w:p>
          <w:p w:rsidR="00F87E5C" w:rsidRPr="00273F16" w:rsidRDefault="00F87E5C" w:rsidP="00894663">
            <w:pPr>
              <w:pStyle w:val="BodyText2"/>
              <w:rPr>
                <w:rFonts w:cs="Arial"/>
              </w:rPr>
            </w:pPr>
          </w:p>
        </w:tc>
      </w:tr>
      <w:tr w:rsidR="00F87E5C" w:rsidRPr="00273F16" w:rsidTr="00273F16">
        <w:tc>
          <w:tcPr>
            <w:tcW w:w="3936" w:type="dxa"/>
          </w:tcPr>
          <w:p w:rsidR="00F87E5C" w:rsidRPr="00273F16" w:rsidRDefault="00F87E5C" w:rsidP="00273F16">
            <w:pPr>
              <w:widowControl/>
              <w:autoSpaceDE w:val="0"/>
              <w:autoSpaceDN w:val="0"/>
              <w:adjustRightInd w:val="0"/>
              <w:rPr>
                <w:rFonts w:cs="Arial"/>
              </w:rPr>
            </w:pPr>
          </w:p>
          <w:p w:rsidR="00F87E5C" w:rsidRPr="00273F16" w:rsidRDefault="00F87E5C" w:rsidP="00273F16">
            <w:pPr>
              <w:widowControl/>
              <w:numPr>
                <w:ilvl w:val="0"/>
                <w:numId w:val="20"/>
              </w:numPr>
              <w:tabs>
                <w:tab w:val="clear" w:pos="720"/>
                <w:tab w:val="num" w:pos="180"/>
              </w:tabs>
              <w:autoSpaceDE w:val="0"/>
              <w:autoSpaceDN w:val="0"/>
              <w:adjustRightInd w:val="0"/>
              <w:ind w:left="180" w:hanging="180"/>
              <w:jc w:val="left"/>
              <w:rPr>
                <w:rFonts w:cs="Arial"/>
              </w:rPr>
            </w:pPr>
            <w:r w:rsidRPr="00273F16">
              <w:rPr>
                <w:rFonts w:cs="Arial"/>
                <w:spacing w:val="-3"/>
              </w:rPr>
              <w:t xml:space="preserve">Targeted youth are empowered to use their capacities, skills, opportunities and energies constructively to enhance non-violence, peaceful co-existence and assume civil responsibilities on all levels of society. </w:t>
            </w:r>
          </w:p>
          <w:p w:rsidR="00F87E5C" w:rsidRPr="00273F16" w:rsidRDefault="00F87E5C" w:rsidP="00273F16">
            <w:pPr>
              <w:pStyle w:val="BodyText2"/>
              <w:tabs>
                <w:tab w:val="num" w:pos="180"/>
              </w:tabs>
              <w:ind w:left="180" w:hanging="180"/>
              <w:rPr>
                <w:rFonts w:cs="Arial"/>
              </w:rPr>
            </w:pPr>
          </w:p>
        </w:tc>
        <w:tc>
          <w:tcPr>
            <w:tcW w:w="5307" w:type="dxa"/>
          </w:tcPr>
          <w:p w:rsidR="00F87E5C" w:rsidRPr="00273F16" w:rsidRDefault="00F87E5C" w:rsidP="00894663">
            <w:pPr>
              <w:pStyle w:val="BodyText2"/>
              <w:rPr>
                <w:rFonts w:cs="Arial"/>
              </w:rPr>
            </w:pPr>
          </w:p>
          <w:p w:rsidR="00C909AC" w:rsidRPr="00273F16" w:rsidRDefault="00C909AC" w:rsidP="00273F16">
            <w:pPr>
              <w:pStyle w:val="BodyText2"/>
              <w:numPr>
                <w:ilvl w:val="0"/>
                <w:numId w:val="18"/>
              </w:numPr>
              <w:tabs>
                <w:tab w:val="clear" w:pos="720"/>
                <w:tab w:val="num" w:pos="252"/>
              </w:tabs>
              <w:ind w:left="252" w:hanging="180"/>
              <w:rPr>
                <w:rFonts w:cs="Arial"/>
              </w:rPr>
            </w:pPr>
            <w:r w:rsidRPr="00273F16">
              <w:rPr>
                <w:rFonts w:cs="Arial"/>
              </w:rPr>
              <w:t>Roll out of peacebuilding training for 5000 youth in 30 outreach communities and 5 youth centers</w:t>
            </w:r>
            <w:r w:rsidR="0045099C" w:rsidRPr="00273F16">
              <w:rPr>
                <w:rFonts w:cs="Arial"/>
              </w:rPr>
              <w:t xml:space="preserve"> in Grand Bassa and </w:t>
            </w:r>
            <w:smartTag w:uri="urn:schemas-microsoft-com:office:smarttags" w:element="place">
              <w:smartTag w:uri="urn:schemas-microsoft-com:office:smarttags" w:element="PlaceType">
                <w:r w:rsidR="0045099C" w:rsidRPr="00273F16">
                  <w:rPr>
                    <w:rFonts w:cs="Arial"/>
                  </w:rPr>
                  <w:t>Cape</w:t>
                </w:r>
              </w:smartTag>
              <w:r w:rsidR="0045099C" w:rsidRPr="00273F16">
                <w:rPr>
                  <w:rFonts w:cs="Arial"/>
                </w:rPr>
                <w:t xml:space="preserve"> </w:t>
              </w:r>
              <w:smartTag w:uri="urn:schemas-microsoft-com:office:smarttags" w:element="PlaceName">
                <w:r w:rsidR="0045099C" w:rsidRPr="00273F16">
                  <w:rPr>
                    <w:rFonts w:cs="Arial"/>
                  </w:rPr>
                  <w:t>Mount</w:t>
                </w:r>
              </w:smartTag>
            </w:smartTag>
            <w:r w:rsidR="0045099C" w:rsidRPr="00273F16">
              <w:rPr>
                <w:rFonts w:cs="Arial"/>
              </w:rPr>
              <w:t xml:space="preserve"> counties.</w:t>
            </w:r>
          </w:p>
          <w:p w:rsidR="00F87E5C" w:rsidRPr="00273F16" w:rsidRDefault="00C909AC" w:rsidP="00273F16">
            <w:pPr>
              <w:pStyle w:val="BodyText2"/>
              <w:numPr>
                <w:ilvl w:val="0"/>
                <w:numId w:val="18"/>
              </w:numPr>
              <w:tabs>
                <w:tab w:val="clear" w:pos="720"/>
                <w:tab w:val="num" w:pos="252"/>
              </w:tabs>
              <w:ind w:left="252" w:hanging="180"/>
              <w:rPr>
                <w:rFonts w:cs="Arial"/>
              </w:rPr>
            </w:pPr>
            <w:r w:rsidRPr="00273F16">
              <w:rPr>
                <w:rFonts w:cs="Arial"/>
              </w:rPr>
              <w:t>Certification of those who successfully completed the course</w:t>
            </w:r>
          </w:p>
        </w:tc>
      </w:tr>
      <w:tr w:rsidR="00C909AC" w:rsidRPr="00273F16" w:rsidTr="00273F16">
        <w:tc>
          <w:tcPr>
            <w:tcW w:w="3936" w:type="dxa"/>
          </w:tcPr>
          <w:p w:rsidR="00C909AC" w:rsidRPr="00273F16" w:rsidRDefault="00C909AC" w:rsidP="00273F16">
            <w:pPr>
              <w:widowControl/>
              <w:numPr>
                <w:ilvl w:val="0"/>
                <w:numId w:val="20"/>
              </w:numPr>
              <w:tabs>
                <w:tab w:val="clear" w:pos="720"/>
                <w:tab w:val="num" w:pos="180"/>
              </w:tabs>
              <w:autoSpaceDE w:val="0"/>
              <w:autoSpaceDN w:val="0"/>
              <w:adjustRightInd w:val="0"/>
              <w:ind w:left="180" w:hanging="180"/>
              <w:jc w:val="left"/>
              <w:rPr>
                <w:rFonts w:cs="Arial"/>
              </w:rPr>
            </w:pPr>
            <w:r w:rsidRPr="00273F16">
              <w:rPr>
                <w:rFonts w:cs="Arial"/>
                <w:spacing w:val="-3"/>
              </w:rPr>
              <w:t xml:space="preserve">Improved understanding and knowledge about youth issues leads to “youth sensitized” local and national policy making structures. </w:t>
            </w:r>
          </w:p>
          <w:p w:rsidR="00C909AC" w:rsidRPr="00273F16" w:rsidRDefault="00C909AC" w:rsidP="00273F16">
            <w:pPr>
              <w:widowControl/>
              <w:autoSpaceDE w:val="0"/>
              <w:autoSpaceDN w:val="0"/>
              <w:adjustRightInd w:val="0"/>
              <w:rPr>
                <w:rFonts w:cs="Arial"/>
              </w:rPr>
            </w:pPr>
          </w:p>
        </w:tc>
        <w:tc>
          <w:tcPr>
            <w:tcW w:w="5307" w:type="dxa"/>
          </w:tcPr>
          <w:p w:rsidR="00C909AC" w:rsidRPr="00273F16" w:rsidRDefault="00E10FB3" w:rsidP="00273F16">
            <w:pPr>
              <w:pStyle w:val="BodyText2"/>
              <w:numPr>
                <w:ilvl w:val="0"/>
                <w:numId w:val="21"/>
              </w:numPr>
              <w:tabs>
                <w:tab w:val="clear" w:pos="720"/>
                <w:tab w:val="num" w:pos="252"/>
              </w:tabs>
              <w:ind w:left="252" w:hanging="180"/>
              <w:rPr>
                <w:rFonts w:cs="Arial"/>
              </w:rPr>
            </w:pPr>
            <w:r w:rsidRPr="00273F16">
              <w:rPr>
                <w:rFonts w:cs="Arial"/>
              </w:rPr>
              <w:t xml:space="preserve">8 </w:t>
            </w:r>
            <w:r w:rsidR="00C909AC" w:rsidRPr="00273F16">
              <w:rPr>
                <w:rFonts w:cs="Arial"/>
              </w:rPr>
              <w:t>Community peace festivals</w:t>
            </w:r>
            <w:r w:rsidR="0045099C" w:rsidRPr="00273F16">
              <w:rPr>
                <w:rFonts w:cs="Arial"/>
              </w:rPr>
              <w:t xml:space="preserve"> held</w:t>
            </w:r>
          </w:p>
          <w:p w:rsidR="00C909AC" w:rsidRPr="00273F16" w:rsidRDefault="00C909AC" w:rsidP="00273F16">
            <w:pPr>
              <w:pStyle w:val="BodyText2"/>
              <w:numPr>
                <w:ilvl w:val="0"/>
                <w:numId w:val="21"/>
              </w:numPr>
              <w:tabs>
                <w:tab w:val="clear" w:pos="720"/>
                <w:tab w:val="num" w:pos="252"/>
              </w:tabs>
              <w:ind w:left="252" w:hanging="180"/>
              <w:rPr>
                <w:rFonts w:cs="Arial"/>
              </w:rPr>
            </w:pPr>
            <w:r w:rsidRPr="00273F16">
              <w:rPr>
                <w:rFonts w:cs="Arial"/>
              </w:rPr>
              <w:t>Radio shows on</w:t>
            </w:r>
            <w:r w:rsidR="00E10FB3" w:rsidRPr="00273F16">
              <w:rPr>
                <w:rFonts w:cs="Arial"/>
              </w:rPr>
              <w:t xml:space="preserve"> local radio stations on</w:t>
            </w:r>
            <w:r w:rsidRPr="00273F16">
              <w:rPr>
                <w:rFonts w:cs="Arial"/>
              </w:rPr>
              <w:t xml:space="preserve"> the leadership and peacebuilding trainings</w:t>
            </w:r>
          </w:p>
          <w:p w:rsidR="003B7A85" w:rsidRPr="00273F16" w:rsidRDefault="00C909AC" w:rsidP="00273F16">
            <w:pPr>
              <w:pStyle w:val="BodyText2"/>
              <w:numPr>
                <w:ilvl w:val="0"/>
                <w:numId w:val="21"/>
              </w:numPr>
              <w:tabs>
                <w:tab w:val="clear" w:pos="720"/>
                <w:tab w:val="num" w:pos="252"/>
              </w:tabs>
              <w:ind w:left="252" w:hanging="180"/>
              <w:rPr>
                <w:rFonts w:cs="Arial"/>
              </w:rPr>
            </w:pPr>
            <w:r w:rsidRPr="00273F16">
              <w:rPr>
                <w:rFonts w:cs="Arial"/>
              </w:rPr>
              <w:t xml:space="preserve">Youth Centers report </w:t>
            </w:r>
            <w:r w:rsidR="008E7C20" w:rsidRPr="00273F16">
              <w:rPr>
                <w:rFonts w:cs="Arial"/>
              </w:rPr>
              <w:t xml:space="preserve">regularly </w:t>
            </w:r>
            <w:r w:rsidRPr="00273F16">
              <w:rPr>
                <w:rFonts w:cs="Arial"/>
              </w:rPr>
              <w:t>on youth issues. Reports are widely disseminated to local communities, local youth organizations, county authorities and key stakeholders at central level</w:t>
            </w:r>
          </w:p>
          <w:p w:rsidR="00E10FB3" w:rsidRPr="00273F16" w:rsidRDefault="00E10FB3" w:rsidP="00273F16">
            <w:pPr>
              <w:pStyle w:val="BodyText2"/>
              <w:numPr>
                <w:ilvl w:val="0"/>
                <w:numId w:val="21"/>
              </w:numPr>
              <w:tabs>
                <w:tab w:val="clear" w:pos="720"/>
                <w:tab w:val="num" w:pos="252"/>
              </w:tabs>
              <w:ind w:left="252" w:hanging="180"/>
              <w:rPr>
                <w:rFonts w:cs="Arial"/>
              </w:rPr>
            </w:pPr>
            <w:r w:rsidRPr="00273F16">
              <w:rPr>
                <w:rFonts w:cs="Arial"/>
              </w:rPr>
              <w:t>Leadership skills and pe</w:t>
            </w:r>
            <w:r w:rsidR="0045099C" w:rsidRPr="00273F16">
              <w:rPr>
                <w:rFonts w:cs="Arial"/>
              </w:rPr>
              <w:t xml:space="preserve">acebuilding training </w:t>
            </w:r>
            <w:r w:rsidR="00F24D48" w:rsidRPr="00273F16">
              <w:rPr>
                <w:rFonts w:cs="Arial"/>
              </w:rPr>
              <w:t xml:space="preserve">manuals </w:t>
            </w:r>
            <w:r w:rsidRPr="00273F16">
              <w:rPr>
                <w:rFonts w:cs="Arial"/>
              </w:rPr>
              <w:t xml:space="preserve">are </w:t>
            </w:r>
            <w:r w:rsidR="00F24D48" w:rsidRPr="00273F16">
              <w:rPr>
                <w:rFonts w:cs="Arial"/>
              </w:rPr>
              <w:t xml:space="preserve">available at the youth centers as resource materials. </w:t>
            </w:r>
          </w:p>
          <w:p w:rsidR="00C909AC" w:rsidRPr="00273F16" w:rsidRDefault="00C909AC" w:rsidP="00894663">
            <w:pPr>
              <w:pStyle w:val="BodyText2"/>
              <w:rPr>
                <w:rFonts w:cs="Arial"/>
              </w:rPr>
            </w:pPr>
          </w:p>
        </w:tc>
      </w:tr>
      <w:tr w:rsidR="00F87E5C" w:rsidRPr="00273F16" w:rsidTr="00273F16">
        <w:tc>
          <w:tcPr>
            <w:tcW w:w="3936" w:type="dxa"/>
          </w:tcPr>
          <w:p w:rsidR="003B7A85" w:rsidRPr="00273F16" w:rsidRDefault="003B7A85" w:rsidP="00273F16">
            <w:pPr>
              <w:widowControl/>
              <w:autoSpaceDE w:val="0"/>
              <w:autoSpaceDN w:val="0"/>
              <w:adjustRightInd w:val="0"/>
              <w:rPr>
                <w:rFonts w:cs="Arial"/>
              </w:rPr>
            </w:pPr>
          </w:p>
          <w:p w:rsidR="00F87E5C" w:rsidRPr="00273F16" w:rsidRDefault="003B7A85" w:rsidP="00273F16">
            <w:pPr>
              <w:widowControl/>
              <w:autoSpaceDE w:val="0"/>
              <w:autoSpaceDN w:val="0"/>
              <w:adjustRightInd w:val="0"/>
              <w:ind w:left="90"/>
              <w:jc w:val="left"/>
              <w:rPr>
                <w:rFonts w:cs="Arial"/>
              </w:rPr>
            </w:pPr>
            <w:r w:rsidRPr="00273F16">
              <w:rPr>
                <w:rFonts w:cs="Arial"/>
              </w:rPr>
              <w:t xml:space="preserve">4.  </w:t>
            </w:r>
            <w:r w:rsidR="002810D4" w:rsidRPr="00273F16">
              <w:rPr>
                <w:rFonts w:cs="Arial"/>
              </w:rPr>
              <w:t>Project monitoring, evaluation and supportive supervision</w:t>
            </w:r>
          </w:p>
        </w:tc>
        <w:tc>
          <w:tcPr>
            <w:tcW w:w="5307" w:type="dxa"/>
          </w:tcPr>
          <w:p w:rsidR="00F87E5C" w:rsidRPr="00273F16" w:rsidRDefault="00F87E5C" w:rsidP="00894663">
            <w:pPr>
              <w:pStyle w:val="BodyText2"/>
              <w:rPr>
                <w:rFonts w:cs="Arial"/>
              </w:rPr>
            </w:pPr>
          </w:p>
          <w:p w:rsidR="0045099C" w:rsidRPr="00273F16" w:rsidRDefault="00E44C62" w:rsidP="00273F16">
            <w:pPr>
              <w:pStyle w:val="BodyText2"/>
              <w:numPr>
                <w:ilvl w:val="0"/>
                <w:numId w:val="22"/>
              </w:numPr>
              <w:tabs>
                <w:tab w:val="clear" w:pos="720"/>
                <w:tab w:val="num" w:pos="252"/>
              </w:tabs>
              <w:ind w:left="252" w:hanging="180"/>
              <w:rPr>
                <w:rFonts w:cs="Arial"/>
              </w:rPr>
            </w:pPr>
            <w:r w:rsidRPr="00273F16">
              <w:rPr>
                <w:rFonts w:cs="Arial"/>
              </w:rPr>
              <w:t xml:space="preserve">The establishment of a Youth Development Index is effectively supported. </w:t>
            </w:r>
          </w:p>
        </w:tc>
      </w:tr>
    </w:tbl>
    <w:p w:rsidR="00FD25D7" w:rsidRDefault="00FD25D7">
      <w:pPr>
        <w:pStyle w:val="BodyText2"/>
        <w:rPr>
          <w:rFonts w:ascii="Times New Roman" w:hAnsi="Times New Roman"/>
          <w:sz w:val="24"/>
        </w:rPr>
      </w:pPr>
    </w:p>
    <w:p w:rsidR="0014584C" w:rsidRDefault="0014584C">
      <w:pPr>
        <w:pStyle w:val="BodyText2"/>
        <w:rPr>
          <w:rFonts w:ascii="Times New Roman" w:hAnsi="Times New Roman"/>
          <w:sz w:val="24"/>
        </w:rPr>
      </w:pPr>
    </w:p>
    <w:p w:rsidR="00FD25D7" w:rsidRDefault="00FD25D7">
      <w:pPr>
        <w:pStyle w:val="Heading3"/>
        <w:rPr>
          <w:b/>
        </w:rPr>
      </w:pPr>
      <w:r>
        <w:rPr>
          <w:b/>
        </w:rPr>
        <w:t>V</w:t>
      </w:r>
      <w:r w:rsidR="0027445C">
        <w:rPr>
          <w:b/>
        </w:rPr>
        <w:t>I</w:t>
      </w:r>
      <w:r>
        <w:rPr>
          <w:b/>
        </w:rPr>
        <w:t>. FINANCIAL IMPLEMENTATION</w:t>
      </w:r>
    </w:p>
    <w:p w:rsidR="003B7A85" w:rsidRDefault="003B7A85">
      <w:pPr>
        <w:pStyle w:val="BodyText2"/>
        <w:rPr>
          <w:rFonts w:cs="Arial"/>
          <w:iCs/>
        </w:rPr>
      </w:pPr>
    </w:p>
    <w:p w:rsidR="003B7A85" w:rsidRPr="003B7A85" w:rsidRDefault="003B7A85">
      <w:pPr>
        <w:pStyle w:val="BodyText2"/>
        <w:rPr>
          <w:rFonts w:cs="Arial"/>
          <w:iCs/>
        </w:rPr>
      </w:pPr>
      <w:r w:rsidRPr="003B7A85">
        <w:rPr>
          <w:rFonts w:cs="Arial"/>
          <w:iCs/>
        </w:rPr>
        <w:t xml:space="preserve">The expenditures until February 2010 are reflected below: </w:t>
      </w:r>
    </w:p>
    <w:p w:rsidR="007E55E3" w:rsidRPr="003B7A85" w:rsidRDefault="007E55E3">
      <w:pPr>
        <w:pStyle w:val="BodyText2"/>
        <w:rPr>
          <w:rFonts w:cs="Arial"/>
          <w:iCs/>
        </w:rPr>
      </w:pPr>
    </w:p>
    <w:tbl>
      <w:tblPr>
        <w:tblW w:w="8520" w:type="dxa"/>
        <w:tblInd w:w="93" w:type="dxa"/>
        <w:tblLook w:val="0000"/>
      </w:tblPr>
      <w:tblGrid>
        <w:gridCol w:w="3984"/>
        <w:gridCol w:w="2268"/>
        <w:gridCol w:w="2268"/>
      </w:tblGrid>
      <w:tr w:rsidR="007E55E3" w:rsidRPr="007E55E3" w:rsidTr="0014584C">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E55E3" w:rsidRPr="007E55E3" w:rsidRDefault="007E55E3" w:rsidP="00B976D8">
            <w:pPr>
              <w:widowControl/>
              <w:spacing w:before="20" w:line="276" w:lineRule="auto"/>
              <w:rPr>
                <w:rFonts w:cs="Arial"/>
                <w:b/>
                <w:bCs/>
              </w:rPr>
            </w:pPr>
            <w:r w:rsidRPr="007E55E3">
              <w:rPr>
                <w:rFonts w:cs="Arial"/>
                <w:b/>
                <w:bCs/>
              </w:rPr>
              <w:t> </w:t>
            </w:r>
            <w:r w:rsidR="00F7703F">
              <w:rPr>
                <w:rFonts w:cs="Arial"/>
                <w:b/>
                <w:bCs/>
              </w:rPr>
              <w:t>Items</w:t>
            </w:r>
          </w:p>
        </w:tc>
        <w:tc>
          <w:tcPr>
            <w:tcW w:w="2268" w:type="dxa"/>
            <w:tcBorders>
              <w:top w:val="single" w:sz="4" w:space="0" w:color="auto"/>
              <w:left w:val="nil"/>
              <w:bottom w:val="single" w:sz="4" w:space="0" w:color="auto"/>
              <w:right w:val="single" w:sz="4" w:space="0" w:color="auto"/>
            </w:tcBorders>
            <w:shd w:val="clear" w:color="auto" w:fill="C4BC96"/>
            <w:noWrap/>
            <w:vAlign w:val="bottom"/>
          </w:tcPr>
          <w:p w:rsidR="007E55E3" w:rsidRPr="007E55E3" w:rsidRDefault="007E55E3" w:rsidP="00B976D8">
            <w:pPr>
              <w:widowControl/>
              <w:spacing w:before="20" w:line="276" w:lineRule="auto"/>
              <w:jc w:val="center"/>
              <w:rPr>
                <w:rFonts w:cs="Arial"/>
                <w:b/>
                <w:bCs/>
              </w:rPr>
            </w:pPr>
            <w:r w:rsidRPr="007E55E3">
              <w:rPr>
                <w:rFonts w:cs="Arial"/>
                <w:b/>
                <w:bCs/>
              </w:rPr>
              <w:t>Amount allocated</w:t>
            </w:r>
          </w:p>
        </w:tc>
        <w:tc>
          <w:tcPr>
            <w:tcW w:w="2268" w:type="dxa"/>
            <w:tcBorders>
              <w:top w:val="single" w:sz="4" w:space="0" w:color="auto"/>
              <w:left w:val="nil"/>
              <w:bottom w:val="single" w:sz="4" w:space="0" w:color="auto"/>
              <w:right w:val="single" w:sz="4" w:space="0" w:color="auto"/>
            </w:tcBorders>
            <w:shd w:val="clear" w:color="auto" w:fill="C4BC96"/>
            <w:noWrap/>
            <w:vAlign w:val="bottom"/>
          </w:tcPr>
          <w:p w:rsidR="007E55E3" w:rsidRPr="007E55E3" w:rsidRDefault="007E55E3" w:rsidP="00B976D8">
            <w:pPr>
              <w:widowControl/>
              <w:spacing w:before="20" w:line="276" w:lineRule="auto"/>
              <w:jc w:val="center"/>
              <w:rPr>
                <w:rFonts w:cs="Arial"/>
                <w:b/>
                <w:bCs/>
              </w:rPr>
            </w:pPr>
            <w:r w:rsidRPr="007E55E3">
              <w:rPr>
                <w:rFonts w:cs="Arial"/>
                <w:b/>
                <w:bCs/>
              </w:rPr>
              <w:t>Amount spent</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1. Personnel</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141,600.00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45,600.00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2. Contracts</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350,000.00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109,460.40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3. Training</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260,000.00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53,435.00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4. Transport</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106,900.00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85,600.00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5. Supplies and Commodities</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2,000.00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6. Equipment</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46,000.00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46,000.00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7. Travel</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7,500.00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870.00</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8. Miscellaneous</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16,000.00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w:t>
            </w:r>
          </w:p>
        </w:tc>
      </w:tr>
      <w:tr w:rsidR="00F7703F" w:rsidRPr="007E55E3" w:rsidTr="00F7703F">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rPr>
                <w:rFonts w:cs="Arial"/>
                <w:bCs/>
              </w:rPr>
            </w:pPr>
            <w:r w:rsidRPr="00F7703F">
              <w:rPr>
                <w:rFonts w:cs="Arial"/>
                <w:bCs/>
              </w:rPr>
              <w:t>9. Agency support</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70,000.00</w:t>
            </w:r>
          </w:p>
        </w:tc>
        <w:tc>
          <w:tcPr>
            <w:tcW w:w="2268" w:type="dxa"/>
            <w:tcBorders>
              <w:top w:val="nil"/>
              <w:left w:val="nil"/>
              <w:bottom w:val="single" w:sz="4" w:space="0" w:color="auto"/>
              <w:right w:val="single" w:sz="4" w:space="0" w:color="auto"/>
            </w:tcBorders>
            <w:shd w:val="clear" w:color="auto" w:fill="auto"/>
            <w:noWrap/>
            <w:vAlign w:val="bottom"/>
          </w:tcPr>
          <w:p w:rsidR="00F7703F" w:rsidRPr="00F7703F" w:rsidRDefault="00F7703F" w:rsidP="00B976D8">
            <w:pPr>
              <w:widowControl/>
              <w:spacing w:before="20" w:line="276" w:lineRule="auto"/>
              <w:ind w:right="359"/>
              <w:jc w:val="right"/>
              <w:rPr>
                <w:rFonts w:cs="Arial"/>
              </w:rPr>
            </w:pPr>
            <w:r w:rsidRPr="00F7703F">
              <w:rPr>
                <w:rFonts w:cs="Arial"/>
              </w:rPr>
              <w:t>65,400.00</w:t>
            </w:r>
          </w:p>
        </w:tc>
      </w:tr>
      <w:tr w:rsidR="00F7703F" w:rsidRPr="007E55E3" w:rsidTr="0014584C">
        <w:trPr>
          <w:trHeight w:val="255"/>
        </w:trPr>
        <w:tc>
          <w:tcPr>
            <w:tcW w:w="3984" w:type="dxa"/>
            <w:tcBorders>
              <w:top w:val="nil"/>
              <w:left w:val="single" w:sz="4" w:space="0" w:color="auto"/>
              <w:bottom w:val="single" w:sz="4" w:space="0" w:color="auto"/>
              <w:right w:val="single" w:sz="4" w:space="0" w:color="auto"/>
            </w:tcBorders>
            <w:shd w:val="clear" w:color="auto" w:fill="C4BC96"/>
            <w:noWrap/>
            <w:vAlign w:val="bottom"/>
          </w:tcPr>
          <w:p w:rsidR="00F7703F" w:rsidRPr="007E55E3" w:rsidRDefault="00F7703F" w:rsidP="00B976D8">
            <w:pPr>
              <w:widowControl/>
              <w:spacing w:before="20" w:line="276" w:lineRule="auto"/>
              <w:rPr>
                <w:rFonts w:cs="Arial"/>
                <w:b/>
                <w:bCs/>
              </w:rPr>
            </w:pPr>
            <w:r w:rsidRPr="007E55E3">
              <w:rPr>
                <w:rFonts w:cs="Arial"/>
                <w:b/>
                <w:bCs/>
              </w:rPr>
              <w:t>Grand total</w:t>
            </w:r>
          </w:p>
        </w:tc>
        <w:tc>
          <w:tcPr>
            <w:tcW w:w="2268" w:type="dxa"/>
            <w:tcBorders>
              <w:top w:val="nil"/>
              <w:left w:val="nil"/>
              <w:bottom w:val="single" w:sz="4" w:space="0" w:color="auto"/>
              <w:right w:val="single" w:sz="4" w:space="0" w:color="auto"/>
            </w:tcBorders>
            <w:shd w:val="clear" w:color="auto" w:fill="C4BC96"/>
            <w:noWrap/>
            <w:vAlign w:val="bottom"/>
          </w:tcPr>
          <w:p w:rsidR="00F7703F" w:rsidRPr="007E55E3" w:rsidRDefault="00F7703F" w:rsidP="00B976D8">
            <w:pPr>
              <w:widowControl/>
              <w:spacing w:before="20" w:line="276" w:lineRule="auto"/>
              <w:ind w:right="359"/>
              <w:jc w:val="right"/>
              <w:rPr>
                <w:rFonts w:cs="Arial"/>
                <w:b/>
                <w:bCs/>
              </w:rPr>
            </w:pPr>
            <w:r>
              <w:rPr>
                <w:rFonts w:cs="Arial"/>
                <w:b/>
                <w:bCs/>
              </w:rPr>
              <w:t>1</w:t>
            </w:r>
            <w:r w:rsidRPr="007E55E3">
              <w:rPr>
                <w:rFonts w:cs="Arial"/>
                <w:b/>
                <w:bCs/>
              </w:rPr>
              <w:t>,000,000.00</w:t>
            </w:r>
          </w:p>
        </w:tc>
        <w:tc>
          <w:tcPr>
            <w:tcW w:w="2268" w:type="dxa"/>
            <w:tcBorders>
              <w:top w:val="nil"/>
              <w:left w:val="nil"/>
              <w:bottom w:val="single" w:sz="4" w:space="0" w:color="auto"/>
              <w:right w:val="single" w:sz="4" w:space="0" w:color="auto"/>
            </w:tcBorders>
            <w:shd w:val="clear" w:color="auto" w:fill="C4BC96"/>
            <w:noWrap/>
            <w:vAlign w:val="bottom"/>
          </w:tcPr>
          <w:p w:rsidR="00F7703F" w:rsidRPr="007E55E3" w:rsidRDefault="00F7703F" w:rsidP="00B976D8">
            <w:pPr>
              <w:widowControl/>
              <w:spacing w:before="20" w:line="276" w:lineRule="auto"/>
              <w:ind w:right="359"/>
              <w:jc w:val="right"/>
              <w:rPr>
                <w:rFonts w:cs="Arial"/>
                <w:b/>
                <w:bCs/>
              </w:rPr>
            </w:pPr>
            <w:r w:rsidRPr="007E55E3">
              <w:rPr>
                <w:rFonts w:cs="Arial"/>
                <w:b/>
                <w:bCs/>
              </w:rPr>
              <w:t>406,365.40</w:t>
            </w:r>
          </w:p>
        </w:tc>
      </w:tr>
    </w:tbl>
    <w:p w:rsidR="007E55E3" w:rsidRDefault="007E55E3">
      <w:pPr>
        <w:pStyle w:val="BodyText2"/>
        <w:rPr>
          <w:rFonts w:ascii="Times New Roman" w:hAnsi="Times New Roman"/>
          <w:iCs/>
          <w:sz w:val="24"/>
        </w:rPr>
      </w:pPr>
    </w:p>
    <w:p w:rsidR="00B27293" w:rsidRDefault="00B27293">
      <w:pPr>
        <w:pStyle w:val="BodyText2"/>
        <w:rPr>
          <w:rFonts w:ascii="Times New Roman" w:hAnsi="Times New Roman"/>
          <w:iCs/>
          <w:sz w:val="24"/>
        </w:rPr>
      </w:pPr>
    </w:p>
    <w:sectPr w:rsidR="00B27293">
      <w:footerReference w:type="even" r:id="rId9"/>
      <w:footerReference w:type="default" r:id="rId10"/>
      <w:endnotePr>
        <w:numFmt w:val="decimal"/>
      </w:endnotePr>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67" w:rsidRDefault="00485D67">
      <w:r>
        <w:separator/>
      </w:r>
    </w:p>
  </w:endnote>
  <w:endnote w:type="continuationSeparator" w:id="0">
    <w:p w:rsidR="00485D67" w:rsidRDefault="00485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5" w:rsidRDefault="003B7A85" w:rsidP="00FA1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A85" w:rsidRDefault="003B7A85" w:rsidP="00A87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5" w:rsidRDefault="003B7A85" w:rsidP="00FA1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400">
      <w:rPr>
        <w:rStyle w:val="PageNumber"/>
        <w:noProof/>
      </w:rPr>
      <w:t>1</w:t>
    </w:r>
    <w:r>
      <w:rPr>
        <w:rStyle w:val="PageNumber"/>
      </w:rPr>
      <w:fldChar w:fldCharType="end"/>
    </w:r>
  </w:p>
  <w:p w:rsidR="003B7A85" w:rsidRDefault="003B7A85" w:rsidP="00A87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67" w:rsidRDefault="00485D67">
      <w:r>
        <w:separator/>
      </w:r>
    </w:p>
  </w:footnote>
  <w:footnote w:type="continuationSeparator" w:id="0">
    <w:p w:rsidR="00485D67" w:rsidRDefault="00485D67">
      <w:r>
        <w:continuationSeparator/>
      </w:r>
    </w:p>
  </w:footnote>
  <w:footnote w:id="1">
    <w:p w:rsidR="005D7DBE" w:rsidRPr="00F83DC8" w:rsidRDefault="005D7DBE" w:rsidP="005D7DBE">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5D7DBE" w:rsidRDefault="005D7DBE" w:rsidP="005D7DBE">
      <w:pPr>
        <w:pStyle w:val="FootnoteText"/>
        <w:jc w:val="both"/>
      </w:pPr>
      <w:r>
        <w:rPr>
          <w:rStyle w:val="FootnoteReference"/>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3">
    <w:p w:rsidR="005D7DBE" w:rsidRPr="000D6D9C" w:rsidRDefault="005D7DBE" w:rsidP="005D7DBE">
      <w:pPr>
        <w:pStyle w:val="FootnoteText"/>
        <w:rPr>
          <w:lang w:val="en-GB"/>
        </w:rPr>
      </w:pPr>
      <w:r>
        <w:rPr>
          <w:rStyle w:val="FootnoteReference"/>
        </w:rPr>
        <w:footnoteRef/>
      </w:r>
      <w:r>
        <w:t xml:space="preserve"> The start date is the date of the first transfer of funds from the MDTF Office as Administrative Agent.</w:t>
      </w:r>
    </w:p>
  </w:footnote>
  <w:footnote w:id="4">
    <w:p w:rsidR="005D7DBE" w:rsidRDefault="005D7DBE" w:rsidP="005D7DBE">
      <w:pPr>
        <w:pStyle w:val="FootnoteText"/>
        <w:jc w:val="both"/>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56E8"/>
    <w:multiLevelType w:val="hybridMultilevel"/>
    <w:tmpl w:val="45067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2624CB6"/>
    <w:multiLevelType w:val="hybridMultilevel"/>
    <w:tmpl w:val="660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A83F3C"/>
    <w:multiLevelType w:val="hybridMultilevel"/>
    <w:tmpl w:val="0818F69A"/>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BE726E"/>
    <w:multiLevelType w:val="hybridMultilevel"/>
    <w:tmpl w:val="B16C12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A6237C"/>
    <w:multiLevelType w:val="hybridMultilevel"/>
    <w:tmpl w:val="8F6E13A2"/>
    <w:lvl w:ilvl="0" w:tplc="8BD6327E">
      <w:start w:val="1"/>
      <w:numFmt w:val="decimal"/>
      <w:lvlText w:val="%1."/>
      <w:lvlJc w:val="left"/>
      <w:pPr>
        <w:tabs>
          <w:tab w:val="num" w:pos="450"/>
        </w:tabs>
        <w:ind w:left="450" w:hanging="360"/>
      </w:pPr>
      <w:rPr>
        <w:rFonts w:hint="default"/>
        <w:sz w:val="20"/>
      </w:rPr>
    </w:lvl>
    <w:lvl w:ilvl="1" w:tplc="04070019" w:tentative="1">
      <w:start w:val="1"/>
      <w:numFmt w:val="lowerLetter"/>
      <w:lvlText w:val="%2."/>
      <w:lvlJc w:val="left"/>
      <w:pPr>
        <w:tabs>
          <w:tab w:val="num" w:pos="1170"/>
        </w:tabs>
        <w:ind w:left="1170" w:hanging="360"/>
      </w:p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12">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7F1552B"/>
    <w:multiLevelType w:val="hybridMultilevel"/>
    <w:tmpl w:val="3518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A6189"/>
    <w:multiLevelType w:val="hybridMultilevel"/>
    <w:tmpl w:val="1A3E40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B7DAA"/>
    <w:multiLevelType w:val="hybridMultilevel"/>
    <w:tmpl w:val="B1BC2630"/>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41BE6A0D"/>
    <w:multiLevelType w:val="hybridMultilevel"/>
    <w:tmpl w:val="9A38F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FE6DC5"/>
    <w:multiLevelType w:val="hybridMultilevel"/>
    <w:tmpl w:val="0302E69E"/>
    <w:lvl w:ilvl="0" w:tplc="2FD20C16">
      <w:start w:val="1"/>
      <w:numFmt w:val="decimal"/>
      <w:lvlText w:val="%1."/>
      <w:lvlJc w:val="left"/>
      <w:pPr>
        <w:tabs>
          <w:tab w:val="num" w:pos="450"/>
        </w:tabs>
        <w:ind w:left="450" w:hanging="360"/>
      </w:pPr>
      <w:rPr>
        <w:rFonts w:hint="default"/>
      </w:rPr>
    </w:lvl>
    <w:lvl w:ilvl="1" w:tplc="FB4E7CC6">
      <w:start w:val="3"/>
      <w:numFmt w:val="decimal"/>
      <w:lvlText w:val="%2"/>
      <w:lvlJc w:val="left"/>
      <w:pPr>
        <w:tabs>
          <w:tab w:val="num" w:pos="1170"/>
        </w:tabs>
        <w:ind w:left="1170" w:hanging="360"/>
      </w:pPr>
      <w:rPr>
        <w:rFonts w:hint="default"/>
      </w:rPr>
    </w:lvl>
    <w:lvl w:ilvl="2" w:tplc="04090001">
      <w:start w:val="1"/>
      <w:numFmt w:val="bullet"/>
      <w:lvlText w:val=""/>
      <w:lvlJc w:val="left"/>
      <w:pPr>
        <w:tabs>
          <w:tab w:val="num" w:pos="2070"/>
        </w:tabs>
        <w:ind w:left="2070" w:hanging="360"/>
      </w:pPr>
      <w:rPr>
        <w:rFonts w:ascii="Symbol"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BC84DEC"/>
    <w:multiLevelType w:val="hybridMultilevel"/>
    <w:tmpl w:val="4F90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070C1"/>
    <w:multiLevelType w:val="hybridMultilevel"/>
    <w:tmpl w:val="6308A492"/>
    <w:lvl w:ilvl="0" w:tplc="F0FA5E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FD5876"/>
    <w:multiLevelType w:val="hybridMultilevel"/>
    <w:tmpl w:val="D8F0F82C"/>
    <w:lvl w:ilvl="0" w:tplc="20DAAB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7"/>
  </w:num>
  <w:num w:numId="4">
    <w:abstractNumId w:val="4"/>
  </w:num>
  <w:num w:numId="5">
    <w:abstractNumId w:val="18"/>
  </w:num>
  <w:num w:numId="6">
    <w:abstractNumId w:val="20"/>
  </w:num>
  <w:num w:numId="7">
    <w:abstractNumId w:val="3"/>
  </w:num>
  <w:num w:numId="8">
    <w:abstractNumId w:val="19"/>
  </w:num>
  <w:num w:numId="9">
    <w:abstractNumId w:val="5"/>
  </w:num>
  <w:num w:numId="10">
    <w:abstractNumId w:val="12"/>
  </w:num>
  <w:num w:numId="11">
    <w:abstractNumId w:val="22"/>
  </w:num>
  <w:num w:numId="12">
    <w:abstractNumId w:val="24"/>
  </w:num>
  <w:num w:numId="13">
    <w:abstractNumId w:val="25"/>
  </w:num>
  <w:num w:numId="14">
    <w:abstractNumId w:val="1"/>
  </w:num>
  <w:num w:numId="15">
    <w:abstractNumId w:val="11"/>
  </w:num>
  <w:num w:numId="16">
    <w:abstractNumId w:val="17"/>
  </w:num>
  <w:num w:numId="17">
    <w:abstractNumId w:val="13"/>
  </w:num>
  <w:num w:numId="18">
    <w:abstractNumId w:val="8"/>
  </w:num>
  <w:num w:numId="19">
    <w:abstractNumId w:val="16"/>
  </w:num>
  <w:num w:numId="20">
    <w:abstractNumId w:val="10"/>
  </w:num>
  <w:num w:numId="21">
    <w:abstractNumId w:val="14"/>
  </w:num>
  <w:num w:numId="22">
    <w:abstractNumId w:val="21"/>
  </w:num>
  <w:num w:numId="23">
    <w:abstractNumId w:val="6"/>
  </w:num>
  <w:num w:numId="24">
    <w:abstractNumId w:val="0"/>
  </w:num>
  <w:num w:numId="25">
    <w:abstractNumId w:val="2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numFmt w:val="decimal"/>
    <w:endnote w:id="-1"/>
    <w:endnote w:id="0"/>
  </w:endnotePr>
  <w:compat/>
  <w:rsids>
    <w:rsidRoot w:val="00FD25D7"/>
    <w:rsid w:val="0002736A"/>
    <w:rsid w:val="0004562D"/>
    <w:rsid w:val="00050C98"/>
    <w:rsid w:val="00064DE2"/>
    <w:rsid w:val="000F3ED8"/>
    <w:rsid w:val="0014584C"/>
    <w:rsid w:val="00157BC7"/>
    <w:rsid w:val="00183A5E"/>
    <w:rsid w:val="00225E11"/>
    <w:rsid w:val="00270A81"/>
    <w:rsid w:val="0027365E"/>
    <w:rsid w:val="00273F16"/>
    <w:rsid w:val="0027445C"/>
    <w:rsid w:val="002810D4"/>
    <w:rsid w:val="002963C7"/>
    <w:rsid w:val="002C13B7"/>
    <w:rsid w:val="002F5728"/>
    <w:rsid w:val="00316DF7"/>
    <w:rsid w:val="0033326C"/>
    <w:rsid w:val="00351D2A"/>
    <w:rsid w:val="003760ED"/>
    <w:rsid w:val="003B7A85"/>
    <w:rsid w:val="003C0526"/>
    <w:rsid w:val="003C6E51"/>
    <w:rsid w:val="0045099C"/>
    <w:rsid w:val="00470EBA"/>
    <w:rsid w:val="0048597D"/>
    <w:rsid w:val="00485D67"/>
    <w:rsid w:val="004B6E44"/>
    <w:rsid w:val="004F19B3"/>
    <w:rsid w:val="005A7FFB"/>
    <w:rsid w:val="005D7DBE"/>
    <w:rsid w:val="005E1E23"/>
    <w:rsid w:val="00692D27"/>
    <w:rsid w:val="00762575"/>
    <w:rsid w:val="007A3F1D"/>
    <w:rsid w:val="007D0936"/>
    <w:rsid w:val="007D0EEC"/>
    <w:rsid w:val="007E55E3"/>
    <w:rsid w:val="007E5834"/>
    <w:rsid w:val="00866795"/>
    <w:rsid w:val="00880415"/>
    <w:rsid w:val="00894663"/>
    <w:rsid w:val="00896CCA"/>
    <w:rsid w:val="008A6758"/>
    <w:rsid w:val="008D3861"/>
    <w:rsid w:val="008E7C20"/>
    <w:rsid w:val="009403DB"/>
    <w:rsid w:val="009535DD"/>
    <w:rsid w:val="00A0224D"/>
    <w:rsid w:val="00A02B0D"/>
    <w:rsid w:val="00A87538"/>
    <w:rsid w:val="00AD5DE9"/>
    <w:rsid w:val="00AF7BE2"/>
    <w:rsid w:val="00B27293"/>
    <w:rsid w:val="00B36B94"/>
    <w:rsid w:val="00B442A4"/>
    <w:rsid w:val="00B976D8"/>
    <w:rsid w:val="00BA33E7"/>
    <w:rsid w:val="00BB3881"/>
    <w:rsid w:val="00BB3CB6"/>
    <w:rsid w:val="00BB73BB"/>
    <w:rsid w:val="00BD5392"/>
    <w:rsid w:val="00C53E5D"/>
    <w:rsid w:val="00C77D10"/>
    <w:rsid w:val="00C81A36"/>
    <w:rsid w:val="00C909AC"/>
    <w:rsid w:val="00C96400"/>
    <w:rsid w:val="00CA3F39"/>
    <w:rsid w:val="00CC77FB"/>
    <w:rsid w:val="00CF2D29"/>
    <w:rsid w:val="00D02FAE"/>
    <w:rsid w:val="00D60C80"/>
    <w:rsid w:val="00E10FB3"/>
    <w:rsid w:val="00E44C62"/>
    <w:rsid w:val="00EF1075"/>
    <w:rsid w:val="00EF20AC"/>
    <w:rsid w:val="00F24D48"/>
    <w:rsid w:val="00F50FE6"/>
    <w:rsid w:val="00F7703F"/>
    <w:rsid w:val="00F87E5C"/>
    <w:rsid w:val="00FA1DC9"/>
    <w:rsid w:val="00FD25D7"/>
    <w:rsid w:val="00FF3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B0D"/>
    <w:pPr>
      <w:widowControl w:val="0"/>
      <w:jc w:val="both"/>
    </w:pPr>
    <w:rPr>
      <w:rFonts w:ascii="Arial" w:hAnsi="Arial"/>
    </w:rPr>
  </w:style>
  <w:style w:type="paragraph" w:styleId="Heading2">
    <w:name w:val="heading 2"/>
    <w:basedOn w:val="Normal"/>
    <w:next w:val="Normal"/>
    <w:link w:val="Heading2Char"/>
    <w:semiHidden/>
    <w:unhideWhenUsed/>
    <w:qFormat/>
    <w:rsid w:val="005D7DBE"/>
    <w:pPr>
      <w:keepNext/>
      <w:spacing w:before="240" w:after="60"/>
      <w:outlineLvl w:val="1"/>
    </w:pPr>
    <w:rPr>
      <w:rFonts w:ascii="Cambria" w:hAnsi="Cambria"/>
      <w:b/>
      <w:bCs/>
      <w:i/>
      <w:iCs/>
      <w:sz w:val="28"/>
      <w:szCs w:val="28"/>
    </w:rPr>
  </w:style>
  <w:style w:type="paragraph" w:styleId="Heading3">
    <w:name w:val="heading 3"/>
    <w:basedOn w:val="Normal"/>
    <w:next w:val="Normal"/>
    <w:qFormat/>
    <w:rsid w:val="00B976D8"/>
    <w:pPr>
      <w:keepNext/>
      <w:pBdr>
        <w:top w:val="single" w:sz="4" w:space="2" w:color="BFBFBF"/>
        <w:left w:val="single" w:sz="4" w:space="4" w:color="BFBFBF"/>
        <w:bottom w:val="single" w:sz="4" w:space="2" w:color="BFBFBF"/>
        <w:right w:val="single" w:sz="4" w:space="4" w:color="BFBFBF"/>
      </w:pBdr>
      <w:shd w:val="pct15" w:color="auto" w:fill="FFFFFF"/>
      <w:jc w:val="center"/>
      <w:outlineLvl w:val="2"/>
    </w:pPr>
    <w:rPr>
      <w:bCs/>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rFonts w:ascii="Univers" w:hAnsi="Univers"/>
      <w:sz w:val="22"/>
    </w:rPr>
  </w:style>
  <w:style w:type="paragraph" w:styleId="BodyText2">
    <w:name w:val="Body Text 2"/>
    <w:basedOn w:val="Normal"/>
    <w:pPr>
      <w:widowControl/>
    </w:pPr>
  </w:style>
  <w:style w:type="paragraph" w:styleId="BodyText3">
    <w:name w:val="Body Text 3"/>
    <w:basedOn w:val="Normal"/>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A7FFB"/>
    <w:rPr>
      <w:rFonts w:ascii="Tahoma" w:hAnsi="Tahoma" w:cs="Tahoma"/>
      <w:sz w:val="16"/>
      <w:szCs w:val="16"/>
    </w:rPr>
  </w:style>
  <w:style w:type="character" w:styleId="PageNumber">
    <w:name w:val="page number"/>
    <w:basedOn w:val="DefaultParagraphFont"/>
    <w:rsid w:val="00A87538"/>
  </w:style>
  <w:style w:type="paragraph" w:customStyle="1" w:styleId="CharChar">
    <w:name w:val=" (文字) (文字) Char (文字) (文字) Char"/>
    <w:basedOn w:val="Normal"/>
    <w:rsid w:val="00AD5DE9"/>
    <w:pPr>
      <w:widowControl/>
      <w:spacing w:after="160" w:line="240" w:lineRule="exact"/>
    </w:pPr>
  </w:style>
  <w:style w:type="table" w:styleId="TableGrid">
    <w:name w:val="Table Grid"/>
    <w:basedOn w:val="TableNormal"/>
    <w:rsid w:val="007E55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5D7DBE"/>
    <w:rPr>
      <w:rFonts w:ascii="Cambria" w:eastAsia="Times New Roman" w:hAnsi="Cambria" w:cs="Times New Roman"/>
      <w:b/>
      <w:bCs/>
      <w:i/>
      <w:iCs/>
      <w:sz w:val="28"/>
      <w:szCs w:val="28"/>
    </w:rPr>
  </w:style>
  <w:style w:type="paragraph" w:styleId="FootnoteText">
    <w:name w:val="footnote text"/>
    <w:basedOn w:val="Normal"/>
    <w:link w:val="FootnoteTextChar"/>
    <w:rsid w:val="005D7DBE"/>
    <w:pPr>
      <w:widowControl/>
      <w:jc w:val="left"/>
    </w:pPr>
    <w:rPr>
      <w:rFonts w:ascii="Times New Roman" w:hAnsi="Times New Roman"/>
    </w:rPr>
  </w:style>
  <w:style w:type="character" w:customStyle="1" w:styleId="FootnoteTextChar">
    <w:name w:val="Footnote Text Char"/>
    <w:basedOn w:val="DefaultParagraphFont"/>
    <w:link w:val="FootnoteText"/>
    <w:rsid w:val="005D7DBE"/>
  </w:style>
  <w:style w:type="character" w:styleId="FootnoteReference">
    <w:name w:val="footnote reference"/>
    <w:basedOn w:val="DefaultParagraphFont"/>
    <w:rsid w:val="005D7DBE"/>
    <w:rPr>
      <w:vertAlign w:val="superscript"/>
    </w:rPr>
  </w:style>
  <w:style w:type="character" w:styleId="Hyperlink">
    <w:name w:val="Hyperlink"/>
    <w:basedOn w:val="DefaultParagraphFont"/>
    <w:rsid w:val="00BB73BB"/>
    <w:rPr>
      <w:color w:val="0000FF"/>
      <w:u w:val="single"/>
    </w:rPr>
  </w:style>
</w:styles>
</file>

<file path=word/webSettings.xml><?xml version="1.0" encoding="utf-8"?>
<w:webSettings xmlns:r="http://schemas.openxmlformats.org/officeDocument/2006/relationships" xmlns:w="http://schemas.openxmlformats.org/wordprocessingml/2006/main">
  <w:divs>
    <w:div w:id="6841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rowley@unice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9280</CharactersWithSpaces>
  <SharedDoc>false</SharedDoc>
  <HLinks>
    <vt:vector size="6" baseType="variant">
      <vt:variant>
        <vt:i4>4718710</vt:i4>
      </vt:variant>
      <vt:variant>
        <vt:i4>0</vt:i4>
      </vt:variant>
      <vt:variant>
        <vt:i4>0</vt:i4>
      </vt:variant>
      <vt:variant>
        <vt:i4>5</vt:i4>
      </vt:variant>
      <vt:variant>
        <vt:lpwstr>mailto:icrowley@unicef.org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Cristina.Bertarelli</cp:lastModifiedBy>
  <cp:revision>2</cp:revision>
  <cp:lastPrinted>2003-05-13T23:58:00Z</cp:lastPrinted>
  <dcterms:created xsi:type="dcterms:W3CDTF">2010-04-30T15:26:00Z</dcterms:created>
  <dcterms:modified xsi:type="dcterms:W3CDTF">2010-04-30T15:26:00Z</dcterms:modified>
</cp:coreProperties>
</file>