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7"/>
        <w:gridCol w:w="5003"/>
      </w:tblGrid>
      <w:tr w:rsidR="00CF2EDD" w:rsidRPr="00E37BBE">
        <w:tc>
          <w:tcPr>
            <w:tcW w:w="5117" w:type="dxa"/>
          </w:tcPr>
          <w:p w:rsidR="00CF2EDD" w:rsidRPr="00E37BBE" w:rsidRDefault="004E6F4A" w:rsidP="00641B4D">
            <w:pPr>
              <w:spacing w:line="276" w:lineRule="auto"/>
              <w:jc w:val="center"/>
              <w:rPr>
                <w:b/>
                <w:u w:val="single"/>
              </w:rPr>
            </w:pPr>
            <w:r>
              <w:rPr>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tc>
        <w:tc>
          <w:tcPr>
            <w:tcW w:w="5003" w:type="dxa"/>
          </w:tcPr>
          <w:p w:rsidR="00CF2EDD" w:rsidRPr="00E37BBE" w:rsidRDefault="00CF2EDD" w:rsidP="00641B4D">
            <w:pPr>
              <w:spacing w:line="276" w:lineRule="auto"/>
              <w:jc w:val="center"/>
              <w:rPr>
                <w:u w:val="single"/>
              </w:rPr>
            </w:pPr>
            <w:r w:rsidRPr="00E37BBE">
              <w:rPr>
                <w:u w:val="single"/>
              </w:rPr>
              <w:t>Insert Fund specific logo, if applicable</w:t>
            </w:r>
          </w:p>
        </w:tc>
      </w:tr>
    </w:tbl>
    <w:p w:rsidR="00CF2EDD" w:rsidRPr="00E37BBE" w:rsidRDefault="00CF2EDD" w:rsidP="00641B4D">
      <w:pPr>
        <w:spacing w:line="276" w:lineRule="auto"/>
        <w:jc w:val="center"/>
        <w:rPr>
          <w:b/>
        </w:rPr>
      </w:pPr>
      <w:r w:rsidRPr="00E37BBE">
        <w:rPr>
          <w:b/>
          <w:u w:val="single"/>
        </w:rPr>
        <w:t xml:space="preserve"> </w:t>
      </w:r>
    </w:p>
    <w:p w:rsidR="00CF2EDD" w:rsidRPr="00E37BBE" w:rsidRDefault="005E010F" w:rsidP="00641B4D">
      <w:pPr>
        <w:spacing w:line="276" w:lineRule="auto"/>
        <w:jc w:val="center"/>
        <w:rPr>
          <w:b/>
        </w:rPr>
      </w:pPr>
      <w:smartTag w:uri="urn:schemas-microsoft-com:office:smarttags" w:element="place">
        <w:smartTag w:uri="urn:schemas-microsoft-com:office:smarttags" w:element="PlaceName">
          <w:r w:rsidRPr="00E37BBE">
            <w:rPr>
              <w:b/>
            </w:rPr>
            <w:t>Peace</w:t>
          </w:r>
        </w:smartTag>
        <w:r w:rsidRPr="00E37BBE">
          <w:rPr>
            <w:b/>
          </w:rPr>
          <w:t xml:space="preserve"> </w:t>
        </w:r>
        <w:smartTag w:uri="urn:schemas-microsoft-com:office:smarttags" w:element="PlaceType">
          <w:r w:rsidRPr="00E37BBE">
            <w:rPr>
              <w:b/>
            </w:rPr>
            <w:t>Building</w:t>
          </w:r>
        </w:smartTag>
      </w:smartTag>
      <w:r w:rsidRPr="00E37BBE">
        <w:rPr>
          <w:b/>
        </w:rPr>
        <w:t xml:space="preserve"> Fund</w:t>
      </w:r>
    </w:p>
    <w:p w:rsidR="00CF2EDD" w:rsidRPr="00E37BBE" w:rsidRDefault="00CF2EDD" w:rsidP="00641B4D">
      <w:pPr>
        <w:spacing w:line="276" w:lineRule="auto"/>
        <w:rPr>
          <w:sz w:val="14"/>
          <w:szCs w:val="16"/>
        </w:rPr>
      </w:pPr>
    </w:p>
    <w:p w:rsidR="00CF2EDD" w:rsidRPr="00E37BBE" w:rsidRDefault="00CF2EDD" w:rsidP="00641B4D">
      <w:pPr>
        <w:spacing w:line="276" w:lineRule="auto"/>
        <w:jc w:val="center"/>
        <w:rPr>
          <w:b/>
          <w:bCs/>
          <w:caps/>
        </w:rPr>
      </w:pPr>
      <w:r w:rsidRPr="00E37BBE">
        <w:rPr>
          <w:b/>
          <w:bCs/>
          <w:caps/>
        </w:rPr>
        <w:t>ANNUAL programme</w:t>
      </w:r>
      <w:r w:rsidRPr="00E37BBE">
        <w:rPr>
          <w:rStyle w:val="FootnoteReference"/>
          <w:b/>
          <w:bCs/>
          <w:caps/>
        </w:rPr>
        <w:footnoteReference w:id="1"/>
      </w:r>
      <w:r w:rsidRPr="00E37BBE">
        <w:rPr>
          <w:b/>
          <w:bCs/>
          <w:caps/>
        </w:rPr>
        <w:t xml:space="preserve"> NARRATIVE progress report </w:t>
      </w:r>
    </w:p>
    <w:p w:rsidR="00CF2EDD" w:rsidRPr="00E37BBE" w:rsidRDefault="00CF2EDD" w:rsidP="00641B4D">
      <w:pPr>
        <w:spacing w:line="276" w:lineRule="auto"/>
        <w:jc w:val="center"/>
        <w:rPr>
          <w:b/>
          <w:bCs/>
          <w:caps/>
          <w:sz w:val="10"/>
          <w:szCs w:val="10"/>
        </w:rPr>
      </w:pPr>
    </w:p>
    <w:p w:rsidR="00CF2EDD" w:rsidRPr="00E37BBE" w:rsidRDefault="00CF2EDD" w:rsidP="00641B4D">
      <w:pPr>
        <w:spacing w:line="276" w:lineRule="auto"/>
        <w:jc w:val="center"/>
        <w:rPr>
          <w:b/>
          <w:bCs/>
          <w:caps/>
        </w:rPr>
      </w:pPr>
      <w:r w:rsidRPr="00E37BBE">
        <w:rPr>
          <w:b/>
          <w:bCs/>
          <w:caps/>
        </w:rPr>
        <w:t xml:space="preserve">REPORTING PERIOD: 1 january – </w:t>
      </w:r>
      <w:smartTag w:uri="urn:schemas-microsoft-com:office:smarttags" w:element="date">
        <w:smartTagPr>
          <w:attr w:name="Month" w:val="12"/>
          <w:attr w:name="Day" w:val="31"/>
          <w:attr w:name="Year" w:val="2009"/>
        </w:smartTagPr>
        <w:r w:rsidRPr="00E37BBE">
          <w:rPr>
            <w:b/>
            <w:bCs/>
            <w:caps/>
          </w:rPr>
          <w:t>31 December 2009</w:t>
        </w:r>
      </w:smartTag>
    </w:p>
    <w:p w:rsidR="00CF2EDD" w:rsidRPr="00E37BBE" w:rsidRDefault="00CF2EDD" w:rsidP="00641B4D">
      <w:pPr>
        <w:spacing w:line="276" w:lineRule="auto"/>
        <w:rPr>
          <w:sz w:val="10"/>
          <w:szCs w:val="10"/>
        </w:rPr>
      </w:pPr>
    </w:p>
    <w:tbl>
      <w:tblPr>
        <w:tblW w:w="0" w:type="auto"/>
        <w:tblLook w:val="01E0"/>
      </w:tblPr>
      <w:tblGrid>
        <w:gridCol w:w="4878"/>
        <w:gridCol w:w="270"/>
        <w:gridCol w:w="5040"/>
      </w:tblGrid>
      <w:tr w:rsidR="00CF2EDD" w:rsidRPr="00E37BBE">
        <w:tc>
          <w:tcPr>
            <w:tcW w:w="4878" w:type="dxa"/>
            <w:vMerge w:val="restart"/>
            <w:tcBorders>
              <w:top w:val="single" w:sz="4" w:space="0" w:color="auto"/>
              <w:left w:val="single" w:sz="4" w:space="0" w:color="auto"/>
              <w:right w:val="single" w:sz="4" w:space="0" w:color="auto"/>
            </w:tcBorders>
          </w:tcPr>
          <w:p w:rsidR="00CF2EDD" w:rsidRPr="00E37BBE" w:rsidRDefault="00CF2EDD" w:rsidP="00641B4D">
            <w:pPr>
              <w:pStyle w:val="Heading2"/>
              <w:spacing w:line="276" w:lineRule="auto"/>
              <w:rPr>
                <w:i/>
                <w:sz w:val="24"/>
              </w:rPr>
            </w:pPr>
            <w:r w:rsidRPr="00E37BBE">
              <w:rPr>
                <w:i/>
                <w:sz w:val="24"/>
              </w:rPr>
              <w:t>Submitted by:</w:t>
            </w:r>
          </w:p>
          <w:p w:rsidR="00CF2EDD" w:rsidRPr="003C1F28" w:rsidRDefault="00CF2EDD" w:rsidP="00641B4D">
            <w:pPr>
              <w:spacing w:line="276" w:lineRule="auto"/>
            </w:pPr>
            <w:r w:rsidRPr="003C1F28">
              <w:t>A</w:t>
            </w:r>
            <w:r w:rsidR="00C81CA8" w:rsidRPr="003C1F28">
              <w:t>ndré Carvalho, Directeur Pays</w:t>
            </w:r>
          </w:p>
          <w:p w:rsidR="00CF2EDD" w:rsidRPr="00E37BBE" w:rsidRDefault="00CF2EDD" w:rsidP="00641B4D">
            <w:pPr>
              <w:spacing w:line="276" w:lineRule="auto"/>
              <w:rPr>
                <w:lang w:val="fr-FR"/>
              </w:rPr>
            </w:pPr>
            <w:r w:rsidRPr="00E37BBE">
              <w:rPr>
                <w:lang w:val="fr-FR"/>
              </w:rPr>
              <w:t>PNUD C</w:t>
            </w:r>
            <w:r w:rsidR="006E49C2">
              <w:rPr>
                <w:lang w:val="fr-FR"/>
              </w:rPr>
              <w:t>ô</w:t>
            </w:r>
            <w:r w:rsidRPr="00E37BBE">
              <w:rPr>
                <w:lang w:val="fr-FR"/>
              </w:rPr>
              <w:t xml:space="preserve">te d’Ivoire </w:t>
            </w:r>
          </w:p>
        </w:tc>
        <w:tc>
          <w:tcPr>
            <w:tcW w:w="270" w:type="dxa"/>
            <w:tcBorders>
              <w:left w:val="single" w:sz="4" w:space="0" w:color="auto"/>
              <w:right w:val="single" w:sz="4" w:space="0" w:color="auto"/>
            </w:tcBorders>
          </w:tcPr>
          <w:p w:rsidR="00CF2EDD" w:rsidRPr="00E37BBE" w:rsidRDefault="00CF2EDD" w:rsidP="00641B4D">
            <w:pPr>
              <w:pStyle w:val="Heading2"/>
              <w:spacing w:line="276" w:lineRule="auto"/>
              <w:rPr>
                <w:i/>
                <w:sz w:val="24"/>
              </w:rPr>
            </w:pPr>
          </w:p>
        </w:tc>
        <w:tc>
          <w:tcPr>
            <w:tcW w:w="5040" w:type="dxa"/>
            <w:vMerge w:val="restart"/>
            <w:tcBorders>
              <w:top w:val="single" w:sz="4" w:space="0" w:color="auto"/>
              <w:left w:val="single" w:sz="4" w:space="0" w:color="auto"/>
              <w:right w:val="single" w:sz="4" w:space="0" w:color="auto"/>
            </w:tcBorders>
          </w:tcPr>
          <w:p w:rsidR="00CF2EDD" w:rsidRPr="00E37BBE" w:rsidRDefault="00CF2EDD" w:rsidP="00641B4D">
            <w:pPr>
              <w:pStyle w:val="Heading2"/>
              <w:spacing w:line="276" w:lineRule="auto"/>
              <w:rPr>
                <w:i/>
                <w:sz w:val="24"/>
                <w:lang w:val="fr-FR"/>
              </w:rPr>
            </w:pPr>
            <w:r w:rsidRPr="00E37BBE">
              <w:rPr>
                <w:i/>
                <w:sz w:val="24"/>
                <w:lang w:val="fr-FR"/>
              </w:rPr>
              <w:t>Country and Thematic Area</w:t>
            </w:r>
            <w:r w:rsidRPr="00E37BBE">
              <w:rPr>
                <w:rStyle w:val="FootnoteReference"/>
                <w:i/>
                <w:sz w:val="24"/>
              </w:rPr>
              <w:footnoteReference w:id="2"/>
            </w:r>
          </w:p>
          <w:p w:rsidR="00CF2EDD" w:rsidRPr="00E37BBE" w:rsidRDefault="00CF2EDD" w:rsidP="00641B4D">
            <w:pPr>
              <w:pStyle w:val="Heading2"/>
              <w:spacing w:line="276" w:lineRule="auto"/>
              <w:rPr>
                <w:i/>
                <w:sz w:val="24"/>
                <w:lang w:val="fr-FR"/>
              </w:rPr>
            </w:pPr>
            <w:r w:rsidRPr="00E37BBE">
              <w:rPr>
                <w:b w:val="0"/>
                <w:sz w:val="24"/>
                <w:lang w:val="fr-FR"/>
              </w:rPr>
              <w:t>DDR- Consolidation de la Paix et Cohésion sociale en C</w:t>
            </w:r>
            <w:r w:rsidR="006E49C2">
              <w:rPr>
                <w:b w:val="0"/>
                <w:sz w:val="24"/>
                <w:lang w:val="fr-FR"/>
              </w:rPr>
              <w:t>ô</w:t>
            </w:r>
            <w:r w:rsidRPr="00E37BBE">
              <w:rPr>
                <w:b w:val="0"/>
                <w:sz w:val="24"/>
                <w:lang w:val="fr-FR"/>
              </w:rPr>
              <w:t>te d’Ivoire</w:t>
            </w:r>
          </w:p>
          <w:p w:rsidR="00CF2EDD" w:rsidRPr="00E37BBE" w:rsidRDefault="00CF2EDD" w:rsidP="00641B4D">
            <w:pPr>
              <w:spacing w:line="276" w:lineRule="auto"/>
              <w:rPr>
                <w:lang w:val="fr-FR"/>
              </w:rPr>
            </w:pPr>
          </w:p>
        </w:tc>
      </w:tr>
      <w:tr w:rsidR="00CF2EDD" w:rsidRPr="00E37BBE">
        <w:trPr>
          <w:trHeight w:val="396"/>
        </w:trPr>
        <w:tc>
          <w:tcPr>
            <w:tcW w:w="4878" w:type="dxa"/>
            <w:vMerge/>
            <w:tcBorders>
              <w:left w:val="single" w:sz="4" w:space="0" w:color="auto"/>
              <w:bottom w:val="single" w:sz="4" w:space="0" w:color="auto"/>
              <w:right w:val="single" w:sz="4" w:space="0" w:color="auto"/>
            </w:tcBorders>
          </w:tcPr>
          <w:p w:rsidR="00CF2EDD" w:rsidRPr="00E37BBE" w:rsidRDefault="00CF2EDD" w:rsidP="00641B4D">
            <w:pPr>
              <w:pStyle w:val="BodyText"/>
              <w:spacing w:line="276" w:lineRule="auto"/>
              <w:rPr>
                <w:rFonts w:ascii="Times New Roman" w:hAnsi="Times New Roman" w:cs="Times New Roman"/>
                <w:sz w:val="24"/>
                <w:lang w:val="fr-FR"/>
              </w:rPr>
            </w:pPr>
          </w:p>
        </w:tc>
        <w:tc>
          <w:tcPr>
            <w:tcW w:w="270" w:type="dxa"/>
            <w:tcBorders>
              <w:left w:val="single" w:sz="4" w:space="0" w:color="auto"/>
              <w:right w:val="single" w:sz="4" w:space="0" w:color="auto"/>
            </w:tcBorders>
          </w:tcPr>
          <w:p w:rsidR="00CF2EDD" w:rsidRPr="00E37BBE" w:rsidRDefault="00CF2EDD" w:rsidP="00641B4D">
            <w:pPr>
              <w:pStyle w:val="BodyText"/>
              <w:spacing w:line="276" w:lineRule="auto"/>
              <w:rPr>
                <w:rFonts w:ascii="Times New Roman" w:hAnsi="Times New Roman" w:cs="Times New Roman"/>
                <w:sz w:val="24"/>
                <w:lang w:val="fr-FR"/>
              </w:rPr>
            </w:pPr>
          </w:p>
        </w:tc>
        <w:tc>
          <w:tcPr>
            <w:tcW w:w="5040" w:type="dxa"/>
            <w:vMerge/>
            <w:tcBorders>
              <w:left w:val="single" w:sz="4" w:space="0" w:color="auto"/>
              <w:bottom w:val="single" w:sz="4" w:space="0" w:color="auto"/>
              <w:right w:val="single" w:sz="4" w:space="0" w:color="auto"/>
            </w:tcBorders>
          </w:tcPr>
          <w:p w:rsidR="00CF2EDD" w:rsidRPr="00E37BBE" w:rsidRDefault="00CF2EDD" w:rsidP="00641B4D">
            <w:pPr>
              <w:pStyle w:val="BodyText"/>
              <w:spacing w:line="276" w:lineRule="auto"/>
              <w:rPr>
                <w:rFonts w:ascii="Times New Roman" w:hAnsi="Times New Roman" w:cs="Times New Roman"/>
                <w:sz w:val="24"/>
                <w:lang w:val="fr-FR"/>
              </w:rPr>
            </w:pPr>
          </w:p>
        </w:tc>
      </w:tr>
    </w:tbl>
    <w:p w:rsidR="00CF2EDD" w:rsidRPr="00E37BBE" w:rsidRDefault="00CF2EDD" w:rsidP="00641B4D">
      <w:pPr>
        <w:spacing w:line="276" w:lineRule="auto"/>
        <w:rPr>
          <w:sz w:val="10"/>
          <w:szCs w:val="10"/>
          <w:lang w:val="fr-FR"/>
        </w:rPr>
      </w:pPr>
    </w:p>
    <w:tbl>
      <w:tblPr>
        <w:tblW w:w="0" w:type="auto"/>
        <w:tblLook w:val="01E0"/>
      </w:tblPr>
      <w:tblGrid>
        <w:gridCol w:w="4878"/>
        <w:gridCol w:w="270"/>
        <w:gridCol w:w="5040"/>
      </w:tblGrid>
      <w:tr w:rsidR="00CF2EDD" w:rsidRPr="00E37BBE">
        <w:tc>
          <w:tcPr>
            <w:tcW w:w="4878" w:type="dxa"/>
            <w:vMerge w:val="restart"/>
            <w:tcBorders>
              <w:top w:val="single" w:sz="4" w:space="0" w:color="auto"/>
              <w:left w:val="single" w:sz="4" w:space="0" w:color="auto"/>
              <w:right w:val="single" w:sz="4" w:space="0" w:color="auto"/>
            </w:tcBorders>
          </w:tcPr>
          <w:p w:rsidR="00CF2EDD" w:rsidRPr="008124E4" w:rsidRDefault="00CF2EDD" w:rsidP="00641B4D">
            <w:pPr>
              <w:pStyle w:val="Heading2"/>
              <w:spacing w:line="276" w:lineRule="auto"/>
              <w:rPr>
                <w:sz w:val="24"/>
              </w:rPr>
            </w:pPr>
            <w:bookmarkStart w:id="0" w:name="_Toc249364474"/>
            <w:r w:rsidRPr="00E37BBE">
              <w:rPr>
                <w:i/>
                <w:sz w:val="24"/>
              </w:rPr>
              <w:t>Programme No:</w:t>
            </w:r>
            <w:bookmarkEnd w:id="0"/>
            <w:r w:rsidR="008124E4">
              <w:rPr>
                <w:i/>
                <w:sz w:val="24"/>
              </w:rPr>
              <w:t xml:space="preserve"> </w:t>
            </w:r>
            <w:r w:rsidR="008124E4">
              <w:rPr>
                <w:sz w:val="24"/>
              </w:rPr>
              <w:t>PBF/CIV/B-1</w:t>
            </w:r>
          </w:p>
          <w:p w:rsidR="00CF2EDD" w:rsidRPr="00E37BBE" w:rsidRDefault="00CF2EDD" w:rsidP="00641B4D">
            <w:pPr>
              <w:pStyle w:val="Heading2"/>
              <w:spacing w:line="276" w:lineRule="auto"/>
              <w:rPr>
                <w:i/>
                <w:sz w:val="24"/>
              </w:rPr>
            </w:pPr>
            <w:r w:rsidRPr="00E37BBE">
              <w:rPr>
                <w:bCs w:val="0"/>
                <w:iCs/>
                <w:sz w:val="24"/>
              </w:rPr>
              <w:t>MDTF Office Atlas No</w:t>
            </w:r>
            <w:r w:rsidRPr="00E37BBE">
              <w:rPr>
                <w:b w:val="0"/>
                <w:i/>
                <w:sz w:val="24"/>
              </w:rPr>
              <w:t xml:space="preserve">: </w:t>
            </w:r>
            <w:r w:rsidRPr="00E37BBE">
              <w:rPr>
                <w:i/>
                <w:sz w:val="24"/>
              </w:rPr>
              <w:t>CIV10 - 00070211</w:t>
            </w:r>
          </w:p>
          <w:p w:rsidR="00CF2EDD" w:rsidRPr="00E37BBE" w:rsidRDefault="00CF2EDD" w:rsidP="00641B4D">
            <w:pPr>
              <w:pStyle w:val="Heading2"/>
              <w:spacing w:line="276" w:lineRule="auto"/>
              <w:rPr>
                <w:i/>
                <w:sz w:val="24"/>
                <w:lang w:val="fr-FR"/>
              </w:rPr>
            </w:pPr>
            <w:bookmarkStart w:id="1" w:name="_Toc249364475"/>
            <w:r w:rsidRPr="00E37BBE">
              <w:rPr>
                <w:i/>
                <w:sz w:val="24"/>
                <w:lang w:val="fr-FR"/>
              </w:rPr>
              <w:t>Programme Title:</w:t>
            </w:r>
            <w:bookmarkEnd w:id="1"/>
          </w:p>
          <w:p w:rsidR="00CF2EDD" w:rsidRPr="00E37BBE" w:rsidRDefault="00CF2EDD" w:rsidP="00641B4D">
            <w:pPr>
              <w:pStyle w:val="Heading2"/>
              <w:spacing w:line="276" w:lineRule="auto"/>
              <w:rPr>
                <w:i/>
                <w:sz w:val="24"/>
                <w:lang w:val="fr-FR"/>
              </w:rPr>
            </w:pPr>
            <w:r w:rsidRPr="00E37BBE">
              <w:rPr>
                <w:i/>
                <w:sz w:val="24"/>
                <w:lang w:val="fr-FR"/>
              </w:rPr>
              <w:t>PBF Titre du Projet:</w:t>
            </w:r>
          </w:p>
          <w:p w:rsidR="00CF2EDD" w:rsidRPr="00E37BBE" w:rsidRDefault="00CF2EDD" w:rsidP="00641B4D">
            <w:pPr>
              <w:spacing w:line="276" w:lineRule="auto"/>
              <w:rPr>
                <w:lang w:val="fr-FR"/>
              </w:rPr>
            </w:pPr>
            <w:r w:rsidRPr="00E37BBE">
              <w:rPr>
                <w:bCs/>
                <w:lang w:val="fr-FR"/>
              </w:rPr>
              <w:t>1000 Micro projets pour la réintégration des ex-combattants et d’ex-miliciens en Côte d’Ivoire</w:t>
            </w:r>
            <w:r w:rsidR="000A5646" w:rsidRPr="00E37BBE">
              <w:rPr>
                <w:lang w:val="fr-FR"/>
              </w:rPr>
              <w:t>.</w:t>
            </w:r>
          </w:p>
        </w:tc>
        <w:tc>
          <w:tcPr>
            <w:tcW w:w="270" w:type="dxa"/>
            <w:tcBorders>
              <w:left w:val="single" w:sz="4" w:space="0" w:color="auto"/>
              <w:right w:val="single" w:sz="4" w:space="0" w:color="auto"/>
            </w:tcBorders>
          </w:tcPr>
          <w:p w:rsidR="00CF2EDD" w:rsidRPr="00E37BBE" w:rsidRDefault="00CF2EDD" w:rsidP="00641B4D">
            <w:pPr>
              <w:pStyle w:val="Heading2"/>
              <w:spacing w:line="276" w:lineRule="auto"/>
              <w:rPr>
                <w:i/>
                <w:sz w:val="24"/>
                <w:lang w:val="fr-FR"/>
              </w:rPr>
            </w:pPr>
          </w:p>
        </w:tc>
        <w:tc>
          <w:tcPr>
            <w:tcW w:w="5040" w:type="dxa"/>
            <w:vMerge w:val="restart"/>
            <w:tcBorders>
              <w:top w:val="single" w:sz="4" w:space="0" w:color="auto"/>
              <w:left w:val="single" w:sz="4" w:space="0" w:color="auto"/>
              <w:right w:val="single" w:sz="4" w:space="0" w:color="auto"/>
            </w:tcBorders>
          </w:tcPr>
          <w:p w:rsidR="00CF2EDD" w:rsidRPr="00E37BBE" w:rsidRDefault="00CF2EDD" w:rsidP="00641B4D">
            <w:pPr>
              <w:pStyle w:val="Heading2"/>
              <w:spacing w:line="276" w:lineRule="auto"/>
              <w:rPr>
                <w:i/>
                <w:sz w:val="24"/>
              </w:rPr>
            </w:pPr>
            <w:r w:rsidRPr="00E37BBE">
              <w:rPr>
                <w:i/>
                <w:sz w:val="24"/>
              </w:rPr>
              <w:t>Participating Organization(s):</w:t>
            </w:r>
            <w:r w:rsidRPr="00E37BBE">
              <w:rPr>
                <w:i/>
                <w:sz w:val="24"/>
              </w:rPr>
              <w:tab/>
            </w:r>
          </w:p>
          <w:p w:rsidR="00CF2EDD" w:rsidRPr="00E37BBE" w:rsidRDefault="00CF2EDD" w:rsidP="00641B4D">
            <w:pPr>
              <w:pStyle w:val="Heading2"/>
              <w:spacing w:line="276" w:lineRule="auto"/>
              <w:rPr>
                <w:b w:val="0"/>
                <w:bCs w:val="0"/>
                <w:i/>
                <w:sz w:val="24"/>
              </w:rPr>
            </w:pPr>
            <w:r w:rsidRPr="003C1F28">
              <w:rPr>
                <w:b w:val="0"/>
                <w:bCs w:val="0"/>
                <w:sz w:val="24"/>
              </w:rPr>
              <w:t>PNUD C</w:t>
            </w:r>
            <w:r w:rsidR="006E49C2">
              <w:rPr>
                <w:b w:val="0"/>
                <w:bCs w:val="0"/>
                <w:sz w:val="24"/>
              </w:rPr>
              <w:t>ô</w:t>
            </w:r>
            <w:r w:rsidRPr="003C1F28">
              <w:rPr>
                <w:b w:val="0"/>
                <w:bCs w:val="0"/>
                <w:sz w:val="24"/>
              </w:rPr>
              <w:t xml:space="preserve">te </w:t>
            </w:r>
            <w:smartTag w:uri="urn:schemas-microsoft-com:office:smarttags" w:element="country-region">
              <w:smartTag w:uri="urn:schemas-microsoft-com:office:smarttags" w:element="place">
                <w:r w:rsidRPr="003C1F28">
                  <w:rPr>
                    <w:b w:val="0"/>
                    <w:bCs w:val="0"/>
                    <w:sz w:val="24"/>
                  </w:rPr>
                  <w:t>d’Ivoire</w:t>
                </w:r>
              </w:smartTag>
            </w:smartTag>
          </w:p>
          <w:p w:rsidR="00CF2EDD" w:rsidRPr="00E37BBE" w:rsidRDefault="00CF2EDD" w:rsidP="00641B4D">
            <w:pPr>
              <w:spacing w:line="276" w:lineRule="auto"/>
              <w:rPr>
                <w:lang w:val="fr-FR"/>
              </w:rPr>
            </w:pPr>
            <w:r w:rsidRPr="00E37BBE">
              <w:rPr>
                <w:lang w:val="fr-FR"/>
              </w:rPr>
              <w:t>ONUCI</w:t>
            </w:r>
          </w:p>
          <w:p w:rsidR="00CF2EDD" w:rsidRPr="00E37BBE" w:rsidRDefault="00CF2EDD" w:rsidP="00406F46">
            <w:pPr>
              <w:spacing w:line="276" w:lineRule="auto"/>
              <w:rPr>
                <w:lang w:val="fr-FR"/>
              </w:rPr>
            </w:pPr>
            <w:r w:rsidRPr="001E2C85">
              <w:rPr>
                <w:lang w:val="fr-FR"/>
              </w:rPr>
              <w:t>OIM (O</w:t>
            </w:r>
            <w:r w:rsidR="00406F46" w:rsidRPr="001E2C85">
              <w:rPr>
                <w:lang w:val="fr-FR"/>
              </w:rPr>
              <w:t>rganisation Internationale pour les Migrations)</w:t>
            </w:r>
          </w:p>
          <w:p w:rsidR="00CF2EDD" w:rsidRPr="00E37BBE" w:rsidRDefault="00CF2EDD" w:rsidP="00641B4D">
            <w:pPr>
              <w:spacing w:line="276" w:lineRule="auto"/>
              <w:rPr>
                <w:lang w:val="fr-FR"/>
              </w:rPr>
            </w:pPr>
          </w:p>
        </w:tc>
      </w:tr>
      <w:tr w:rsidR="00CF2EDD" w:rsidRPr="00E37BBE">
        <w:trPr>
          <w:trHeight w:val="621"/>
        </w:trPr>
        <w:tc>
          <w:tcPr>
            <w:tcW w:w="4878" w:type="dxa"/>
            <w:vMerge/>
            <w:tcBorders>
              <w:left w:val="single" w:sz="4" w:space="0" w:color="auto"/>
              <w:bottom w:val="single" w:sz="4" w:space="0" w:color="auto"/>
              <w:right w:val="single" w:sz="4" w:space="0" w:color="auto"/>
            </w:tcBorders>
          </w:tcPr>
          <w:p w:rsidR="00CF2EDD" w:rsidRPr="00E37BBE" w:rsidRDefault="00CF2EDD" w:rsidP="00641B4D">
            <w:pPr>
              <w:pStyle w:val="BodyText"/>
              <w:spacing w:line="276" w:lineRule="auto"/>
              <w:rPr>
                <w:rFonts w:ascii="Times New Roman" w:hAnsi="Times New Roman" w:cs="Times New Roman"/>
                <w:sz w:val="24"/>
                <w:szCs w:val="24"/>
                <w:lang w:val="fr-FR"/>
              </w:rPr>
            </w:pPr>
          </w:p>
        </w:tc>
        <w:tc>
          <w:tcPr>
            <w:tcW w:w="270" w:type="dxa"/>
            <w:tcBorders>
              <w:left w:val="single" w:sz="4" w:space="0" w:color="auto"/>
              <w:right w:val="single" w:sz="4" w:space="0" w:color="auto"/>
            </w:tcBorders>
          </w:tcPr>
          <w:p w:rsidR="00CF2EDD" w:rsidRPr="00E37BBE" w:rsidRDefault="00CF2EDD" w:rsidP="00641B4D">
            <w:pPr>
              <w:pStyle w:val="BodyText"/>
              <w:spacing w:line="276" w:lineRule="auto"/>
              <w:rPr>
                <w:rFonts w:ascii="Times New Roman" w:hAnsi="Times New Roman" w:cs="Times New Roman"/>
                <w:sz w:val="24"/>
                <w:szCs w:val="24"/>
                <w:lang w:val="fr-FR"/>
              </w:rPr>
            </w:pPr>
          </w:p>
        </w:tc>
        <w:tc>
          <w:tcPr>
            <w:tcW w:w="5040" w:type="dxa"/>
            <w:vMerge/>
            <w:tcBorders>
              <w:left w:val="single" w:sz="4" w:space="0" w:color="auto"/>
              <w:bottom w:val="single" w:sz="4" w:space="0" w:color="auto"/>
              <w:right w:val="single" w:sz="4" w:space="0" w:color="auto"/>
            </w:tcBorders>
          </w:tcPr>
          <w:p w:rsidR="00CF2EDD" w:rsidRPr="00E37BBE" w:rsidRDefault="00CF2EDD" w:rsidP="00641B4D">
            <w:pPr>
              <w:pStyle w:val="BodyText"/>
              <w:spacing w:line="276" w:lineRule="auto"/>
              <w:rPr>
                <w:rFonts w:ascii="Times New Roman" w:hAnsi="Times New Roman" w:cs="Times New Roman"/>
                <w:i/>
                <w:sz w:val="24"/>
                <w:szCs w:val="24"/>
                <w:lang w:val="fr-FR"/>
              </w:rPr>
            </w:pPr>
          </w:p>
        </w:tc>
      </w:tr>
    </w:tbl>
    <w:p w:rsidR="00CF2EDD" w:rsidRPr="00E37BBE" w:rsidRDefault="00CF2EDD" w:rsidP="00641B4D">
      <w:pPr>
        <w:spacing w:line="276" w:lineRule="auto"/>
        <w:rPr>
          <w:sz w:val="22"/>
          <w:szCs w:val="22"/>
          <w:lang w:val="fr-FR"/>
        </w:rPr>
      </w:pPr>
    </w:p>
    <w:tbl>
      <w:tblPr>
        <w:tblW w:w="0" w:type="auto"/>
        <w:tblLook w:val="01E0"/>
      </w:tblPr>
      <w:tblGrid>
        <w:gridCol w:w="4850"/>
        <w:gridCol w:w="269"/>
        <w:gridCol w:w="5001"/>
      </w:tblGrid>
      <w:tr w:rsidR="00CF2EDD" w:rsidRPr="00E37BBE">
        <w:trPr>
          <w:trHeight w:val="1385"/>
        </w:trPr>
        <w:tc>
          <w:tcPr>
            <w:tcW w:w="4850" w:type="dxa"/>
            <w:tcBorders>
              <w:top w:val="single" w:sz="4" w:space="0" w:color="auto"/>
              <w:left w:val="single" w:sz="4" w:space="0" w:color="auto"/>
              <w:right w:val="single" w:sz="4" w:space="0" w:color="auto"/>
            </w:tcBorders>
          </w:tcPr>
          <w:p w:rsidR="00CF2EDD" w:rsidRPr="00E37BBE" w:rsidRDefault="00CF2EDD" w:rsidP="00641B4D">
            <w:pPr>
              <w:pStyle w:val="Heading2"/>
              <w:spacing w:line="276" w:lineRule="auto"/>
              <w:rPr>
                <w:i/>
                <w:sz w:val="24"/>
              </w:rPr>
            </w:pPr>
            <w:r w:rsidRPr="00E37BBE">
              <w:rPr>
                <w:i/>
                <w:sz w:val="24"/>
              </w:rPr>
              <w:lastRenderedPageBreak/>
              <w:t xml:space="preserve">Implementing Partners: </w:t>
            </w:r>
          </w:p>
          <w:p w:rsidR="00CF2EDD" w:rsidRPr="00E37BBE" w:rsidRDefault="00CF2EDD" w:rsidP="00641B4D">
            <w:pPr>
              <w:pStyle w:val="Heading2"/>
              <w:numPr>
                <w:ilvl w:val="0"/>
                <w:numId w:val="1"/>
              </w:numPr>
              <w:jc w:val="both"/>
              <w:rPr>
                <w:b w:val="0"/>
                <w:bCs w:val="0"/>
                <w:sz w:val="24"/>
                <w:lang w:val="fr-FR"/>
              </w:rPr>
            </w:pPr>
            <w:r w:rsidRPr="00E37BBE">
              <w:rPr>
                <w:b w:val="0"/>
                <w:bCs w:val="0"/>
                <w:sz w:val="24"/>
                <w:lang w:val="fr-FR"/>
              </w:rPr>
              <w:t>Cabinet du Premier Ministre, Gouvernement de Côte d’Ivoire ;</w:t>
            </w:r>
            <w:r w:rsidRPr="00E37BBE">
              <w:rPr>
                <w:b w:val="0"/>
                <w:bCs w:val="0"/>
                <w:i/>
                <w:sz w:val="24"/>
                <w:lang w:val="fr-FR"/>
              </w:rPr>
              <w:t xml:space="preserve"> </w:t>
            </w:r>
            <w:r w:rsidR="00C81CA8" w:rsidRPr="00E37BBE">
              <w:rPr>
                <w:b w:val="0"/>
                <w:bCs w:val="0"/>
                <w:sz w:val="24"/>
                <w:lang w:val="fr-FR"/>
              </w:rPr>
              <w:t>Programme National de Réinsertion et de Réhabilitation Communautaire (PNRRC)</w:t>
            </w:r>
            <w:r w:rsidR="00C81CA8">
              <w:rPr>
                <w:b w:val="0"/>
                <w:bCs w:val="0"/>
                <w:sz w:val="24"/>
                <w:lang w:val="fr-FR"/>
              </w:rPr>
              <w:t> ; Programme du Service Civique National </w:t>
            </w:r>
            <w:r w:rsidR="0087539E">
              <w:rPr>
                <w:b w:val="0"/>
                <w:bCs w:val="0"/>
                <w:sz w:val="24"/>
                <w:lang w:val="fr-FR"/>
              </w:rPr>
              <w:t>(PSCN)</w:t>
            </w:r>
            <w:r w:rsidR="00C81CA8">
              <w:rPr>
                <w:b w:val="0"/>
                <w:bCs w:val="0"/>
                <w:sz w:val="24"/>
                <w:lang w:val="fr-FR"/>
              </w:rPr>
              <w:t xml:space="preserve">; </w:t>
            </w:r>
            <w:r w:rsidRPr="00E37BBE">
              <w:rPr>
                <w:b w:val="0"/>
                <w:bCs w:val="0"/>
                <w:sz w:val="24"/>
                <w:lang w:val="fr-FR"/>
              </w:rPr>
              <w:t>Centre de Commandement Intégré (CCI) ; Opportunities Industrialisatio</w:t>
            </w:r>
            <w:r w:rsidR="00C81CA8">
              <w:rPr>
                <w:b w:val="0"/>
                <w:bCs w:val="0"/>
                <w:sz w:val="24"/>
                <w:lang w:val="fr-FR"/>
              </w:rPr>
              <w:t>n Center/ Section Côte d’Ivoire</w:t>
            </w:r>
            <w:r w:rsidR="003B010B">
              <w:rPr>
                <w:b w:val="0"/>
                <w:bCs w:val="0"/>
                <w:sz w:val="24"/>
                <w:lang w:val="fr-FR"/>
              </w:rPr>
              <w:t xml:space="preserve"> (OIC-CI)</w:t>
            </w:r>
            <w:r w:rsidR="00C81CA8">
              <w:rPr>
                <w:b w:val="0"/>
                <w:bCs w:val="0"/>
                <w:sz w:val="24"/>
                <w:lang w:val="fr-FR"/>
              </w:rPr>
              <w:t> ;</w:t>
            </w:r>
            <w:r w:rsidRPr="00E37BBE">
              <w:rPr>
                <w:b w:val="0"/>
                <w:bCs w:val="0"/>
                <w:sz w:val="24"/>
                <w:lang w:val="fr-FR"/>
              </w:rPr>
              <w:t xml:space="preserve"> Agence Nationale d’Appui au Dé</w:t>
            </w:r>
            <w:r w:rsidR="00C81CA8">
              <w:rPr>
                <w:b w:val="0"/>
                <w:bCs w:val="0"/>
                <w:sz w:val="24"/>
                <w:lang w:val="fr-FR"/>
              </w:rPr>
              <w:t xml:space="preserve">veloppement Rural-Zone (ANADER) ; </w:t>
            </w:r>
            <w:r w:rsidRPr="00E37BBE">
              <w:rPr>
                <w:b w:val="0"/>
                <w:bCs w:val="0"/>
                <w:sz w:val="24"/>
                <w:lang w:val="fr-FR"/>
              </w:rPr>
              <w:t>Institut des Actions Culturelles</w:t>
            </w:r>
            <w:r w:rsidR="00C81CA8">
              <w:rPr>
                <w:b w:val="0"/>
                <w:bCs w:val="0"/>
                <w:sz w:val="24"/>
                <w:lang w:val="fr-FR"/>
              </w:rPr>
              <w:t xml:space="preserve"> de Côte d’Ivoire (ICA-CI), </w:t>
            </w:r>
            <w:r w:rsidRPr="00E37BBE">
              <w:rPr>
                <w:b w:val="0"/>
                <w:bCs w:val="0"/>
                <w:sz w:val="24"/>
                <w:lang w:val="fr-FR"/>
              </w:rPr>
              <w:t>Cabinet NASSAIB à Bouaké; Coopérative Worodougouka (CWS</w:t>
            </w:r>
            <w:r w:rsidRPr="00E37BBE">
              <w:rPr>
                <w:b w:val="0"/>
                <w:bCs w:val="0"/>
                <w:lang w:val="fr-FR"/>
              </w:rPr>
              <w:t>)</w:t>
            </w:r>
            <w:r w:rsidR="00C81CA8">
              <w:rPr>
                <w:b w:val="0"/>
                <w:bCs w:val="0"/>
                <w:lang w:val="fr-FR"/>
              </w:rPr>
              <w:t> ;</w:t>
            </w:r>
            <w:r w:rsidRPr="00E37BBE">
              <w:rPr>
                <w:lang w:val="fr-FR"/>
              </w:rPr>
              <w:t xml:space="preserve"> </w:t>
            </w:r>
            <w:r w:rsidRPr="00E37BBE">
              <w:rPr>
                <w:b w:val="0"/>
                <w:bCs w:val="0"/>
                <w:sz w:val="24"/>
                <w:lang w:val="fr-FR"/>
              </w:rPr>
              <w:t>l’Association pour le Développement et la Renaissa</w:t>
            </w:r>
            <w:r w:rsidR="00C81CA8">
              <w:rPr>
                <w:b w:val="0"/>
                <w:bCs w:val="0"/>
                <w:sz w:val="24"/>
                <w:lang w:val="fr-FR"/>
              </w:rPr>
              <w:t>nce (ADR) ;</w:t>
            </w:r>
            <w:r w:rsidRPr="00E37BBE">
              <w:rPr>
                <w:b w:val="0"/>
                <w:bCs w:val="0"/>
                <w:sz w:val="24"/>
                <w:lang w:val="fr-FR"/>
              </w:rPr>
              <w:t xml:space="preserve"> Cabinet KS Consultant</w:t>
            </w:r>
            <w:r w:rsidR="00C81CA8">
              <w:rPr>
                <w:b w:val="0"/>
                <w:bCs w:val="0"/>
                <w:sz w:val="24"/>
                <w:lang w:val="fr-FR"/>
              </w:rPr>
              <w:t> </w:t>
            </w:r>
            <w:r w:rsidR="003B010B">
              <w:rPr>
                <w:b w:val="0"/>
                <w:bCs w:val="0"/>
                <w:sz w:val="24"/>
                <w:lang w:val="fr-FR"/>
              </w:rPr>
              <w:t>(CKSC)</w:t>
            </w:r>
            <w:r w:rsidR="00C81CA8">
              <w:rPr>
                <w:b w:val="0"/>
                <w:bCs w:val="0"/>
                <w:sz w:val="24"/>
                <w:lang w:val="fr-FR"/>
              </w:rPr>
              <w:t>;</w:t>
            </w:r>
            <w:r w:rsidRPr="00E37BBE">
              <w:rPr>
                <w:b w:val="0"/>
                <w:bCs w:val="0"/>
                <w:sz w:val="24"/>
                <w:lang w:val="fr-FR"/>
              </w:rPr>
              <w:t xml:space="preserve"> Afrique Secours et Assistance (ASA), et CALAO ESPOIR; Agence Nationale de la Formation Professionnelle (AGEFOP), la Coopérative de </w:t>
            </w:r>
            <w:r w:rsidR="00C81CA8">
              <w:rPr>
                <w:b w:val="0"/>
                <w:bCs w:val="0"/>
                <w:sz w:val="24"/>
                <w:lang w:val="fr-FR"/>
              </w:rPr>
              <w:t xml:space="preserve">Vivriers de Daloa (COCOVIDA) ; </w:t>
            </w:r>
            <w:r w:rsidRPr="00E37BBE">
              <w:rPr>
                <w:b w:val="0"/>
                <w:bCs w:val="0"/>
                <w:sz w:val="24"/>
                <w:lang w:val="fr-FR"/>
              </w:rPr>
              <w:t>Office de Commercialisati</w:t>
            </w:r>
            <w:r w:rsidR="00C81CA8">
              <w:rPr>
                <w:b w:val="0"/>
                <w:bCs w:val="0"/>
                <w:sz w:val="24"/>
                <w:lang w:val="fr-FR"/>
              </w:rPr>
              <w:t>on des Produits Vivriers (OCPV) ;</w:t>
            </w:r>
            <w:r w:rsidRPr="00E37BBE">
              <w:rPr>
                <w:b w:val="0"/>
                <w:bCs w:val="0"/>
                <w:sz w:val="24"/>
                <w:lang w:val="fr-FR"/>
              </w:rPr>
              <w:t xml:space="preserve"> Société de Commerce en Agriculture </w:t>
            </w:r>
            <w:r w:rsidR="00C81CA8">
              <w:rPr>
                <w:b w:val="0"/>
                <w:bCs w:val="0"/>
                <w:sz w:val="24"/>
                <w:lang w:val="fr-FR"/>
              </w:rPr>
              <w:t>et Marchandises diverses (SCAM) ;</w:t>
            </w:r>
            <w:r w:rsidRPr="00E37BBE">
              <w:rPr>
                <w:b w:val="0"/>
                <w:bCs w:val="0"/>
                <w:sz w:val="24"/>
                <w:lang w:val="fr-FR"/>
              </w:rPr>
              <w:t xml:space="preserve"> Internat</w:t>
            </w:r>
            <w:r w:rsidR="00C81CA8">
              <w:rPr>
                <w:b w:val="0"/>
                <w:bCs w:val="0"/>
                <w:sz w:val="24"/>
                <w:lang w:val="fr-FR"/>
              </w:rPr>
              <w:t xml:space="preserve">ional Friendship Services (IFS) ; ONG AGIR ; AGRI-AMENAGISTE ; </w:t>
            </w:r>
            <w:r w:rsidRPr="00E37BBE">
              <w:rPr>
                <w:b w:val="0"/>
                <w:bCs w:val="0"/>
                <w:sz w:val="24"/>
                <w:lang w:val="fr-FR"/>
              </w:rPr>
              <w:t>Organisation Communautaire pour l’Appui au Développement en Côte d’Ivoire (OCAD-CI)</w:t>
            </w:r>
          </w:p>
          <w:p w:rsidR="00CF2EDD" w:rsidRPr="00E37BBE" w:rsidRDefault="00CF2EDD" w:rsidP="00641B4D">
            <w:pPr>
              <w:pStyle w:val="BodyText"/>
              <w:numPr>
                <w:ilvl w:val="0"/>
                <w:numId w:val="1"/>
              </w:numPr>
              <w:tabs>
                <w:tab w:val="clear" w:pos="360"/>
              </w:tabs>
              <w:jc w:val="both"/>
              <w:rPr>
                <w:rFonts w:ascii="Times New Roman" w:hAnsi="Times New Roman" w:cs="Times New Roman"/>
              </w:rPr>
            </w:pPr>
            <w:r w:rsidRPr="00E37BBE">
              <w:rPr>
                <w:rFonts w:ascii="Times New Roman" w:hAnsi="Times New Roman" w:cs="Times New Roman"/>
                <w:i/>
                <w:sz w:val="24"/>
                <w:lang w:val="fr-FR"/>
              </w:rPr>
              <w:t>OI</w:t>
            </w:r>
            <w:r w:rsidR="002B7B8F" w:rsidRPr="00E37BBE">
              <w:rPr>
                <w:rFonts w:ascii="Times New Roman" w:hAnsi="Times New Roman" w:cs="Times New Roman"/>
                <w:i/>
                <w:sz w:val="24"/>
                <w:lang w:val="fr-FR"/>
              </w:rPr>
              <w:t>M</w:t>
            </w:r>
          </w:p>
        </w:tc>
        <w:tc>
          <w:tcPr>
            <w:tcW w:w="269" w:type="dxa"/>
            <w:tcBorders>
              <w:left w:val="single" w:sz="4" w:space="0" w:color="auto"/>
              <w:right w:val="single" w:sz="4" w:space="0" w:color="auto"/>
            </w:tcBorders>
          </w:tcPr>
          <w:p w:rsidR="00CF2EDD" w:rsidRPr="00E37BBE" w:rsidRDefault="00CF2EDD" w:rsidP="00641B4D">
            <w:pPr>
              <w:pStyle w:val="Heading2"/>
              <w:spacing w:line="276" w:lineRule="auto"/>
              <w:rPr>
                <w:sz w:val="24"/>
              </w:rPr>
            </w:pPr>
          </w:p>
        </w:tc>
        <w:tc>
          <w:tcPr>
            <w:tcW w:w="5001" w:type="dxa"/>
            <w:tcBorders>
              <w:top w:val="single" w:sz="4" w:space="0" w:color="auto"/>
              <w:left w:val="single" w:sz="4" w:space="0" w:color="auto"/>
              <w:bottom w:val="single" w:sz="4" w:space="0" w:color="auto"/>
              <w:right w:val="single" w:sz="4" w:space="0" w:color="auto"/>
            </w:tcBorders>
          </w:tcPr>
          <w:p w:rsidR="00CF2EDD" w:rsidRPr="00E37BBE" w:rsidRDefault="00CF2EDD" w:rsidP="00641B4D">
            <w:pPr>
              <w:pStyle w:val="Heading2"/>
              <w:spacing w:line="276" w:lineRule="auto"/>
              <w:rPr>
                <w:i/>
                <w:sz w:val="24"/>
              </w:rPr>
            </w:pPr>
            <w:r w:rsidRPr="00E37BBE">
              <w:rPr>
                <w:i/>
                <w:sz w:val="24"/>
              </w:rPr>
              <w:t>Programme Budget (from the Fund):</w:t>
            </w:r>
          </w:p>
          <w:p w:rsidR="00CF2EDD" w:rsidRPr="00E37BBE" w:rsidRDefault="00CF2EDD" w:rsidP="00641B4D">
            <w:pPr>
              <w:spacing w:line="276" w:lineRule="auto"/>
              <w:rPr>
                <w:i/>
              </w:rPr>
            </w:pPr>
            <w:r w:rsidRPr="00E37BBE">
              <w:rPr>
                <w:i/>
              </w:rPr>
              <w:t>For Joint Programme provide breakdown by UN Organization</w:t>
            </w:r>
          </w:p>
          <w:p w:rsidR="00CF2EDD" w:rsidRPr="00E37BBE" w:rsidRDefault="00CF2EDD" w:rsidP="00641B4D">
            <w:pPr>
              <w:spacing w:line="276" w:lineRule="auto"/>
              <w:rPr>
                <w:lang w:val="fr-FR"/>
              </w:rPr>
            </w:pPr>
            <w:r w:rsidRPr="00E37BBE">
              <w:rPr>
                <w:lang w:val="fr-FR"/>
              </w:rPr>
              <w:t>UN Org A:</w:t>
            </w:r>
          </w:p>
          <w:p w:rsidR="005E010F" w:rsidRPr="00E37BBE" w:rsidRDefault="00CF2EDD" w:rsidP="00641B4D">
            <w:pPr>
              <w:spacing w:line="276" w:lineRule="auto"/>
              <w:rPr>
                <w:lang w:val="fr-FR"/>
              </w:rPr>
            </w:pPr>
            <w:r w:rsidRPr="00E37BBE">
              <w:rPr>
                <w:lang w:val="fr-FR"/>
              </w:rPr>
              <w:t>UN Org B:</w:t>
            </w: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5E010F" w:rsidRPr="00E37BBE" w:rsidRDefault="005E010F" w:rsidP="00641B4D">
            <w:pPr>
              <w:spacing w:line="276" w:lineRule="auto"/>
              <w:rPr>
                <w:lang w:val="fr-FR"/>
              </w:rPr>
            </w:pPr>
          </w:p>
          <w:p w:rsidR="00CF2EDD" w:rsidRPr="00E37BBE" w:rsidRDefault="00CF2EDD" w:rsidP="00641B4D">
            <w:pPr>
              <w:spacing w:line="276" w:lineRule="auto"/>
              <w:rPr>
                <w:lang w:val="fr-FR"/>
              </w:rPr>
            </w:pPr>
          </w:p>
        </w:tc>
      </w:tr>
      <w:tr w:rsidR="00CF2EDD" w:rsidRPr="00E37BBE">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CF2EDD" w:rsidRPr="003C1F28" w:rsidRDefault="00CF2EDD" w:rsidP="00641B4D">
            <w:pPr>
              <w:pStyle w:val="Heading2"/>
              <w:spacing w:line="276" w:lineRule="auto"/>
              <w:rPr>
                <w:i/>
                <w:sz w:val="24"/>
                <w:lang w:val="fr-FR"/>
              </w:rPr>
            </w:pPr>
            <w:r w:rsidRPr="003C1F28">
              <w:rPr>
                <w:i/>
                <w:sz w:val="24"/>
                <w:lang w:val="fr-FR"/>
              </w:rPr>
              <w:t>Programme Duration (in months):</w:t>
            </w:r>
          </w:p>
          <w:p w:rsidR="00AC4528" w:rsidRPr="00E37BBE" w:rsidRDefault="00AC4528" w:rsidP="00641B4D">
            <w:pPr>
              <w:pStyle w:val="BodyText"/>
              <w:spacing w:line="276" w:lineRule="auto"/>
              <w:rPr>
                <w:rFonts w:ascii="Times New Roman" w:hAnsi="Times New Roman" w:cs="Times New Roman"/>
                <w:sz w:val="24"/>
                <w:u w:val="single"/>
                <w:lang w:val="fr-FR"/>
              </w:rPr>
            </w:pPr>
            <w:r w:rsidRPr="00E37BBE">
              <w:rPr>
                <w:rFonts w:ascii="Times New Roman" w:hAnsi="Times New Roman" w:cs="Times New Roman"/>
                <w:sz w:val="24"/>
                <w:u w:val="single"/>
                <w:lang w:val="fr-FR"/>
              </w:rPr>
              <w:t>Date de début</w:t>
            </w:r>
            <w:r w:rsidRPr="00E37BBE">
              <w:rPr>
                <w:rStyle w:val="FootnoteReference"/>
                <w:rFonts w:ascii="Times New Roman" w:hAnsi="Times New Roman" w:cs="Times New Roman"/>
                <w:sz w:val="24"/>
                <w:u w:val="single"/>
              </w:rPr>
              <w:footnoteReference w:id="3"/>
            </w:r>
            <w:r w:rsidRPr="00E37BBE">
              <w:rPr>
                <w:rFonts w:ascii="Times New Roman" w:hAnsi="Times New Roman" w:cs="Times New Roman"/>
                <w:sz w:val="24"/>
                <w:lang w:val="fr-FR"/>
              </w:rPr>
              <w:t>: 28 Août 2008</w:t>
            </w:r>
          </w:p>
          <w:p w:rsidR="00AC4528" w:rsidRPr="00E37BBE" w:rsidRDefault="00AC4528" w:rsidP="00641B4D">
            <w:pPr>
              <w:pStyle w:val="BodyText"/>
              <w:spacing w:line="276" w:lineRule="auto"/>
              <w:rPr>
                <w:rFonts w:ascii="Times New Roman" w:hAnsi="Times New Roman" w:cs="Times New Roman"/>
                <w:sz w:val="24"/>
                <w:u w:val="single"/>
                <w:lang w:val="fr-FR"/>
              </w:rPr>
            </w:pPr>
            <w:r w:rsidRPr="00E37BBE">
              <w:rPr>
                <w:rFonts w:ascii="Times New Roman" w:hAnsi="Times New Roman" w:cs="Times New Roman"/>
                <w:sz w:val="24"/>
                <w:u w:val="single"/>
                <w:lang w:val="fr-FR"/>
              </w:rPr>
              <w:t>Date de fin</w:t>
            </w:r>
            <w:r w:rsidRPr="00E37BBE">
              <w:rPr>
                <w:rFonts w:ascii="Times New Roman" w:hAnsi="Times New Roman" w:cs="Times New Roman"/>
                <w:sz w:val="24"/>
                <w:lang w:val="fr-FR"/>
              </w:rPr>
              <w:t>: 30  Septembre 2009</w:t>
            </w:r>
          </w:p>
          <w:p w:rsidR="00AC4528" w:rsidRPr="00E37BBE" w:rsidRDefault="00AC4528" w:rsidP="00641B4D">
            <w:pPr>
              <w:pStyle w:val="BodyText"/>
              <w:numPr>
                <w:ilvl w:val="0"/>
                <w:numId w:val="2"/>
              </w:numPr>
              <w:spacing w:line="276" w:lineRule="auto"/>
              <w:ind w:left="252" w:hanging="252"/>
              <w:rPr>
                <w:rFonts w:ascii="Times New Roman" w:hAnsi="Times New Roman" w:cs="Times New Roman"/>
                <w:i/>
                <w:sz w:val="24"/>
                <w:lang w:val="en-GB"/>
              </w:rPr>
            </w:pPr>
            <w:r w:rsidRPr="00E37BBE">
              <w:rPr>
                <w:rFonts w:ascii="Times New Roman" w:hAnsi="Times New Roman" w:cs="Times New Roman"/>
                <w:i/>
                <w:sz w:val="24"/>
                <w:lang w:val="en-GB"/>
              </w:rPr>
              <w:t xml:space="preserve">Original end date: 30 </w:t>
            </w:r>
            <w:r w:rsidRPr="00E37BBE">
              <w:rPr>
                <w:rFonts w:ascii="Times New Roman" w:hAnsi="Times New Roman" w:cs="Times New Roman"/>
                <w:i/>
                <w:sz w:val="24"/>
                <w:lang w:val="fr-FR"/>
              </w:rPr>
              <w:t>Septembre</w:t>
            </w:r>
            <w:r w:rsidRPr="00E37BBE">
              <w:rPr>
                <w:rFonts w:ascii="Times New Roman" w:hAnsi="Times New Roman" w:cs="Times New Roman"/>
                <w:i/>
                <w:sz w:val="24"/>
                <w:lang w:val="en-GB"/>
              </w:rPr>
              <w:t xml:space="preserve"> 2009</w:t>
            </w:r>
          </w:p>
          <w:p w:rsidR="00AC4528" w:rsidRPr="00E37BBE" w:rsidRDefault="00AC4528" w:rsidP="00641B4D">
            <w:pPr>
              <w:pStyle w:val="BodyText"/>
              <w:numPr>
                <w:ilvl w:val="0"/>
                <w:numId w:val="2"/>
              </w:numPr>
              <w:spacing w:line="276" w:lineRule="auto"/>
              <w:ind w:left="252" w:hanging="252"/>
              <w:rPr>
                <w:rFonts w:ascii="Times New Roman" w:hAnsi="Times New Roman" w:cs="Times New Roman"/>
                <w:i/>
                <w:sz w:val="24"/>
              </w:rPr>
            </w:pPr>
            <w:r w:rsidRPr="00E37BBE">
              <w:rPr>
                <w:rFonts w:ascii="Times New Roman" w:hAnsi="Times New Roman" w:cs="Times New Roman"/>
                <w:i/>
                <w:sz w:val="24"/>
              </w:rPr>
              <w:t>Revised end date, if applicable: 31 Décembre 2009</w:t>
            </w:r>
          </w:p>
          <w:p w:rsidR="00AC4528" w:rsidRPr="00E37BBE" w:rsidRDefault="00AC4528" w:rsidP="00641B4D">
            <w:pPr>
              <w:pStyle w:val="BodyText"/>
              <w:numPr>
                <w:ilvl w:val="0"/>
                <w:numId w:val="2"/>
              </w:numPr>
              <w:spacing w:line="276" w:lineRule="auto"/>
              <w:ind w:left="252" w:hanging="252"/>
              <w:rPr>
                <w:rFonts w:ascii="Times New Roman" w:hAnsi="Times New Roman" w:cs="Times New Roman"/>
                <w:i/>
                <w:sz w:val="24"/>
              </w:rPr>
            </w:pPr>
            <w:r w:rsidRPr="00E37BBE">
              <w:rPr>
                <w:rFonts w:ascii="Times New Roman" w:hAnsi="Times New Roman" w:cs="Times New Roman"/>
                <w:i/>
                <w:sz w:val="24"/>
              </w:rPr>
              <w:t>Operational Closure Dat</w:t>
            </w:r>
            <w:r w:rsidR="005E010F" w:rsidRPr="00E37BBE">
              <w:rPr>
                <w:rFonts w:ascii="Times New Roman" w:hAnsi="Times New Roman" w:cs="Times New Roman"/>
                <w:i/>
                <w:sz w:val="24"/>
              </w:rPr>
              <w:t>e</w:t>
            </w:r>
            <w:r w:rsidR="005E010F" w:rsidRPr="00E37BBE">
              <w:rPr>
                <w:rStyle w:val="FootnoteReference"/>
                <w:rFonts w:ascii="Times New Roman" w:hAnsi="Times New Roman" w:cs="Times New Roman"/>
                <w:i/>
                <w:sz w:val="24"/>
                <w:lang w:val="fr-FR"/>
              </w:rPr>
              <w:footnoteReference w:id="4"/>
            </w:r>
            <w:r w:rsidRPr="00E37BBE">
              <w:rPr>
                <w:rFonts w:ascii="Times New Roman" w:hAnsi="Times New Roman" w:cs="Times New Roman"/>
                <w:i/>
                <w:sz w:val="24"/>
              </w:rPr>
              <w:t>,</w:t>
            </w:r>
            <w:r w:rsidR="005E010F" w:rsidRPr="00E37BBE">
              <w:rPr>
                <w:rFonts w:ascii="Times New Roman" w:hAnsi="Times New Roman" w:cs="Times New Roman"/>
                <w:i/>
                <w:sz w:val="24"/>
              </w:rPr>
              <w:t xml:space="preserve"> if applicable:</w:t>
            </w:r>
          </w:p>
          <w:p w:rsidR="00CF2EDD" w:rsidRPr="00E37BBE" w:rsidRDefault="00CF2EDD" w:rsidP="00641B4D">
            <w:pPr>
              <w:pStyle w:val="BodyText"/>
              <w:spacing w:line="276" w:lineRule="auto"/>
              <w:rPr>
                <w:rFonts w:ascii="Times New Roman" w:hAnsi="Times New Roman" w:cs="Times New Roman"/>
                <w:sz w:val="24"/>
                <w:u w:val="single"/>
              </w:rPr>
            </w:pPr>
            <w:r w:rsidRPr="00E37BBE">
              <w:rPr>
                <w:rFonts w:ascii="Times New Roman" w:hAnsi="Times New Roman" w:cs="Times New Roman"/>
                <w:sz w:val="24"/>
                <w:u w:val="single"/>
              </w:rPr>
              <w:t>Budget Revisions/Extensions:</w:t>
            </w:r>
          </w:p>
          <w:p w:rsidR="00CF2EDD" w:rsidRPr="00E37BBE" w:rsidRDefault="00CF2EDD" w:rsidP="00641B4D">
            <w:pPr>
              <w:pStyle w:val="Heading2"/>
              <w:spacing w:line="276" w:lineRule="auto"/>
              <w:rPr>
                <w:b w:val="0"/>
                <w:sz w:val="24"/>
              </w:rPr>
            </w:pPr>
            <w:r w:rsidRPr="00E37BBE">
              <w:rPr>
                <w:b w:val="0"/>
                <w:i/>
                <w:sz w:val="24"/>
              </w:rPr>
              <w:t>List budget revisions and extensions, with approval dates, if applicable</w:t>
            </w:r>
            <w:r w:rsidRPr="00E37BBE">
              <w:rPr>
                <w:b w:val="0"/>
                <w:i/>
                <w:color w:val="0000FF"/>
                <w:sz w:val="24"/>
              </w:rPr>
              <w:t xml:space="preserve"> </w:t>
            </w:r>
          </w:p>
        </w:tc>
      </w:tr>
    </w:tbl>
    <w:p w:rsidR="00AB1AE2" w:rsidRPr="00E37BBE" w:rsidRDefault="00CF2EDD" w:rsidP="00641B4D">
      <w:pPr>
        <w:numPr>
          <w:ilvl w:val="0"/>
          <w:numId w:val="4"/>
        </w:numPr>
        <w:spacing w:line="276" w:lineRule="auto"/>
        <w:rPr>
          <w:b/>
          <w:lang w:val="fr-FR"/>
        </w:rPr>
      </w:pPr>
      <w:r w:rsidRPr="00E37BBE">
        <w:br w:type="page"/>
      </w:r>
      <w:r w:rsidR="003B010B">
        <w:rPr>
          <w:b/>
          <w:lang w:val="fr-FR"/>
        </w:rPr>
        <w:lastRenderedPageBreak/>
        <w:t>Objectif</w:t>
      </w:r>
    </w:p>
    <w:p w:rsidR="00AB1AE2" w:rsidRPr="00E37BBE" w:rsidRDefault="00AB1AE2" w:rsidP="00641B4D">
      <w:pPr>
        <w:spacing w:line="276" w:lineRule="auto"/>
        <w:rPr>
          <w:lang w:val="fr-FR"/>
        </w:rPr>
      </w:pPr>
    </w:p>
    <w:p w:rsidR="00284B67" w:rsidRPr="002722B8" w:rsidRDefault="00284B67" w:rsidP="00284B67">
      <w:pPr>
        <w:pStyle w:val="BodyText"/>
        <w:spacing w:after="240" w:line="276" w:lineRule="auto"/>
        <w:jc w:val="both"/>
        <w:rPr>
          <w:rFonts w:ascii="Times New Roman" w:hAnsi="Times New Roman" w:cs="Times New Roman"/>
          <w:sz w:val="24"/>
          <w:lang w:val="fr-FR"/>
        </w:rPr>
      </w:pPr>
      <w:r w:rsidRPr="00E37BBE">
        <w:rPr>
          <w:rFonts w:ascii="Times New Roman" w:hAnsi="Times New Roman" w:cs="Times New Roman"/>
          <w:sz w:val="24"/>
          <w:lang w:val="fr-FR"/>
        </w:rPr>
        <w:t xml:space="preserve">Les 1000 </w:t>
      </w:r>
      <w:r w:rsidRPr="002722B8">
        <w:rPr>
          <w:rFonts w:ascii="Times New Roman" w:hAnsi="Times New Roman" w:cs="Times New Roman"/>
          <w:sz w:val="24"/>
          <w:lang w:val="fr-FR"/>
        </w:rPr>
        <w:t>microprojets pour la réinsertion des ex-combattants, ex-membres des groupes d’auto-défense et jeunes à risque en Côte d’Ivoire est un</w:t>
      </w:r>
      <w:r w:rsidR="001F53AC" w:rsidRPr="002722B8">
        <w:rPr>
          <w:rFonts w:ascii="Times New Roman" w:hAnsi="Times New Roman" w:cs="Times New Roman"/>
          <w:sz w:val="24"/>
          <w:lang w:val="fr-FR"/>
        </w:rPr>
        <w:t xml:space="preserve">e initiative </w:t>
      </w:r>
      <w:r w:rsidRPr="002722B8">
        <w:rPr>
          <w:rFonts w:ascii="Times New Roman" w:hAnsi="Times New Roman" w:cs="Times New Roman"/>
          <w:sz w:val="24"/>
          <w:lang w:val="fr-FR"/>
        </w:rPr>
        <w:t>conjoint</w:t>
      </w:r>
      <w:r w:rsidR="001F53AC" w:rsidRPr="002722B8">
        <w:rPr>
          <w:rFonts w:ascii="Times New Roman" w:hAnsi="Times New Roman" w:cs="Times New Roman"/>
          <w:sz w:val="24"/>
          <w:lang w:val="fr-FR"/>
        </w:rPr>
        <w:t>e de l’ONUCI et du PNUD en appui au processus de r</w:t>
      </w:r>
      <w:r w:rsidR="008E7B23" w:rsidRPr="002722B8">
        <w:rPr>
          <w:rFonts w:ascii="Times New Roman" w:hAnsi="Times New Roman" w:cs="Times New Roman"/>
          <w:sz w:val="24"/>
          <w:lang w:val="fr-FR"/>
        </w:rPr>
        <w:t>é</w:t>
      </w:r>
      <w:r w:rsidR="001F53AC" w:rsidRPr="002722B8">
        <w:rPr>
          <w:rFonts w:ascii="Times New Roman" w:hAnsi="Times New Roman" w:cs="Times New Roman"/>
          <w:sz w:val="24"/>
          <w:lang w:val="fr-FR"/>
        </w:rPr>
        <w:t>insertion en Côte d’Ivoire.</w:t>
      </w:r>
      <w:r w:rsidRPr="002722B8">
        <w:rPr>
          <w:rFonts w:ascii="Times New Roman" w:hAnsi="Times New Roman" w:cs="Times New Roman"/>
          <w:sz w:val="24"/>
          <w:lang w:val="fr-FR"/>
        </w:rPr>
        <w:t xml:space="preserve"> </w:t>
      </w:r>
    </w:p>
    <w:p w:rsidR="00284B67" w:rsidRPr="002722B8" w:rsidRDefault="001F53AC" w:rsidP="00284B67">
      <w:pPr>
        <w:pStyle w:val="BodyText"/>
        <w:spacing w:after="240" w:line="276" w:lineRule="auto"/>
        <w:jc w:val="both"/>
        <w:rPr>
          <w:rFonts w:ascii="Times New Roman" w:hAnsi="Times New Roman" w:cs="Times New Roman"/>
          <w:sz w:val="24"/>
          <w:lang w:val="fr-FR"/>
        </w:rPr>
      </w:pPr>
      <w:r w:rsidRPr="002722B8">
        <w:rPr>
          <w:rFonts w:ascii="Times New Roman" w:hAnsi="Times New Roman" w:cs="Times New Roman"/>
          <w:sz w:val="24"/>
          <w:lang w:val="fr-FR"/>
        </w:rPr>
        <w:t>Ce pr</w:t>
      </w:r>
      <w:r w:rsidR="00B05974" w:rsidRPr="002722B8">
        <w:rPr>
          <w:rFonts w:ascii="Times New Roman" w:hAnsi="Times New Roman" w:cs="Times New Roman"/>
          <w:sz w:val="24"/>
          <w:lang w:val="fr-FR"/>
        </w:rPr>
        <w:t>o</w:t>
      </w:r>
      <w:r w:rsidRPr="002722B8">
        <w:rPr>
          <w:rFonts w:ascii="Times New Roman" w:hAnsi="Times New Roman" w:cs="Times New Roman"/>
          <w:sz w:val="24"/>
          <w:lang w:val="fr-FR"/>
        </w:rPr>
        <w:t xml:space="preserve">gramme a fait l’objet d’une convention entre le  gouvernement de la </w:t>
      </w:r>
      <w:r w:rsidR="008E7B23" w:rsidRPr="002722B8">
        <w:rPr>
          <w:rFonts w:ascii="Times New Roman" w:hAnsi="Times New Roman" w:cs="Times New Roman"/>
          <w:sz w:val="24"/>
          <w:lang w:val="fr-FR"/>
        </w:rPr>
        <w:t>Ré</w:t>
      </w:r>
      <w:r w:rsidRPr="002722B8">
        <w:rPr>
          <w:rFonts w:ascii="Times New Roman" w:hAnsi="Times New Roman" w:cs="Times New Roman"/>
          <w:sz w:val="24"/>
          <w:lang w:val="fr-FR"/>
        </w:rPr>
        <w:t>publique de C</w:t>
      </w:r>
      <w:r w:rsidR="00FE51A7" w:rsidRPr="002722B8">
        <w:rPr>
          <w:rFonts w:ascii="Times New Roman" w:hAnsi="Times New Roman" w:cs="Times New Roman"/>
          <w:sz w:val="24"/>
          <w:lang w:val="fr-FR"/>
        </w:rPr>
        <w:t>ô</w:t>
      </w:r>
      <w:r w:rsidRPr="002722B8">
        <w:rPr>
          <w:rFonts w:ascii="Times New Roman" w:hAnsi="Times New Roman" w:cs="Times New Roman"/>
          <w:sz w:val="24"/>
          <w:lang w:val="fr-FR"/>
        </w:rPr>
        <w:t>te d</w:t>
      </w:r>
      <w:r w:rsidR="008E7B23" w:rsidRPr="002722B8">
        <w:rPr>
          <w:rFonts w:ascii="Times New Roman" w:hAnsi="Times New Roman" w:cs="Times New Roman"/>
          <w:sz w:val="24"/>
          <w:lang w:val="fr-FR"/>
        </w:rPr>
        <w:t>’Ivoire et les Na</w:t>
      </w:r>
      <w:r w:rsidRPr="002722B8">
        <w:rPr>
          <w:rFonts w:ascii="Times New Roman" w:hAnsi="Times New Roman" w:cs="Times New Roman"/>
          <w:sz w:val="24"/>
          <w:lang w:val="fr-FR"/>
        </w:rPr>
        <w:t>t</w:t>
      </w:r>
      <w:r w:rsidR="008E7B23" w:rsidRPr="002722B8">
        <w:rPr>
          <w:rFonts w:ascii="Times New Roman" w:hAnsi="Times New Roman" w:cs="Times New Roman"/>
          <w:sz w:val="24"/>
          <w:lang w:val="fr-FR"/>
        </w:rPr>
        <w:t>i</w:t>
      </w:r>
      <w:r w:rsidRPr="002722B8">
        <w:rPr>
          <w:rFonts w:ascii="Times New Roman" w:hAnsi="Times New Roman" w:cs="Times New Roman"/>
          <w:sz w:val="24"/>
          <w:lang w:val="fr-FR"/>
        </w:rPr>
        <w:t>ons Unies.</w:t>
      </w:r>
      <w:r w:rsidR="00284B67" w:rsidRPr="002722B8">
        <w:rPr>
          <w:rFonts w:ascii="Times New Roman" w:hAnsi="Times New Roman" w:cs="Times New Roman"/>
          <w:sz w:val="24"/>
          <w:lang w:val="fr-FR"/>
        </w:rPr>
        <w:t xml:space="preserve"> </w:t>
      </w:r>
      <w:r w:rsidRPr="002722B8">
        <w:rPr>
          <w:rFonts w:ascii="Times New Roman" w:hAnsi="Times New Roman" w:cs="Times New Roman"/>
          <w:sz w:val="24"/>
          <w:lang w:val="fr-FR"/>
        </w:rPr>
        <w:t>I</w:t>
      </w:r>
      <w:r w:rsidR="00284B67" w:rsidRPr="002722B8">
        <w:rPr>
          <w:rFonts w:ascii="Times New Roman" w:hAnsi="Times New Roman" w:cs="Times New Roman"/>
          <w:sz w:val="24"/>
          <w:lang w:val="fr-FR"/>
        </w:rPr>
        <w:t xml:space="preserve">l a </w:t>
      </w:r>
      <w:r w:rsidR="00B05974" w:rsidRPr="002722B8">
        <w:rPr>
          <w:rFonts w:ascii="Times New Roman" w:hAnsi="Times New Roman" w:cs="Times New Roman"/>
          <w:sz w:val="24"/>
          <w:lang w:val="fr-FR"/>
        </w:rPr>
        <w:t>été lancé officiellement le 28 a</w:t>
      </w:r>
      <w:r w:rsidR="00284B67" w:rsidRPr="002722B8">
        <w:rPr>
          <w:rFonts w:ascii="Times New Roman" w:hAnsi="Times New Roman" w:cs="Times New Roman"/>
          <w:sz w:val="24"/>
          <w:lang w:val="fr-FR"/>
        </w:rPr>
        <w:t>oût 2008 dans la ville de Bouaké (centre de la C</w:t>
      </w:r>
      <w:r w:rsidRPr="002722B8">
        <w:rPr>
          <w:rFonts w:ascii="Times New Roman" w:hAnsi="Times New Roman" w:cs="Times New Roman"/>
          <w:sz w:val="24"/>
          <w:lang w:val="fr-FR"/>
        </w:rPr>
        <w:t>ô</w:t>
      </w:r>
      <w:r w:rsidR="00284B67" w:rsidRPr="002722B8">
        <w:rPr>
          <w:rFonts w:ascii="Times New Roman" w:hAnsi="Times New Roman" w:cs="Times New Roman"/>
          <w:sz w:val="24"/>
          <w:lang w:val="fr-FR"/>
        </w:rPr>
        <w:t>te d’Ivoire, sous contrôle des Forces nouvelles)</w:t>
      </w:r>
      <w:r w:rsidRPr="002722B8">
        <w:rPr>
          <w:rFonts w:ascii="Times New Roman" w:hAnsi="Times New Roman" w:cs="Times New Roman"/>
          <w:sz w:val="24"/>
          <w:lang w:val="fr-FR"/>
        </w:rPr>
        <w:t>,</w:t>
      </w:r>
      <w:r w:rsidR="00284B67" w:rsidRPr="002722B8">
        <w:rPr>
          <w:rFonts w:ascii="Times New Roman" w:hAnsi="Times New Roman" w:cs="Times New Roman"/>
          <w:sz w:val="24"/>
          <w:lang w:val="fr-FR"/>
        </w:rPr>
        <w:t xml:space="preserve"> en présence des autorités nationales et des partenaires du système des Nations Unies. L'objectif principal des ‘1000 Microprojets’ est de contribuer au renforcement de la paix et de la sécurité par la mise à disposition d’options de réinsertion socio-économiques viables aux ex-combattants, ex-membres de milices ou groupes d’auto-défense, jeunes associés aux conflits armés et jeunes à risque. </w:t>
      </w:r>
    </w:p>
    <w:p w:rsidR="00284B67" w:rsidRPr="002722B8" w:rsidRDefault="00284B67" w:rsidP="00284B67">
      <w:pPr>
        <w:pStyle w:val="BodyText"/>
        <w:spacing w:after="240" w:line="276" w:lineRule="auto"/>
        <w:jc w:val="both"/>
        <w:rPr>
          <w:rFonts w:ascii="Times New Roman" w:hAnsi="Times New Roman" w:cs="Times New Roman"/>
          <w:sz w:val="24"/>
          <w:szCs w:val="24"/>
          <w:lang w:val="fr-FR"/>
        </w:rPr>
      </w:pPr>
      <w:r w:rsidRPr="002722B8">
        <w:rPr>
          <w:rFonts w:ascii="Times New Roman" w:hAnsi="Times New Roman" w:cs="Times New Roman"/>
          <w:sz w:val="24"/>
          <w:lang w:val="fr-FR"/>
        </w:rPr>
        <w:t>Le principal résultat escompté par ce projet était la réinsertion de 5000</w:t>
      </w:r>
      <w:r w:rsidR="002208ED" w:rsidRPr="002722B8">
        <w:rPr>
          <w:rFonts w:ascii="Times New Roman" w:hAnsi="Times New Roman" w:cs="Times New Roman"/>
          <w:sz w:val="24"/>
          <w:lang w:val="fr-FR"/>
        </w:rPr>
        <w:t> </w:t>
      </w:r>
      <w:r w:rsidRPr="002722B8">
        <w:rPr>
          <w:rFonts w:ascii="Times New Roman" w:hAnsi="Times New Roman" w:cs="Times New Roman"/>
          <w:sz w:val="24"/>
          <w:lang w:val="fr-FR"/>
        </w:rPr>
        <w:t xml:space="preserve"> bénéficiaires directs sur une période d’une année en </w:t>
      </w:r>
      <w:r w:rsidR="001F53AC" w:rsidRPr="002722B8">
        <w:rPr>
          <w:rFonts w:ascii="Times New Roman" w:hAnsi="Times New Roman" w:cs="Times New Roman"/>
          <w:sz w:val="24"/>
          <w:lang w:val="fr-FR"/>
        </w:rPr>
        <w:t xml:space="preserve">vue de </w:t>
      </w:r>
      <w:r w:rsidRPr="002722B8">
        <w:rPr>
          <w:rFonts w:ascii="Times New Roman" w:hAnsi="Times New Roman" w:cs="Times New Roman"/>
          <w:sz w:val="24"/>
          <w:lang w:val="fr-FR"/>
        </w:rPr>
        <w:t>contribu</w:t>
      </w:r>
      <w:r w:rsidR="001F53AC" w:rsidRPr="002722B8">
        <w:rPr>
          <w:rFonts w:ascii="Times New Roman" w:hAnsi="Times New Roman" w:cs="Times New Roman"/>
          <w:sz w:val="24"/>
          <w:lang w:val="fr-FR"/>
        </w:rPr>
        <w:t xml:space="preserve">er </w:t>
      </w:r>
      <w:r w:rsidR="002208ED" w:rsidRPr="002722B8">
        <w:rPr>
          <w:rFonts w:ascii="Times New Roman" w:hAnsi="Times New Roman" w:cs="Times New Roman"/>
          <w:sz w:val="24"/>
          <w:lang w:val="fr-FR"/>
        </w:rPr>
        <w:t xml:space="preserve">dans un contexte pré-életoral à l’instauration et </w:t>
      </w:r>
      <w:r w:rsidR="001F53AC" w:rsidRPr="002722B8">
        <w:rPr>
          <w:rFonts w:ascii="Times New Roman" w:hAnsi="Times New Roman" w:cs="Times New Roman"/>
          <w:sz w:val="24"/>
          <w:lang w:val="fr-FR"/>
        </w:rPr>
        <w:t xml:space="preserve">au maintien d’un </w:t>
      </w:r>
      <w:r w:rsidR="002208ED" w:rsidRPr="002722B8">
        <w:rPr>
          <w:rFonts w:ascii="Times New Roman" w:hAnsi="Times New Roman" w:cs="Times New Roman"/>
          <w:sz w:val="24"/>
          <w:lang w:val="fr-FR"/>
        </w:rPr>
        <w:t>clinat apaisé propice à bon deroulement des échéances électorales.  Cette nécessité tenait compte notamment de la résurgence des tensions liées à l’abscence d’opportunités de réinsertion pour les ex-combattants et ex-miliciens démobilisés.</w:t>
      </w:r>
      <w:r w:rsidRPr="002722B8">
        <w:rPr>
          <w:rFonts w:ascii="Times New Roman" w:hAnsi="Times New Roman" w:cs="Times New Roman"/>
          <w:sz w:val="24"/>
          <w:lang w:val="fr-FR"/>
        </w:rPr>
        <w:t>.</w:t>
      </w:r>
    </w:p>
    <w:p w:rsidR="00284B67" w:rsidRPr="00E37BBE" w:rsidRDefault="00284B67" w:rsidP="00284B67">
      <w:pPr>
        <w:pStyle w:val="BodyText"/>
        <w:spacing w:after="240" w:line="276" w:lineRule="auto"/>
        <w:jc w:val="both"/>
        <w:rPr>
          <w:rFonts w:ascii="Times New Roman" w:hAnsi="Times New Roman" w:cs="Times New Roman"/>
          <w:sz w:val="24"/>
          <w:szCs w:val="24"/>
          <w:lang w:val="fr-FR"/>
        </w:rPr>
      </w:pPr>
      <w:r w:rsidRPr="002722B8">
        <w:rPr>
          <w:rFonts w:ascii="Times New Roman" w:hAnsi="Times New Roman" w:cs="Times New Roman"/>
          <w:sz w:val="24"/>
          <w:szCs w:val="24"/>
          <w:lang w:val="fr-FR"/>
        </w:rPr>
        <w:t xml:space="preserve">Tout en s’inscrivant dans la logique de l’assistance stratégique donnée par le PNUD et l’ONUCI pour la sortie de </w:t>
      </w:r>
      <w:r w:rsidR="008124E4">
        <w:rPr>
          <w:rFonts w:ascii="Times New Roman" w:hAnsi="Times New Roman" w:cs="Times New Roman"/>
          <w:sz w:val="24"/>
          <w:szCs w:val="24"/>
          <w:lang w:val="fr-FR"/>
        </w:rPr>
        <w:t>c</w:t>
      </w:r>
      <w:r w:rsidRPr="002722B8">
        <w:rPr>
          <w:rFonts w:ascii="Times New Roman" w:hAnsi="Times New Roman" w:cs="Times New Roman"/>
          <w:sz w:val="24"/>
          <w:szCs w:val="24"/>
          <w:lang w:val="fr-FR"/>
        </w:rPr>
        <w:t>rise en Côte d’Ivoire, ce projet financé par le Fonds</w:t>
      </w:r>
      <w:r>
        <w:rPr>
          <w:rFonts w:ascii="Times New Roman" w:hAnsi="Times New Roman" w:cs="Times New Roman"/>
          <w:sz w:val="24"/>
          <w:szCs w:val="24"/>
          <w:lang w:val="fr-FR"/>
        </w:rPr>
        <w:t xml:space="preserve"> de Consolidation de la Paix </w:t>
      </w:r>
      <w:r w:rsidRPr="00E37BBE">
        <w:rPr>
          <w:rFonts w:ascii="Times New Roman" w:hAnsi="Times New Roman" w:cs="Times New Roman"/>
          <w:sz w:val="24"/>
          <w:szCs w:val="24"/>
          <w:lang w:val="fr-FR"/>
        </w:rPr>
        <w:t>a contribué à atteindre les objectifs spécifiques suivants:</w:t>
      </w:r>
    </w:p>
    <w:p w:rsidR="00284B67" w:rsidRPr="00E37BBE" w:rsidRDefault="00284B67" w:rsidP="00284B67">
      <w:pPr>
        <w:numPr>
          <w:ilvl w:val="0"/>
          <w:numId w:val="13"/>
        </w:numPr>
        <w:spacing w:before="60" w:after="60" w:line="276" w:lineRule="auto"/>
        <w:jc w:val="both"/>
        <w:rPr>
          <w:lang w:val="fr-FR"/>
        </w:rPr>
      </w:pPr>
      <w:r>
        <w:rPr>
          <w:lang w:val="fr-FR"/>
        </w:rPr>
        <w:t>La p</w:t>
      </w:r>
      <w:r w:rsidRPr="00E37BBE">
        <w:rPr>
          <w:lang w:val="fr-FR"/>
        </w:rPr>
        <w:t>romotion des conditions favorables pour une réintégration socio-économique pérenne des ex-combattants et ex-miliciens ;</w:t>
      </w:r>
    </w:p>
    <w:p w:rsidR="00284B67" w:rsidRPr="00E37BBE" w:rsidRDefault="00284B67" w:rsidP="00284B67">
      <w:pPr>
        <w:numPr>
          <w:ilvl w:val="0"/>
          <w:numId w:val="13"/>
        </w:numPr>
        <w:spacing w:before="60" w:after="60" w:line="276" w:lineRule="auto"/>
        <w:jc w:val="both"/>
        <w:rPr>
          <w:lang w:val="fr-FR"/>
        </w:rPr>
      </w:pPr>
      <w:r>
        <w:rPr>
          <w:lang w:val="fr-FR"/>
        </w:rPr>
        <w:t>Un e</w:t>
      </w:r>
      <w:r w:rsidRPr="00E37BBE">
        <w:rPr>
          <w:lang w:val="fr-FR"/>
        </w:rPr>
        <w:t>ngagement moindre des ex-combattants et d'ex-miliciens dans des activités illicites génératrices de revenus</w:t>
      </w:r>
      <w:r w:rsidR="008E7B23">
        <w:rPr>
          <w:lang w:val="fr-FR"/>
        </w:rPr>
        <w:t xml:space="preserve"> </w:t>
      </w:r>
      <w:r w:rsidRPr="00E37BBE">
        <w:rPr>
          <w:lang w:val="fr-FR"/>
        </w:rPr>
        <w:t>;</w:t>
      </w:r>
    </w:p>
    <w:p w:rsidR="00284B67" w:rsidRPr="00E37BBE" w:rsidRDefault="00284B67" w:rsidP="00284B67">
      <w:pPr>
        <w:numPr>
          <w:ilvl w:val="0"/>
          <w:numId w:val="13"/>
        </w:numPr>
        <w:spacing w:before="60" w:after="60" w:line="276" w:lineRule="auto"/>
        <w:jc w:val="both"/>
        <w:rPr>
          <w:lang w:val="fr-FR"/>
        </w:rPr>
      </w:pPr>
      <w:r>
        <w:rPr>
          <w:lang w:val="fr-FR"/>
        </w:rPr>
        <w:t>Une baisse de</w:t>
      </w:r>
      <w:r w:rsidRPr="00E37BBE">
        <w:rPr>
          <w:lang w:val="fr-FR"/>
        </w:rPr>
        <w:t xml:space="preserve"> l’usage des armes comme source de revenus</w:t>
      </w:r>
      <w:r w:rsidR="008E7B23">
        <w:rPr>
          <w:lang w:val="fr-FR"/>
        </w:rPr>
        <w:t xml:space="preserve"> </w:t>
      </w:r>
      <w:r w:rsidRPr="00E37BBE">
        <w:rPr>
          <w:lang w:val="fr-FR"/>
        </w:rPr>
        <w:t>;</w:t>
      </w:r>
    </w:p>
    <w:p w:rsidR="00284B67" w:rsidRPr="00E37BBE" w:rsidRDefault="00284B67" w:rsidP="00284B67">
      <w:pPr>
        <w:numPr>
          <w:ilvl w:val="0"/>
          <w:numId w:val="13"/>
        </w:numPr>
        <w:spacing w:before="60" w:after="60" w:line="276" w:lineRule="auto"/>
        <w:jc w:val="both"/>
        <w:rPr>
          <w:lang w:val="fr-FR"/>
        </w:rPr>
      </w:pPr>
      <w:r>
        <w:rPr>
          <w:lang w:val="fr-FR"/>
        </w:rPr>
        <w:t>La r</w:t>
      </w:r>
      <w:r w:rsidRPr="00E37BBE">
        <w:rPr>
          <w:lang w:val="fr-FR"/>
        </w:rPr>
        <w:t>éduction du chômage et de la pauvreté</w:t>
      </w:r>
      <w:r>
        <w:rPr>
          <w:lang w:val="fr-FR"/>
        </w:rPr>
        <w:t xml:space="preserve"> dans les zones ciblées</w:t>
      </w:r>
      <w:r w:rsidR="008E7B23">
        <w:rPr>
          <w:lang w:val="fr-FR"/>
        </w:rPr>
        <w:t xml:space="preserve"> </w:t>
      </w:r>
      <w:r w:rsidRPr="00E37BBE">
        <w:rPr>
          <w:lang w:val="fr-FR"/>
        </w:rPr>
        <w:t>;</w:t>
      </w:r>
    </w:p>
    <w:p w:rsidR="00284B67" w:rsidRPr="00E37BBE" w:rsidRDefault="00284B67" w:rsidP="00284B67">
      <w:pPr>
        <w:numPr>
          <w:ilvl w:val="0"/>
          <w:numId w:val="13"/>
        </w:numPr>
        <w:spacing w:before="60" w:after="60" w:line="276" w:lineRule="auto"/>
        <w:jc w:val="both"/>
        <w:rPr>
          <w:lang w:val="fr-FR"/>
        </w:rPr>
      </w:pPr>
      <w:r>
        <w:rPr>
          <w:lang w:val="fr-FR"/>
        </w:rPr>
        <w:t>La r</w:t>
      </w:r>
      <w:r w:rsidRPr="00E37BBE">
        <w:rPr>
          <w:lang w:val="fr-FR"/>
        </w:rPr>
        <w:t>éduction des conflits et de la criminalité intercommunautaires</w:t>
      </w:r>
      <w:r>
        <w:rPr>
          <w:lang w:val="fr-FR"/>
        </w:rPr>
        <w:t xml:space="preserve"> dans les zones ciblées</w:t>
      </w:r>
      <w:r w:rsidRPr="00E37BBE">
        <w:rPr>
          <w:lang w:val="fr-FR"/>
        </w:rPr>
        <w:t>;</w:t>
      </w:r>
    </w:p>
    <w:p w:rsidR="00284B67" w:rsidRPr="00E37BBE" w:rsidRDefault="00284B67" w:rsidP="00284B67">
      <w:pPr>
        <w:numPr>
          <w:ilvl w:val="0"/>
          <w:numId w:val="13"/>
        </w:numPr>
        <w:spacing w:before="60" w:after="60" w:line="276" w:lineRule="auto"/>
        <w:jc w:val="both"/>
        <w:rPr>
          <w:lang w:val="fr-FR"/>
        </w:rPr>
      </w:pPr>
      <w:r>
        <w:rPr>
          <w:lang w:val="fr-FR"/>
        </w:rPr>
        <w:t>La p</w:t>
      </w:r>
      <w:r w:rsidRPr="00E37BBE">
        <w:rPr>
          <w:lang w:val="fr-FR"/>
        </w:rPr>
        <w:t>romotion au sein des communautés de nouvelles opportunités de réintégration professionnelles</w:t>
      </w:r>
      <w:r w:rsidR="008E7B23">
        <w:rPr>
          <w:lang w:val="fr-FR"/>
        </w:rPr>
        <w:t xml:space="preserve"> </w:t>
      </w:r>
      <w:r w:rsidRPr="00E37BBE">
        <w:rPr>
          <w:lang w:val="fr-FR"/>
        </w:rPr>
        <w:t>;</w:t>
      </w:r>
    </w:p>
    <w:p w:rsidR="00284B67" w:rsidRPr="00E37BBE" w:rsidRDefault="00284B67" w:rsidP="00284B67">
      <w:pPr>
        <w:numPr>
          <w:ilvl w:val="0"/>
          <w:numId w:val="13"/>
        </w:numPr>
        <w:spacing w:before="60" w:after="60" w:line="276" w:lineRule="auto"/>
        <w:jc w:val="both"/>
        <w:rPr>
          <w:lang w:val="fr-FR"/>
        </w:rPr>
      </w:pPr>
      <w:r>
        <w:rPr>
          <w:lang w:val="fr-FR"/>
        </w:rPr>
        <w:t xml:space="preserve">Une contribution à </w:t>
      </w:r>
      <w:r w:rsidRPr="00E37BBE">
        <w:rPr>
          <w:lang w:val="fr-FR"/>
        </w:rPr>
        <w:t>la résurgence d’un nouvel esprit socio-économique et renforcement des capacités et des compétences des bénéficiaires</w:t>
      </w:r>
      <w:r w:rsidR="008E7B23">
        <w:rPr>
          <w:lang w:val="fr-FR"/>
        </w:rPr>
        <w:t xml:space="preserve"> </w:t>
      </w:r>
      <w:r w:rsidRPr="00E37BBE">
        <w:rPr>
          <w:lang w:val="fr-FR"/>
        </w:rPr>
        <w:t>;</w:t>
      </w:r>
    </w:p>
    <w:p w:rsidR="00284B67" w:rsidRDefault="00284B67" w:rsidP="00284B67">
      <w:pPr>
        <w:numPr>
          <w:ilvl w:val="0"/>
          <w:numId w:val="13"/>
        </w:numPr>
        <w:spacing w:before="60" w:after="60" w:line="276" w:lineRule="auto"/>
        <w:jc w:val="both"/>
        <w:rPr>
          <w:lang w:val="fr-FR"/>
        </w:rPr>
      </w:pPr>
      <w:r>
        <w:rPr>
          <w:lang w:val="fr-FR"/>
        </w:rPr>
        <w:t>Une a</w:t>
      </w:r>
      <w:r w:rsidRPr="00E37BBE">
        <w:rPr>
          <w:lang w:val="fr-FR"/>
        </w:rPr>
        <w:t xml:space="preserve">mélioration </w:t>
      </w:r>
      <w:r>
        <w:rPr>
          <w:lang w:val="fr-FR"/>
        </w:rPr>
        <w:t xml:space="preserve">notable </w:t>
      </w:r>
      <w:r w:rsidRPr="00E37BBE">
        <w:rPr>
          <w:lang w:val="fr-FR"/>
        </w:rPr>
        <w:t>des conditions de vie des bénéficiaires et des groupes vulnérables (femmes, enfants affectés par le conflit armé, victimes du VIH/SIDA).</w:t>
      </w:r>
    </w:p>
    <w:p w:rsidR="00127C5E" w:rsidRDefault="00127C5E" w:rsidP="00127C5E">
      <w:pPr>
        <w:spacing w:before="60" w:after="60" w:line="276" w:lineRule="auto"/>
        <w:ind w:left="720"/>
        <w:jc w:val="both"/>
        <w:rPr>
          <w:lang w:val="fr-FR"/>
        </w:rPr>
      </w:pPr>
    </w:p>
    <w:p w:rsidR="00127C5E" w:rsidRDefault="00127C5E" w:rsidP="00127C5E">
      <w:pPr>
        <w:spacing w:before="60" w:after="60" w:line="276" w:lineRule="auto"/>
        <w:ind w:left="720"/>
        <w:jc w:val="both"/>
        <w:rPr>
          <w:lang w:val="fr-FR"/>
        </w:rPr>
      </w:pPr>
    </w:p>
    <w:p w:rsidR="00127C5E" w:rsidRDefault="00127C5E" w:rsidP="001B6F11">
      <w:pPr>
        <w:spacing w:before="60" w:after="60" w:line="276" w:lineRule="auto"/>
        <w:jc w:val="both"/>
        <w:rPr>
          <w:lang w:val="fr-FR"/>
        </w:rPr>
      </w:pPr>
    </w:p>
    <w:p w:rsidR="00AB1AE2" w:rsidRPr="00E37BBE" w:rsidRDefault="00DE1862" w:rsidP="00641B4D">
      <w:pPr>
        <w:numPr>
          <w:ilvl w:val="0"/>
          <w:numId w:val="4"/>
        </w:numPr>
        <w:spacing w:before="240" w:after="240" w:line="276" w:lineRule="auto"/>
        <w:rPr>
          <w:b/>
          <w:lang w:val="fr-FR"/>
        </w:rPr>
      </w:pPr>
      <w:r w:rsidRPr="00E37BBE">
        <w:rPr>
          <w:b/>
          <w:lang w:val="fr-FR"/>
        </w:rPr>
        <w:lastRenderedPageBreak/>
        <w:t>Re</w:t>
      </w:r>
      <w:r w:rsidR="00181C49" w:rsidRPr="00E37BBE">
        <w:rPr>
          <w:b/>
          <w:lang w:val="fr-FR"/>
        </w:rPr>
        <w:t>s</w:t>
      </w:r>
      <w:r w:rsidR="003B010B">
        <w:rPr>
          <w:b/>
          <w:lang w:val="fr-FR"/>
        </w:rPr>
        <w:t>s</w:t>
      </w:r>
      <w:r w:rsidR="00181C49" w:rsidRPr="00E37BBE">
        <w:rPr>
          <w:b/>
          <w:lang w:val="fr-FR"/>
        </w:rPr>
        <w:t>ources</w:t>
      </w:r>
    </w:p>
    <w:p w:rsidR="00AB1AE2" w:rsidRPr="002A443C" w:rsidRDefault="003B010B" w:rsidP="003B010B">
      <w:pPr>
        <w:pStyle w:val="BodyText"/>
        <w:spacing w:before="240" w:after="240" w:line="276" w:lineRule="auto"/>
        <w:rPr>
          <w:rFonts w:ascii="Times New Roman" w:hAnsi="Times New Roman" w:cs="Times New Roman"/>
          <w:b/>
          <w:i/>
          <w:sz w:val="24"/>
          <w:lang w:val="fr-FR"/>
        </w:rPr>
      </w:pPr>
      <w:r>
        <w:rPr>
          <w:rFonts w:ascii="Times New Roman" w:hAnsi="Times New Roman" w:cs="Times New Roman"/>
          <w:b/>
          <w:i/>
          <w:sz w:val="24"/>
          <w:lang w:val="fr-FR"/>
        </w:rPr>
        <w:t>2.1</w:t>
      </w:r>
      <w:r w:rsidR="008E7B23">
        <w:rPr>
          <w:rFonts w:ascii="Times New Roman" w:hAnsi="Times New Roman" w:cs="Times New Roman"/>
          <w:b/>
          <w:i/>
          <w:sz w:val="24"/>
          <w:lang w:val="fr-FR"/>
        </w:rPr>
        <w:t xml:space="preserve">. </w:t>
      </w:r>
      <w:r>
        <w:rPr>
          <w:rFonts w:ascii="Times New Roman" w:hAnsi="Times New Roman" w:cs="Times New Roman"/>
          <w:b/>
          <w:i/>
          <w:sz w:val="24"/>
          <w:lang w:val="fr-FR"/>
        </w:rPr>
        <w:t>Ressources financières</w:t>
      </w:r>
    </w:p>
    <w:p w:rsidR="001B6F11" w:rsidRPr="002722B8" w:rsidRDefault="001B6F11" w:rsidP="001B6F11">
      <w:pPr>
        <w:spacing w:after="240" w:line="276" w:lineRule="auto"/>
        <w:jc w:val="both"/>
        <w:rPr>
          <w:bCs/>
          <w:lang w:val="fr-FR"/>
        </w:rPr>
      </w:pPr>
      <w:r w:rsidRPr="002722B8">
        <w:rPr>
          <w:bCs/>
          <w:lang w:val="fr-FR"/>
        </w:rPr>
        <w:t>Le pro</w:t>
      </w:r>
      <w:r w:rsidR="008E7B23" w:rsidRPr="002722B8">
        <w:rPr>
          <w:bCs/>
          <w:lang w:val="fr-FR"/>
        </w:rPr>
        <w:t xml:space="preserve">gramme </w:t>
      </w:r>
      <w:r w:rsidR="003B010B" w:rsidRPr="002722B8">
        <w:rPr>
          <w:bCs/>
          <w:lang w:val="fr-FR"/>
        </w:rPr>
        <w:t>a été financé par le Fonds de</w:t>
      </w:r>
      <w:r w:rsidRPr="002722B8">
        <w:rPr>
          <w:bCs/>
          <w:lang w:val="fr-FR"/>
        </w:rPr>
        <w:t xml:space="preserve"> Consolidation de la Paix des Nations Unies à hauteur de quatre millions de d</w:t>
      </w:r>
      <w:r w:rsidR="003B010B" w:rsidRPr="002722B8">
        <w:rPr>
          <w:bCs/>
          <w:lang w:val="fr-FR"/>
        </w:rPr>
        <w:t xml:space="preserve">ollars </w:t>
      </w:r>
      <w:r w:rsidRPr="002722B8">
        <w:rPr>
          <w:bCs/>
          <w:lang w:val="fr-FR"/>
        </w:rPr>
        <w:t xml:space="preserve">US </w:t>
      </w:r>
      <w:r w:rsidR="003B010B" w:rsidRPr="002722B8">
        <w:rPr>
          <w:bCs/>
          <w:lang w:val="fr-FR"/>
        </w:rPr>
        <w:t>(</w:t>
      </w:r>
      <w:r w:rsidRPr="002722B8">
        <w:rPr>
          <w:bCs/>
          <w:lang w:val="fr-FR"/>
        </w:rPr>
        <w:t>$4.000.000), soit 1.944.256.000</w:t>
      </w:r>
      <w:r w:rsidRPr="002722B8">
        <w:rPr>
          <w:rStyle w:val="FootnoteReference"/>
          <w:bCs/>
          <w:lang w:val="fr-FR"/>
        </w:rPr>
        <w:footnoteReference w:id="5"/>
      </w:r>
      <w:r w:rsidRPr="002722B8">
        <w:rPr>
          <w:bCs/>
          <w:lang w:val="fr-FR"/>
        </w:rPr>
        <w:t xml:space="preserve"> Francs </w:t>
      </w:r>
      <w:r w:rsidR="003B010B" w:rsidRPr="002722B8">
        <w:rPr>
          <w:bCs/>
          <w:lang w:val="fr-FR"/>
        </w:rPr>
        <w:t>CFA</w:t>
      </w:r>
      <w:r w:rsidRPr="002722B8">
        <w:rPr>
          <w:bCs/>
          <w:lang w:val="fr-FR"/>
        </w:rPr>
        <w:t xml:space="preserve">. A ce jour, aucun autre contributeur financier n’a </w:t>
      </w:r>
      <w:r w:rsidR="00625359" w:rsidRPr="002722B8">
        <w:rPr>
          <w:bCs/>
          <w:lang w:val="fr-FR"/>
        </w:rPr>
        <w:t xml:space="preserve">encore </w:t>
      </w:r>
      <w:r w:rsidRPr="002722B8">
        <w:rPr>
          <w:bCs/>
          <w:lang w:val="fr-FR"/>
        </w:rPr>
        <w:t>participé au projet.</w:t>
      </w:r>
    </w:p>
    <w:p w:rsidR="00A30D1E" w:rsidRPr="002722B8" w:rsidRDefault="00CA0FBE" w:rsidP="00641B4D">
      <w:pPr>
        <w:spacing w:after="240" w:line="276" w:lineRule="auto"/>
        <w:jc w:val="both"/>
        <w:rPr>
          <w:bCs/>
          <w:lang w:val="fr-FR"/>
        </w:rPr>
      </w:pPr>
      <w:r w:rsidRPr="002722B8">
        <w:rPr>
          <w:bCs/>
          <w:lang w:val="fr-FR"/>
        </w:rPr>
        <w:t xml:space="preserve">Tout au long de la mise en œuvre du </w:t>
      </w:r>
      <w:r w:rsidR="003F5EF4" w:rsidRPr="002722B8">
        <w:rPr>
          <w:bCs/>
          <w:lang w:val="fr-FR"/>
        </w:rPr>
        <w:t>programme</w:t>
      </w:r>
      <w:r w:rsidRPr="002722B8">
        <w:rPr>
          <w:bCs/>
          <w:lang w:val="fr-FR"/>
        </w:rPr>
        <w:t xml:space="preserve">, les multiples concertations ont conduit au </w:t>
      </w:r>
      <w:r w:rsidR="00A30D1E" w:rsidRPr="002722B8">
        <w:rPr>
          <w:bCs/>
          <w:lang w:val="fr-FR"/>
        </w:rPr>
        <w:t>réaménagement</w:t>
      </w:r>
      <w:r w:rsidRPr="002722B8">
        <w:rPr>
          <w:bCs/>
          <w:lang w:val="fr-FR"/>
        </w:rPr>
        <w:t xml:space="preserve"> progressif des mécanismes financiers </w:t>
      </w:r>
      <w:r w:rsidR="009219C5" w:rsidRPr="002722B8">
        <w:rPr>
          <w:bCs/>
          <w:lang w:val="fr-FR"/>
        </w:rPr>
        <w:t xml:space="preserve">définis et adoptés </w:t>
      </w:r>
      <w:r w:rsidRPr="002722B8">
        <w:rPr>
          <w:bCs/>
          <w:lang w:val="fr-FR"/>
        </w:rPr>
        <w:t>au départ. En effet, le caractère</w:t>
      </w:r>
      <w:r w:rsidR="00E6299D" w:rsidRPr="002722B8">
        <w:rPr>
          <w:bCs/>
          <w:lang w:val="fr-FR"/>
        </w:rPr>
        <w:t xml:space="preserve"> imprévisible des bénéficiaires et les changements incessants dans le choix des activités nécessitait une flexibilité dans la l’approche </w:t>
      </w:r>
      <w:r w:rsidRPr="002722B8">
        <w:rPr>
          <w:bCs/>
          <w:lang w:val="fr-FR"/>
        </w:rPr>
        <w:t xml:space="preserve"> </w:t>
      </w:r>
      <w:r w:rsidR="00E6299D" w:rsidRPr="002722B8">
        <w:rPr>
          <w:bCs/>
          <w:lang w:val="fr-FR"/>
        </w:rPr>
        <w:t>et</w:t>
      </w:r>
      <w:r w:rsidR="00A30D1E" w:rsidRPr="002722B8">
        <w:rPr>
          <w:bCs/>
          <w:lang w:val="fr-FR"/>
        </w:rPr>
        <w:t xml:space="preserve"> des réponses adaptées alliant rapidité-efficacité et gestion du risque financier. La période de mise en œuvre étant courte (3 mois), les mécanismes financiers du PNUD </w:t>
      </w:r>
      <w:r w:rsidR="00E37BBE" w:rsidRPr="002722B8">
        <w:rPr>
          <w:bCs/>
          <w:lang w:val="fr-FR"/>
        </w:rPr>
        <w:t xml:space="preserve">devaient </w:t>
      </w:r>
      <w:r w:rsidR="00A30D1E" w:rsidRPr="002722B8">
        <w:rPr>
          <w:bCs/>
          <w:lang w:val="fr-FR"/>
        </w:rPr>
        <w:t>s’adapter</w:t>
      </w:r>
      <w:r w:rsidR="00E37BBE" w:rsidRPr="002722B8">
        <w:rPr>
          <w:bCs/>
          <w:lang w:val="fr-FR"/>
        </w:rPr>
        <w:t xml:space="preserve"> </w:t>
      </w:r>
      <w:r w:rsidR="009E7B8C" w:rsidRPr="002722B8">
        <w:rPr>
          <w:bCs/>
          <w:lang w:val="fr-FR"/>
        </w:rPr>
        <w:t xml:space="preserve">aux </w:t>
      </w:r>
      <w:r w:rsidR="003F5EF4" w:rsidRPr="002722B8">
        <w:rPr>
          <w:bCs/>
          <w:lang w:val="fr-FR"/>
        </w:rPr>
        <w:t>saisonnalités des décaissement</w:t>
      </w:r>
      <w:r w:rsidR="009E7B8C" w:rsidRPr="002722B8">
        <w:rPr>
          <w:bCs/>
          <w:lang w:val="fr-FR"/>
        </w:rPr>
        <w:t>s</w:t>
      </w:r>
      <w:r w:rsidR="003F5EF4" w:rsidRPr="002722B8">
        <w:rPr>
          <w:bCs/>
          <w:lang w:val="fr-FR"/>
        </w:rPr>
        <w:t xml:space="preserve"> </w:t>
      </w:r>
      <w:r w:rsidR="00E37BBE" w:rsidRPr="002722B8">
        <w:rPr>
          <w:bCs/>
          <w:lang w:val="fr-FR"/>
        </w:rPr>
        <w:t xml:space="preserve">afin de pallier </w:t>
      </w:r>
      <w:r w:rsidR="00E6299D" w:rsidRPr="002722B8">
        <w:rPr>
          <w:bCs/>
          <w:lang w:val="fr-FR"/>
        </w:rPr>
        <w:t>aux défis des activités saisonnières</w:t>
      </w:r>
      <w:r w:rsidR="00E37BBE" w:rsidRPr="002722B8">
        <w:rPr>
          <w:bCs/>
          <w:lang w:val="fr-FR"/>
        </w:rPr>
        <w:t xml:space="preserve">. </w:t>
      </w:r>
      <w:r w:rsidR="00A30D1E" w:rsidRPr="002722B8">
        <w:rPr>
          <w:bCs/>
          <w:lang w:val="fr-FR"/>
        </w:rPr>
        <w:t xml:space="preserve"> </w:t>
      </w:r>
    </w:p>
    <w:p w:rsidR="00A30D1E" w:rsidRPr="002722B8" w:rsidRDefault="00115145" w:rsidP="001B6F11">
      <w:pPr>
        <w:spacing w:after="240" w:line="276" w:lineRule="auto"/>
        <w:jc w:val="both"/>
        <w:rPr>
          <w:bCs/>
          <w:lang w:val="fr-FR"/>
        </w:rPr>
      </w:pPr>
      <w:r w:rsidRPr="002722B8">
        <w:rPr>
          <w:bCs/>
          <w:lang w:val="fr-FR"/>
        </w:rPr>
        <w:t>C’est ainsi qu’après</w:t>
      </w:r>
      <w:r w:rsidR="00A30D1E" w:rsidRPr="002722B8">
        <w:rPr>
          <w:bCs/>
          <w:lang w:val="fr-FR"/>
        </w:rPr>
        <w:t xml:space="preserve"> six mois d’exécution, un atelier de mi-parcours a été organisé à Bouaké. Cet atelier qui a réuni toutes les parties prenantes du projet </w:t>
      </w:r>
      <w:r w:rsidR="001B6F11" w:rsidRPr="002722B8">
        <w:rPr>
          <w:bCs/>
          <w:lang w:val="fr-FR"/>
        </w:rPr>
        <w:t xml:space="preserve">autour de l’ONUCI et du PNUD, </w:t>
      </w:r>
      <w:r w:rsidR="00A30D1E" w:rsidRPr="002722B8">
        <w:rPr>
          <w:bCs/>
          <w:lang w:val="fr-FR"/>
        </w:rPr>
        <w:t xml:space="preserve">a fait plusieurs recommandations qui ont été </w:t>
      </w:r>
      <w:r w:rsidR="00E37BBE" w:rsidRPr="002722B8">
        <w:rPr>
          <w:bCs/>
          <w:lang w:val="fr-FR"/>
        </w:rPr>
        <w:t xml:space="preserve">immédiatement </w:t>
      </w:r>
      <w:r w:rsidR="00A30D1E" w:rsidRPr="002722B8">
        <w:rPr>
          <w:bCs/>
          <w:lang w:val="fr-FR"/>
        </w:rPr>
        <w:t>prises en compte p</w:t>
      </w:r>
      <w:r w:rsidR="001B6F11" w:rsidRPr="002722B8">
        <w:rPr>
          <w:bCs/>
          <w:lang w:val="fr-FR"/>
        </w:rPr>
        <w:t>our la suite</w:t>
      </w:r>
      <w:r w:rsidR="00A30D1E" w:rsidRPr="002722B8">
        <w:rPr>
          <w:bCs/>
          <w:lang w:val="fr-FR"/>
        </w:rPr>
        <w:t xml:space="preserve">. Pour l’aspect financier, il </w:t>
      </w:r>
      <w:r w:rsidR="001B6F11" w:rsidRPr="002722B8">
        <w:rPr>
          <w:bCs/>
          <w:lang w:val="fr-FR"/>
        </w:rPr>
        <w:t>ressort de ces échanges la nécessité de</w:t>
      </w:r>
      <w:r w:rsidR="00A30D1E" w:rsidRPr="002722B8">
        <w:rPr>
          <w:bCs/>
          <w:lang w:val="fr-FR"/>
        </w:rPr>
        <w:t xml:space="preserve"> : </w:t>
      </w:r>
    </w:p>
    <w:p w:rsidR="001B6F11" w:rsidRPr="00E37BBE" w:rsidRDefault="00A30D1E" w:rsidP="003B010B">
      <w:pPr>
        <w:numPr>
          <w:ilvl w:val="0"/>
          <w:numId w:val="7"/>
        </w:numPr>
        <w:spacing w:line="276" w:lineRule="auto"/>
        <w:jc w:val="both"/>
        <w:rPr>
          <w:lang w:val="fr-FR"/>
        </w:rPr>
      </w:pPr>
      <w:r w:rsidRPr="002722B8">
        <w:rPr>
          <w:lang w:val="fr-FR"/>
        </w:rPr>
        <w:t>Revoir à</w:t>
      </w:r>
      <w:r w:rsidR="00255EC1" w:rsidRPr="002722B8">
        <w:rPr>
          <w:lang w:val="fr-FR"/>
        </w:rPr>
        <w:t xml:space="preserve"> la hausse les frais de gestion des partenaires de mise en œuvre</w:t>
      </w:r>
      <w:r w:rsidRPr="002722B8">
        <w:rPr>
          <w:lang w:val="fr-FR"/>
        </w:rPr>
        <w:t xml:space="preserve">. </w:t>
      </w:r>
      <w:r w:rsidR="003A74DE" w:rsidRPr="002722B8">
        <w:rPr>
          <w:lang w:val="fr-FR"/>
        </w:rPr>
        <w:t>C</w:t>
      </w:r>
      <w:r w:rsidR="003B010B" w:rsidRPr="002722B8">
        <w:rPr>
          <w:lang w:val="fr-FR"/>
        </w:rPr>
        <w:t>es frais</w:t>
      </w:r>
      <w:r w:rsidRPr="002722B8">
        <w:rPr>
          <w:lang w:val="fr-FR"/>
        </w:rPr>
        <w:t xml:space="preserve"> </w:t>
      </w:r>
      <w:r w:rsidR="003A74DE" w:rsidRPr="002722B8">
        <w:rPr>
          <w:lang w:val="fr-FR"/>
        </w:rPr>
        <w:t xml:space="preserve">sont </w:t>
      </w:r>
      <w:r w:rsidRPr="002722B8">
        <w:rPr>
          <w:lang w:val="fr-FR"/>
        </w:rPr>
        <w:t>passé</w:t>
      </w:r>
      <w:r w:rsidR="003A74DE" w:rsidRPr="002722B8">
        <w:rPr>
          <w:lang w:val="fr-FR"/>
        </w:rPr>
        <w:t>s</w:t>
      </w:r>
      <w:r w:rsidRPr="002722B8">
        <w:rPr>
          <w:lang w:val="fr-FR"/>
        </w:rPr>
        <w:t xml:space="preserve"> de 10 à 15% du </w:t>
      </w:r>
      <w:r w:rsidR="003B010B" w:rsidRPr="002722B8">
        <w:rPr>
          <w:lang w:val="fr-FR"/>
        </w:rPr>
        <w:t>montant global de chaque convention</w:t>
      </w:r>
      <w:r w:rsidRPr="002722B8">
        <w:rPr>
          <w:lang w:val="fr-FR"/>
        </w:rPr>
        <w:t xml:space="preserve"> signée ;</w:t>
      </w:r>
      <w:r w:rsidR="001B6F11" w:rsidRPr="002722B8">
        <w:rPr>
          <w:lang w:val="fr-FR"/>
        </w:rPr>
        <w:t xml:space="preserve"> pour permettre aux structures locale</w:t>
      </w:r>
      <w:r w:rsidR="003B010B" w:rsidRPr="002722B8">
        <w:rPr>
          <w:lang w:val="fr-FR"/>
        </w:rPr>
        <w:t>s</w:t>
      </w:r>
      <w:r w:rsidR="001B6F11" w:rsidRPr="002722B8">
        <w:rPr>
          <w:lang w:val="fr-FR"/>
        </w:rPr>
        <w:t xml:space="preserve"> d’exécution de mieux faire face à leurs charge</w:t>
      </w:r>
      <w:r w:rsidR="008E7B23" w:rsidRPr="002722B8">
        <w:rPr>
          <w:lang w:val="fr-FR"/>
        </w:rPr>
        <w:t xml:space="preserve">s, </w:t>
      </w:r>
      <w:r w:rsidR="001B6F11" w:rsidRPr="002722B8">
        <w:rPr>
          <w:lang w:val="fr-FR"/>
        </w:rPr>
        <w:t xml:space="preserve"> particulièrement</w:t>
      </w:r>
      <w:r w:rsidR="001B6F11">
        <w:rPr>
          <w:lang w:val="fr-FR"/>
        </w:rPr>
        <w:t xml:space="preserve"> pour les aspect</w:t>
      </w:r>
      <w:r w:rsidR="008E7B23">
        <w:rPr>
          <w:lang w:val="fr-FR"/>
        </w:rPr>
        <w:t>s</w:t>
      </w:r>
      <w:r w:rsidR="001B6F11">
        <w:rPr>
          <w:lang w:val="fr-FR"/>
        </w:rPr>
        <w:t xml:space="preserve"> de suivi et de monitoring des activités</w:t>
      </w:r>
      <w:r w:rsidR="008E7B23">
        <w:rPr>
          <w:lang w:val="fr-FR"/>
        </w:rPr>
        <w:t xml:space="preserve"> </w:t>
      </w:r>
      <w:r w:rsidR="001B6F11" w:rsidRPr="00E37BBE">
        <w:rPr>
          <w:lang w:val="fr-FR"/>
        </w:rPr>
        <w:t>;</w:t>
      </w:r>
    </w:p>
    <w:p w:rsidR="00BB711F" w:rsidRPr="002722B8" w:rsidRDefault="00A30D1E" w:rsidP="001B6F11">
      <w:pPr>
        <w:numPr>
          <w:ilvl w:val="0"/>
          <w:numId w:val="7"/>
        </w:numPr>
        <w:spacing w:after="240" w:line="276" w:lineRule="auto"/>
        <w:jc w:val="both"/>
        <w:rPr>
          <w:bCs/>
          <w:lang w:val="fr-FR"/>
        </w:rPr>
      </w:pPr>
      <w:r w:rsidRPr="006E357A">
        <w:rPr>
          <w:lang w:val="fr-FR"/>
        </w:rPr>
        <w:t>Revoir les modalités de décaissement des différentes tranches. Celles-ci se sont adaptées à la nature des microprojets mis en œuvre et sont passées de la formule 50%</w:t>
      </w:r>
      <w:r w:rsidR="003A74DE" w:rsidRPr="006E357A">
        <w:rPr>
          <w:lang w:val="fr-FR"/>
        </w:rPr>
        <w:t xml:space="preserve"> </w:t>
      </w:r>
      <w:r w:rsidRPr="006E357A">
        <w:rPr>
          <w:lang w:val="fr-FR"/>
        </w:rPr>
        <w:t>-</w:t>
      </w:r>
      <w:r w:rsidR="003A74DE" w:rsidRPr="006E357A">
        <w:rPr>
          <w:lang w:val="fr-FR"/>
        </w:rPr>
        <w:t xml:space="preserve"> </w:t>
      </w:r>
      <w:r w:rsidRPr="006E357A">
        <w:rPr>
          <w:lang w:val="fr-FR"/>
        </w:rPr>
        <w:t>40% et 10% à la formule 80% et 20% </w:t>
      </w:r>
      <w:r w:rsidR="001B6F11">
        <w:rPr>
          <w:lang w:val="fr-FR"/>
        </w:rPr>
        <w:t>pour mieux répondre aux besoins des activités qui nécessitent un important investissement au démarrage (achats d’intrants, outils</w:t>
      </w:r>
      <w:r w:rsidR="001B6F11" w:rsidRPr="002722B8">
        <w:rPr>
          <w:lang w:val="fr-FR"/>
        </w:rPr>
        <w:t>, etc …)</w:t>
      </w:r>
      <w:r w:rsidR="00FE51A7" w:rsidRPr="002722B8">
        <w:rPr>
          <w:lang w:val="fr-FR"/>
        </w:rPr>
        <w:t>.</w:t>
      </w:r>
      <w:r w:rsidR="001B6F11" w:rsidRPr="002722B8">
        <w:rPr>
          <w:lang w:val="fr-FR"/>
        </w:rPr>
        <w:t xml:space="preserve"> </w:t>
      </w:r>
    </w:p>
    <w:p w:rsidR="009869BF" w:rsidRPr="002A443C" w:rsidRDefault="008E7B23" w:rsidP="008E7B23">
      <w:pPr>
        <w:pStyle w:val="BodyText"/>
        <w:spacing w:after="240" w:line="276" w:lineRule="auto"/>
        <w:jc w:val="both"/>
        <w:rPr>
          <w:rFonts w:ascii="Times New Roman" w:hAnsi="Times New Roman" w:cs="Times New Roman"/>
          <w:b/>
          <w:i/>
          <w:sz w:val="24"/>
          <w:lang w:val="fr-FR"/>
        </w:rPr>
      </w:pPr>
      <w:r>
        <w:rPr>
          <w:rFonts w:ascii="Times New Roman" w:hAnsi="Times New Roman" w:cs="Times New Roman"/>
          <w:b/>
          <w:i/>
          <w:sz w:val="24"/>
          <w:lang w:val="fr-FR"/>
        </w:rPr>
        <w:t xml:space="preserve">2.2. </w:t>
      </w:r>
      <w:r w:rsidR="003B010B">
        <w:rPr>
          <w:rFonts w:ascii="Times New Roman" w:hAnsi="Times New Roman" w:cs="Times New Roman"/>
          <w:b/>
          <w:i/>
          <w:sz w:val="24"/>
          <w:lang w:val="fr-FR"/>
        </w:rPr>
        <w:t xml:space="preserve"> Ressources Humaines</w:t>
      </w:r>
    </w:p>
    <w:p w:rsidR="00A9046C" w:rsidRDefault="001B6F11" w:rsidP="00641B4D">
      <w:pPr>
        <w:pStyle w:val="BodyText2"/>
        <w:spacing w:before="12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Toute l’exécution du projet a été faite de façon conjointe entre l’Unité Post-Crise du PNUD et la </w:t>
      </w:r>
      <w:r w:rsidR="00FE51A7">
        <w:rPr>
          <w:rFonts w:ascii="Times New Roman" w:hAnsi="Times New Roman" w:cs="Times New Roman"/>
          <w:sz w:val="24"/>
          <w:szCs w:val="24"/>
          <w:lang w:val="fr-FR"/>
        </w:rPr>
        <w:t>D</w:t>
      </w:r>
      <w:r>
        <w:rPr>
          <w:rFonts w:ascii="Times New Roman" w:hAnsi="Times New Roman" w:cs="Times New Roman"/>
          <w:sz w:val="24"/>
          <w:szCs w:val="24"/>
          <w:lang w:val="fr-FR"/>
        </w:rPr>
        <w:t xml:space="preserve">ivision DDR de l’ONUCI. </w:t>
      </w:r>
      <w:r w:rsidR="00A9046C">
        <w:rPr>
          <w:rFonts w:ascii="Times New Roman" w:hAnsi="Times New Roman" w:cs="Times New Roman"/>
          <w:sz w:val="24"/>
          <w:szCs w:val="24"/>
          <w:lang w:val="fr-FR"/>
        </w:rPr>
        <w:t>Le</w:t>
      </w:r>
      <w:r>
        <w:rPr>
          <w:rFonts w:ascii="Times New Roman" w:hAnsi="Times New Roman" w:cs="Times New Roman"/>
          <w:sz w:val="24"/>
          <w:szCs w:val="24"/>
          <w:lang w:val="fr-FR"/>
        </w:rPr>
        <w:t xml:space="preserve"> système de coordination</w:t>
      </w:r>
      <w:r w:rsidR="00A9046C">
        <w:rPr>
          <w:rFonts w:ascii="Times New Roman" w:hAnsi="Times New Roman" w:cs="Times New Roman"/>
          <w:sz w:val="24"/>
          <w:szCs w:val="24"/>
          <w:lang w:val="fr-FR"/>
        </w:rPr>
        <w:t xml:space="preserve"> mis en place autour de ce projet a permis d’éviter les duplications d’effort et de créer un cadre d’exercice conjoint, constant et fréquent. C’est ainsi que </w:t>
      </w:r>
      <w:r w:rsidR="003A74DE">
        <w:rPr>
          <w:rFonts w:ascii="Times New Roman" w:hAnsi="Times New Roman" w:cs="Times New Roman"/>
          <w:sz w:val="24"/>
          <w:szCs w:val="24"/>
          <w:lang w:val="fr-FR"/>
        </w:rPr>
        <w:t xml:space="preserve">l’Unité Post-Crise du PNUD et la </w:t>
      </w:r>
      <w:r w:rsidR="008E7B23">
        <w:rPr>
          <w:rFonts w:ascii="Times New Roman" w:hAnsi="Times New Roman" w:cs="Times New Roman"/>
          <w:sz w:val="24"/>
          <w:szCs w:val="24"/>
          <w:lang w:val="fr-FR"/>
        </w:rPr>
        <w:t>D</w:t>
      </w:r>
      <w:r w:rsidR="003A74DE">
        <w:rPr>
          <w:rFonts w:ascii="Times New Roman" w:hAnsi="Times New Roman" w:cs="Times New Roman"/>
          <w:sz w:val="24"/>
          <w:szCs w:val="24"/>
          <w:lang w:val="fr-FR"/>
        </w:rPr>
        <w:t xml:space="preserve">ivision DDR de l’ONUCI </w:t>
      </w:r>
      <w:r w:rsidR="00A9046C">
        <w:rPr>
          <w:rFonts w:ascii="Times New Roman" w:hAnsi="Times New Roman" w:cs="Times New Roman"/>
          <w:sz w:val="24"/>
          <w:szCs w:val="24"/>
          <w:lang w:val="fr-FR"/>
        </w:rPr>
        <w:t>ont capitalisé sur leur</w:t>
      </w:r>
      <w:r w:rsidR="00F96A26">
        <w:rPr>
          <w:rFonts w:ascii="Times New Roman" w:hAnsi="Times New Roman" w:cs="Times New Roman"/>
          <w:sz w:val="24"/>
          <w:szCs w:val="24"/>
          <w:lang w:val="fr-FR"/>
        </w:rPr>
        <w:t>s</w:t>
      </w:r>
      <w:r w:rsidR="00A9046C">
        <w:rPr>
          <w:rFonts w:ascii="Times New Roman" w:hAnsi="Times New Roman" w:cs="Times New Roman"/>
          <w:sz w:val="24"/>
          <w:szCs w:val="24"/>
          <w:lang w:val="fr-FR"/>
        </w:rPr>
        <w:t xml:space="preserve"> effectifs déjà existant</w:t>
      </w:r>
      <w:r w:rsidR="00F96A26">
        <w:rPr>
          <w:rFonts w:ascii="Times New Roman" w:hAnsi="Times New Roman" w:cs="Times New Roman"/>
          <w:sz w:val="24"/>
          <w:szCs w:val="24"/>
          <w:lang w:val="fr-FR"/>
        </w:rPr>
        <w:t>s</w:t>
      </w:r>
      <w:r w:rsidR="00A9046C">
        <w:rPr>
          <w:rFonts w:ascii="Times New Roman" w:hAnsi="Times New Roman" w:cs="Times New Roman"/>
          <w:sz w:val="24"/>
          <w:szCs w:val="24"/>
          <w:lang w:val="fr-FR"/>
        </w:rPr>
        <w:t xml:space="preserve"> et opérationnel</w:t>
      </w:r>
      <w:r w:rsidR="00F96A26">
        <w:rPr>
          <w:rFonts w:ascii="Times New Roman" w:hAnsi="Times New Roman" w:cs="Times New Roman"/>
          <w:sz w:val="24"/>
          <w:szCs w:val="24"/>
          <w:lang w:val="fr-FR"/>
        </w:rPr>
        <w:t>s</w:t>
      </w:r>
      <w:r w:rsidR="00A9046C">
        <w:rPr>
          <w:rFonts w:ascii="Times New Roman" w:hAnsi="Times New Roman" w:cs="Times New Roman"/>
          <w:sz w:val="24"/>
          <w:szCs w:val="24"/>
          <w:lang w:val="fr-FR"/>
        </w:rPr>
        <w:t xml:space="preserve"> pour </w:t>
      </w:r>
      <w:r w:rsidR="00FE51A7">
        <w:rPr>
          <w:rFonts w:ascii="Times New Roman" w:hAnsi="Times New Roman" w:cs="Times New Roman"/>
          <w:sz w:val="24"/>
          <w:szCs w:val="24"/>
          <w:lang w:val="fr-FR"/>
        </w:rPr>
        <w:t xml:space="preserve">mettre en œuvre </w:t>
      </w:r>
      <w:r w:rsidR="00A9046C">
        <w:rPr>
          <w:rFonts w:ascii="Times New Roman" w:hAnsi="Times New Roman" w:cs="Times New Roman"/>
          <w:sz w:val="24"/>
          <w:szCs w:val="24"/>
          <w:lang w:val="fr-FR"/>
        </w:rPr>
        <w:t xml:space="preserve">le </w:t>
      </w:r>
      <w:r w:rsidR="003A74DE">
        <w:rPr>
          <w:rFonts w:ascii="Times New Roman" w:hAnsi="Times New Roman" w:cs="Times New Roman"/>
          <w:sz w:val="24"/>
          <w:szCs w:val="24"/>
          <w:lang w:val="fr-FR"/>
        </w:rPr>
        <w:t xml:space="preserve">programme </w:t>
      </w:r>
      <w:r w:rsidR="000E69E8">
        <w:rPr>
          <w:rFonts w:ascii="Times New Roman" w:hAnsi="Times New Roman" w:cs="Times New Roman"/>
          <w:sz w:val="24"/>
          <w:szCs w:val="24"/>
          <w:lang w:val="fr-FR"/>
        </w:rPr>
        <w:t xml:space="preserve">tant au niveau stratégique que sur </w:t>
      </w:r>
      <w:r w:rsidR="009F456F">
        <w:rPr>
          <w:rFonts w:ascii="Times New Roman" w:hAnsi="Times New Roman" w:cs="Times New Roman"/>
          <w:sz w:val="24"/>
          <w:szCs w:val="24"/>
          <w:lang w:val="fr-FR"/>
        </w:rPr>
        <w:t xml:space="preserve">le </w:t>
      </w:r>
      <w:r w:rsidR="000E69E8">
        <w:rPr>
          <w:rFonts w:ascii="Times New Roman" w:hAnsi="Times New Roman" w:cs="Times New Roman"/>
          <w:sz w:val="24"/>
          <w:szCs w:val="24"/>
          <w:lang w:val="fr-FR"/>
        </w:rPr>
        <w:t>plan opérationnel</w:t>
      </w:r>
      <w:r w:rsidR="006E357A">
        <w:rPr>
          <w:rFonts w:ascii="Times New Roman" w:hAnsi="Times New Roman" w:cs="Times New Roman"/>
          <w:sz w:val="24"/>
          <w:szCs w:val="24"/>
          <w:lang w:val="fr-FR"/>
        </w:rPr>
        <w:t xml:space="preserve"> sur toute l’étendue du</w:t>
      </w:r>
      <w:r w:rsidR="000E69E8">
        <w:rPr>
          <w:rFonts w:ascii="Times New Roman" w:hAnsi="Times New Roman" w:cs="Times New Roman"/>
          <w:sz w:val="24"/>
          <w:szCs w:val="24"/>
          <w:lang w:val="fr-FR"/>
        </w:rPr>
        <w:t xml:space="preserve"> territoire</w:t>
      </w:r>
      <w:r w:rsidR="00A9046C">
        <w:rPr>
          <w:rFonts w:ascii="Times New Roman" w:hAnsi="Times New Roman" w:cs="Times New Roman"/>
          <w:sz w:val="24"/>
          <w:szCs w:val="24"/>
          <w:lang w:val="fr-FR"/>
        </w:rPr>
        <w:t xml:space="preserve">.  </w:t>
      </w:r>
    </w:p>
    <w:p w:rsidR="00F96A26" w:rsidRPr="00E37BBE" w:rsidRDefault="00F96A26" w:rsidP="001B6F11">
      <w:pPr>
        <w:pStyle w:val="BodyText2"/>
        <w:spacing w:before="120" w:line="276" w:lineRule="auto"/>
        <w:rPr>
          <w:rFonts w:ascii="Times New Roman" w:hAnsi="Times New Roman" w:cs="Times New Roman"/>
          <w:sz w:val="24"/>
          <w:szCs w:val="24"/>
          <w:lang w:val="fr-FR"/>
        </w:rPr>
      </w:pPr>
      <w:r w:rsidRPr="00E37BBE">
        <w:rPr>
          <w:rFonts w:ascii="Times New Roman" w:hAnsi="Times New Roman" w:cs="Times New Roman"/>
          <w:sz w:val="24"/>
          <w:szCs w:val="24"/>
          <w:lang w:val="fr-FR"/>
        </w:rPr>
        <w:t>L’é</w:t>
      </w:r>
      <w:r>
        <w:rPr>
          <w:rFonts w:ascii="Times New Roman" w:hAnsi="Times New Roman" w:cs="Times New Roman"/>
          <w:sz w:val="24"/>
          <w:szCs w:val="24"/>
          <w:lang w:val="fr-FR"/>
        </w:rPr>
        <w:t>quipe</w:t>
      </w:r>
      <w:r w:rsidRPr="00E37BBE">
        <w:rPr>
          <w:rFonts w:ascii="Times New Roman" w:hAnsi="Times New Roman" w:cs="Times New Roman"/>
          <w:sz w:val="24"/>
          <w:szCs w:val="24"/>
          <w:lang w:val="fr-FR"/>
        </w:rPr>
        <w:t xml:space="preserve"> de l’Unité Post-Crise du PNUD </w:t>
      </w:r>
      <w:r>
        <w:rPr>
          <w:rFonts w:ascii="Times New Roman" w:hAnsi="Times New Roman" w:cs="Times New Roman"/>
          <w:sz w:val="24"/>
          <w:szCs w:val="24"/>
          <w:lang w:val="fr-FR"/>
        </w:rPr>
        <w:t xml:space="preserve">qui a travaillé à plusieurs niveaux </w:t>
      </w:r>
      <w:r w:rsidR="001B6F11">
        <w:rPr>
          <w:rFonts w:ascii="Times New Roman" w:hAnsi="Times New Roman" w:cs="Times New Roman"/>
          <w:sz w:val="24"/>
          <w:szCs w:val="24"/>
          <w:lang w:val="fr-FR"/>
        </w:rPr>
        <w:t>(</w:t>
      </w:r>
      <w:r>
        <w:rPr>
          <w:rFonts w:ascii="Times New Roman" w:hAnsi="Times New Roman" w:cs="Times New Roman"/>
          <w:sz w:val="24"/>
          <w:szCs w:val="24"/>
          <w:lang w:val="fr-FR"/>
        </w:rPr>
        <w:t xml:space="preserve">stratégique </w:t>
      </w:r>
      <w:r w:rsidR="001B6F11">
        <w:rPr>
          <w:rFonts w:ascii="Times New Roman" w:hAnsi="Times New Roman" w:cs="Times New Roman"/>
          <w:sz w:val="24"/>
          <w:szCs w:val="24"/>
          <w:lang w:val="fr-FR"/>
        </w:rPr>
        <w:t xml:space="preserve">et opérationnel) </w:t>
      </w:r>
      <w:r>
        <w:rPr>
          <w:rFonts w:ascii="Times New Roman" w:hAnsi="Times New Roman" w:cs="Times New Roman"/>
          <w:sz w:val="24"/>
          <w:szCs w:val="24"/>
          <w:lang w:val="fr-FR"/>
        </w:rPr>
        <w:t xml:space="preserve">du </w:t>
      </w:r>
      <w:r w:rsidR="003A74DE">
        <w:rPr>
          <w:rFonts w:ascii="Times New Roman" w:hAnsi="Times New Roman" w:cs="Times New Roman"/>
          <w:sz w:val="24"/>
          <w:szCs w:val="24"/>
          <w:lang w:val="fr-FR"/>
        </w:rPr>
        <w:t xml:space="preserve">programme </w:t>
      </w:r>
      <w:r>
        <w:rPr>
          <w:rFonts w:ascii="Times New Roman" w:hAnsi="Times New Roman" w:cs="Times New Roman"/>
          <w:sz w:val="24"/>
          <w:szCs w:val="24"/>
          <w:lang w:val="fr-FR"/>
        </w:rPr>
        <w:t xml:space="preserve">est </w:t>
      </w:r>
      <w:r w:rsidR="001B6F11">
        <w:rPr>
          <w:rFonts w:ascii="Times New Roman" w:hAnsi="Times New Roman" w:cs="Times New Roman"/>
          <w:sz w:val="24"/>
          <w:szCs w:val="24"/>
          <w:lang w:val="fr-FR"/>
        </w:rPr>
        <w:t>composée comme suit</w:t>
      </w:r>
      <w:r w:rsidRPr="00E37BBE">
        <w:rPr>
          <w:rFonts w:ascii="Times New Roman" w:hAnsi="Times New Roman" w:cs="Times New Roman"/>
          <w:sz w:val="24"/>
          <w:szCs w:val="24"/>
          <w:lang w:val="fr-FR"/>
        </w:rPr>
        <w:t>:</w:t>
      </w:r>
    </w:p>
    <w:p w:rsidR="00F96A26" w:rsidRPr="00A017BC" w:rsidRDefault="00F96A26" w:rsidP="001B6F11">
      <w:pPr>
        <w:pStyle w:val="BodyText2"/>
        <w:numPr>
          <w:ilvl w:val="0"/>
          <w:numId w:val="9"/>
        </w:numPr>
        <w:spacing w:line="276" w:lineRule="auto"/>
        <w:rPr>
          <w:rFonts w:ascii="Times New Roman" w:hAnsi="Times New Roman" w:cs="Times New Roman"/>
          <w:sz w:val="24"/>
          <w:szCs w:val="24"/>
          <w:lang w:val="fr-FR"/>
        </w:rPr>
      </w:pPr>
      <w:r w:rsidRPr="00A017BC">
        <w:rPr>
          <w:rFonts w:ascii="Times New Roman" w:hAnsi="Times New Roman" w:cs="Times New Roman"/>
          <w:sz w:val="24"/>
          <w:szCs w:val="24"/>
          <w:lang w:val="fr-FR"/>
        </w:rPr>
        <w:lastRenderedPageBreak/>
        <w:t xml:space="preserve">Un </w:t>
      </w:r>
      <w:r w:rsidR="001B6F11">
        <w:rPr>
          <w:rFonts w:ascii="Times New Roman" w:hAnsi="Times New Roman" w:cs="Times New Roman"/>
          <w:sz w:val="24"/>
          <w:szCs w:val="24"/>
          <w:lang w:val="fr-FR"/>
        </w:rPr>
        <w:t>Conseiller Principal, Gestionnaire en chef du</w:t>
      </w:r>
      <w:r w:rsidRPr="00A017BC">
        <w:rPr>
          <w:rFonts w:ascii="Times New Roman" w:hAnsi="Times New Roman" w:cs="Times New Roman"/>
          <w:sz w:val="24"/>
          <w:szCs w:val="24"/>
          <w:lang w:val="fr-FR"/>
        </w:rPr>
        <w:t xml:space="preserve"> projet, membre du Comité d’Approbation des Projets (CAP) </w:t>
      </w:r>
      <w:r w:rsidR="00360F9E">
        <w:rPr>
          <w:rFonts w:ascii="Times New Roman" w:hAnsi="Times New Roman" w:cs="Times New Roman"/>
          <w:sz w:val="24"/>
          <w:szCs w:val="24"/>
          <w:lang w:val="fr-FR"/>
        </w:rPr>
        <w:t>basé à Abidjan ;</w:t>
      </w:r>
    </w:p>
    <w:p w:rsidR="00F96A26" w:rsidRPr="00A017BC" w:rsidRDefault="00FE51A7" w:rsidP="00641B4D">
      <w:pPr>
        <w:pStyle w:val="BodyText2"/>
        <w:keepNext/>
        <w:keepLines/>
        <w:numPr>
          <w:ilvl w:val="0"/>
          <w:numId w:val="9"/>
        </w:numPr>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Un responsable G</w:t>
      </w:r>
      <w:r w:rsidR="00F96A26" w:rsidRPr="00A017BC">
        <w:rPr>
          <w:rFonts w:ascii="Times New Roman" w:hAnsi="Times New Roman" w:cs="Times New Roman"/>
          <w:sz w:val="24"/>
          <w:szCs w:val="24"/>
          <w:lang w:val="fr-FR"/>
        </w:rPr>
        <w:t>estionnaire adjoint en charge du suivi et évaluation, membre suppléant du CAP</w:t>
      </w:r>
      <w:r w:rsidR="00360F9E">
        <w:rPr>
          <w:rFonts w:ascii="Times New Roman" w:hAnsi="Times New Roman" w:cs="Times New Roman"/>
          <w:sz w:val="24"/>
          <w:szCs w:val="24"/>
          <w:lang w:val="fr-FR"/>
        </w:rPr>
        <w:t xml:space="preserve"> bas</w:t>
      </w:r>
      <w:r>
        <w:rPr>
          <w:rFonts w:ascii="Times New Roman" w:hAnsi="Times New Roman" w:cs="Times New Roman"/>
          <w:sz w:val="24"/>
          <w:szCs w:val="24"/>
          <w:lang w:val="fr-FR"/>
        </w:rPr>
        <w:t>é</w:t>
      </w:r>
      <w:r w:rsidR="00360F9E">
        <w:rPr>
          <w:rFonts w:ascii="Times New Roman" w:hAnsi="Times New Roman" w:cs="Times New Roman"/>
          <w:sz w:val="24"/>
          <w:szCs w:val="24"/>
          <w:lang w:val="fr-FR"/>
        </w:rPr>
        <w:t xml:space="preserve"> à Abidjan ;</w:t>
      </w:r>
    </w:p>
    <w:p w:rsidR="00F96A26" w:rsidRDefault="00A017BC" w:rsidP="00641B4D">
      <w:pPr>
        <w:pStyle w:val="BodyText2"/>
        <w:numPr>
          <w:ilvl w:val="0"/>
          <w:numId w:val="9"/>
        </w:numPr>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U</w:t>
      </w:r>
      <w:r w:rsidR="003B010B">
        <w:rPr>
          <w:rFonts w:ascii="Times New Roman" w:hAnsi="Times New Roman" w:cs="Times New Roman"/>
          <w:sz w:val="24"/>
          <w:szCs w:val="24"/>
          <w:lang w:val="fr-FR"/>
        </w:rPr>
        <w:t>n Conseiller</w:t>
      </w:r>
      <w:r w:rsidR="001B6F11">
        <w:rPr>
          <w:rFonts w:ascii="Times New Roman" w:hAnsi="Times New Roman" w:cs="Times New Roman"/>
          <w:sz w:val="24"/>
          <w:szCs w:val="24"/>
          <w:lang w:val="fr-FR"/>
        </w:rPr>
        <w:t xml:space="preserve"> DDR ;</w:t>
      </w:r>
    </w:p>
    <w:p w:rsidR="003B010B" w:rsidRPr="002722B8" w:rsidRDefault="008E7B23" w:rsidP="00641B4D">
      <w:pPr>
        <w:pStyle w:val="BodyText2"/>
        <w:numPr>
          <w:ilvl w:val="0"/>
          <w:numId w:val="9"/>
        </w:numPr>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Une </w:t>
      </w:r>
      <w:r w:rsidRPr="002722B8">
        <w:rPr>
          <w:rFonts w:ascii="Times New Roman" w:hAnsi="Times New Roman" w:cs="Times New Roman"/>
          <w:sz w:val="24"/>
          <w:szCs w:val="24"/>
          <w:lang w:val="fr-FR"/>
        </w:rPr>
        <w:t>A</w:t>
      </w:r>
      <w:r w:rsidR="003B010B" w:rsidRPr="002722B8">
        <w:rPr>
          <w:rFonts w:ascii="Times New Roman" w:hAnsi="Times New Roman" w:cs="Times New Roman"/>
          <w:sz w:val="24"/>
          <w:szCs w:val="24"/>
          <w:lang w:val="fr-FR"/>
        </w:rPr>
        <w:t>ssistante administrative ;</w:t>
      </w:r>
    </w:p>
    <w:p w:rsidR="00F96A26" w:rsidRPr="002722B8" w:rsidRDefault="00F96A26" w:rsidP="00641B4D">
      <w:pPr>
        <w:pStyle w:val="BodyText2"/>
        <w:numPr>
          <w:ilvl w:val="0"/>
          <w:numId w:val="9"/>
        </w:numPr>
        <w:spacing w:line="276" w:lineRule="auto"/>
        <w:rPr>
          <w:rFonts w:ascii="Times New Roman" w:hAnsi="Times New Roman" w:cs="Times New Roman"/>
          <w:sz w:val="24"/>
          <w:szCs w:val="24"/>
          <w:lang w:val="fr-FR"/>
        </w:rPr>
      </w:pPr>
      <w:r w:rsidRPr="002722B8">
        <w:rPr>
          <w:rFonts w:ascii="Times New Roman" w:hAnsi="Times New Roman" w:cs="Times New Roman"/>
          <w:sz w:val="24"/>
          <w:szCs w:val="24"/>
          <w:lang w:val="fr-FR"/>
        </w:rPr>
        <w:t>4 Conseillers en Relèvem</w:t>
      </w:r>
      <w:r w:rsidR="00A017BC" w:rsidRPr="002722B8">
        <w:rPr>
          <w:rFonts w:ascii="Times New Roman" w:hAnsi="Times New Roman" w:cs="Times New Roman"/>
          <w:sz w:val="24"/>
          <w:szCs w:val="24"/>
          <w:lang w:val="fr-FR"/>
        </w:rPr>
        <w:t xml:space="preserve">ent Communautaire et 4 </w:t>
      </w:r>
      <w:r w:rsidR="00FE51A7" w:rsidRPr="002722B8">
        <w:rPr>
          <w:rFonts w:ascii="Times New Roman" w:hAnsi="Times New Roman" w:cs="Times New Roman"/>
          <w:sz w:val="24"/>
          <w:szCs w:val="24"/>
          <w:lang w:val="fr-FR"/>
        </w:rPr>
        <w:t xml:space="preserve">Coordonnateurs des Unités Opérationnelles d’Appui (UOA) du PNUD </w:t>
      </w:r>
      <w:r w:rsidRPr="002722B8">
        <w:rPr>
          <w:rFonts w:ascii="Times New Roman" w:hAnsi="Times New Roman" w:cs="Times New Roman"/>
          <w:sz w:val="24"/>
          <w:szCs w:val="24"/>
          <w:lang w:val="fr-FR"/>
        </w:rPr>
        <w:t>(Bondoukou, Bouaké, Korhogo et Guiglo)</w:t>
      </w:r>
      <w:r w:rsidR="00360F9E" w:rsidRPr="002722B8">
        <w:rPr>
          <w:rFonts w:ascii="Times New Roman" w:hAnsi="Times New Roman" w:cs="Times New Roman"/>
          <w:sz w:val="24"/>
          <w:szCs w:val="24"/>
          <w:lang w:val="fr-FR"/>
        </w:rPr>
        <w:t> ;</w:t>
      </w:r>
    </w:p>
    <w:p w:rsidR="00F96A26" w:rsidRPr="002722B8" w:rsidRDefault="008E7B23" w:rsidP="00A017BC">
      <w:pPr>
        <w:pStyle w:val="BodyText2"/>
        <w:numPr>
          <w:ilvl w:val="0"/>
          <w:numId w:val="9"/>
        </w:numPr>
        <w:spacing w:after="240" w:line="276" w:lineRule="auto"/>
        <w:rPr>
          <w:rFonts w:ascii="Times New Roman" w:hAnsi="Times New Roman" w:cs="Times New Roman"/>
          <w:sz w:val="24"/>
          <w:szCs w:val="24"/>
          <w:lang w:val="fr-FR"/>
        </w:rPr>
      </w:pPr>
      <w:r w:rsidRPr="002722B8">
        <w:rPr>
          <w:rFonts w:ascii="Times New Roman" w:hAnsi="Times New Roman" w:cs="Times New Roman"/>
          <w:sz w:val="24"/>
          <w:szCs w:val="24"/>
          <w:lang w:val="fr-FR"/>
        </w:rPr>
        <w:t>2 S</w:t>
      </w:r>
      <w:r w:rsidR="00F96A26" w:rsidRPr="002722B8">
        <w:rPr>
          <w:rFonts w:ascii="Times New Roman" w:hAnsi="Times New Roman" w:cs="Times New Roman"/>
          <w:sz w:val="24"/>
          <w:szCs w:val="24"/>
          <w:lang w:val="fr-FR"/>
        </w:rPr>
        <w:t>pécialistes DDR/</w:t>
      </w:r>
      <w:r w:rsidR="00A017BC" w:rsidRPr="002722B8">
        <w:rPr>
          <w:rFonts w:ascii="Times New Roman" w:hAnsi="Times New Roman" w:cs="Times New Roman"/>
          <w:sz w:val="24"/>
          <w:szCs w:val="24"/>
          <w:lang w:val="fr-FR"/>
        </w:rPr>
        <w:t>VNU</w:t>
      </w:r>
      <w:r w:rsidR="00F96A26" w:rsidRPr="002722B8">
        <w:rPr>
          <w:rFonts w:ascii="Times New Roman" w:hAnsi="Times New Roman" w:cs="Times New Roman"/>
          <w:sz w:val="24"/>
          <w:szCs w:val="24"/>
          <w:lang w:val="fr-FR"/>
        </w:rPr>
        <w:t>, à Korhogo et</w:t>
      </w:r>
      <w:r w:rsidR="00360F9E" w:rsidRPr="002722B8">
        <w:rPr>
          <w:rFonts w:ascii="Times New Roman" w:hAnsi="Times New Roman" w:cs="Times New Roman"/>
          <w:sz w:val="24"/>
          <w:szCs w:val="24"/>
          <w:lang w:val="fr-FR"/>
        </w:rPr>
        <w:t xml:space="preserve"> Guiglo.</w:t>
      </w:r>
    </w:p>
    <w:p w:rsidR="00F96A26" w:rsidRPr="002722B8" w:rsidRDefault="00F96A26" w:rsidP="00641B4D">
      <w:pPr>
        <w:pStyle w:val="BodyText2"/>
        <w:spacing w:line="276" w:lineRule="auto"/>
        <w:rPr>
          <w:rFonts w:ascii="Times New Roman" w:hAnsi="Times New Roman" w:cs="Times New Roman"/>
          <w:sz w:val="24"/>
          <w:szCs w:val="24"/>
          <w:lang w:val="fr-FR"/>
        </w:rPr>
      </w:pPr>
      <w:r w:rsidRPr="002722B8">
        <w:rPr>
          <w:rFonts w:ascii="Times New Roman" w:hAnsi="Times New Roman" w:cs="Times New Roman"/>
          <w:sz w:val="24"/>
          <w:szCs w:val="24"/>
          <w:lang w:val="fr-FR"/>
        </w:rPr>
        <w:t xml:space="preserve">La division DDR de l’ONUCI </w:t>
      </w:r>
      <w:r w:rsidR="008E7B23" w:rsidRPr="002722B8">
        <w:rPr>
          <w:rFonts w:ascii="Times New Roman" w:hAnsi="Times New Roman" w:cs="Times New Roman"/>
          <w:sz w:val="24"/>
          <w:szCs w:val="24"/>
          <w:lang w:val="fr-FR"/>
        </w:rPr>
        <w:t>à</w:t>
      </w:r>
      <w:r w:rsidR="001A4F31" w:rsidRPr="002722B8">
        <w:rPr>
          <w:rFonts w:ascii="Times New Roman" w:hAnsi="Times New Roman" w:cs="Times New Roman"/>
          <w:sz w:val="24"/>
          <w:szCs w:val="24"/>
          <w:lang w:val="fr-FR"/>
        </w:rPr>
        <w:t xml:space="preserve"> travers son unite microprojet a</w:t>
      </w:r>
      <w:r w:rsidRPr="002722B8">
        <w:rPr>
          <w:rFonts w:ascii="Times New Roman" w:hAnsi="Times New Roman" w:cs="Times New Roman"/>
          <w:sz w:val="24"/>
          <w:szCs w:val="24"/>
          <w:lang w:val="fr-FR"/>
        </w:rPr>
        <w:t xml:space="preserve"> mobilisé </w:t>
      </w:r>
      <w:r w:rsidR="004A19BC" w:rsidRPr="002722B8">
        <w:rPr>
          <w:rFonts w:ascii="Times New Roman" w:hAnsi="Times New Roman" w:cs="Times New Roman"/>
          <w:sz w:val="24"/>
          <w:szCs w:val="24"/>
          <w:lang w:val="fr-FR"/>
        </w:rPr>
        <w:t xml:space="preserve">un </w:t>
      </w:r>
      <w:r w:rsidRPr="002722B8">
        <w:rPr>
          <w:rFonts w:ascii="Times New Roman" w:hAnsi="Times New Roman" w:cs="Times New Roman"/>
          <w:sz w:val="24"/>
          <w:szCs w:val="24"/>
          <w:lang w:val="fr-FR"/>
        </w:rPr>
        <w:t xml:space="preserve">effectif </w:t>
      </w:r>
      <w:r w:rsidR="004A19BC" w:rsidRPr="002722B8">
        <w:rPr>
          <w:rFonts w:ascii="Times New Roman" w:hAnsi="Times New Roman" w:cs="Times New Roman"/>
          <w:sz w:val="24"/>
          <w:szCs w:val="24"/>
          <w:lang w:val="fr-FR"/>
        </w:rPr>
        <w:t xml:space="preserve">de 22 personnes </w:t>
      </w:r>
      <w:r w:rsidRPr="002722B8">
        <w:rPr>
          <w:rFonts w:ascii="Times New Roman" w:hAnsi="Times New Roman" w:cs="Times New Roman"/>
          <w:sz w:val="24"/>
          <w:szCs w:val="24"/>
          <w:lang w:val="fr-FR"/>
        </w:rPr>
        <w:t xml:space="preserve">pour </w:t>
      </w:r>
      <w:r w:rsidR="004A19BC" w:rsidRPr="002722B8">
        <w:rPr>
          <w:rFonts w:ascii="Times New Roman" w:hAnsi="Times New Roman" w:cs="Times New Roman"/>
          <w:sz w:val="24"/>
          <w:szCs w:val="24"/>
          <w:lang w:val="fr-FR"/>
        </w:rPr>
        <w:t>la mise en œuvre et le suivi du programme.</w:t>
      </w:r>
    </w:p>
    <w:p w:rsidR="00F96A26" w:rsidRPr="002722B8" w:rsidRDefault="004A19BC" w:rsidP="00641B4D">
      <w:pPr>
        <w:pStyle w:val="BodyText2"/>
        <w:numPr>
          <w:ilvl w:val="0"/>
          <w:numId w:val="8"/>
        </w:numPr>
        <w:spacing w:line="276" w:lineRule="auto"/>
        <w:rPr>
          <w:rFonts w:ascii="Times New Roman" w:hAnsi="Times New Roman" w:cs="Times New Roman"/>
          <w:sz w:val="24"/>
          <w:szCs w:val="24"/>
          <w:lang w:val="fr-FR"/>
        </w:rPr>
      </w:pPr>
      <w:r w:rsidRPr="002722B8">
        <w:rPr>
          <w:rFonts w:ascii="Times New Roman" w:hAnsi="Times New Roman" w:cs="Times New Roman"/>
          <w:sz w:val="24"/>
          <w:szCs w:val="24"/>
          <w:lang w:val="fr-FR"/>
        </w:rPr>
        <w:t>1 Chef de Division</w:t>
      </w:r>
      <w:r w:rsidR="008E7B23" w:rsidRPr="002722B8">
        <w:rPr>
          <w:rFonts w:ascii="Times New Roman" w:hAnsi="Times New Roman" w:cs="Times New Roman"/>
          <w:sz w:val="24"/>
          <w:szCs w:val="24"/>
          <w:lang w:val="fr-FR"/>
        </w:rPr>
        <w:t> ;</w:t>
      </w:r>
      <w:r w:rsidR="009F456F" w:rsidRPr="002722B8">
        <w:rPr>
          <w:rFonts w:ascii="Times New Roman" w:hAnsi="Times New Roman" w:cs="Times New Roman"/>
          <w:sz w:val="24"/>
          <w:szCs w:val="24"/>
          <w:lang w:val="fr-FR"/>
        </w:rPr>
        <w:t xml:space="preserve"> </w:t>
      </w:r>
    </w:p>
    <w:p w:rsidR="00F96A26" w:rsidRPr="002722B8" w:rsidRDefault="008E7B23" w:rsidP="00641B4D">
      <w:pPr>
        <w:pStyle w:val="BodyText2"/>
        <w:numPr>
          <w:ilvl w:val="0"/>
          <w:numId w:val="8"/>
        </w:numPr>
        <w:spacing w:line="276" w:lineRule="auto"/>
        <w:rPr>
          <w:rFonts w:ascii="Times New Roman" w:hAnsi="Times New Roman" w:cs="Times New Roman"/>
          <w:sz w:val="24"/>
          <w:szCs w:val="24"/>
          <w:lang w:val="fr-FR"/>
        </w:rPr>
      </w:pPr>
      <w:r w:rsidRPr="002722B8">
        <w:rPr>
          <w:rFonts w:ascii="Times New Roman" w:hAnsi="Times New Roman" w:cs="Times New Roman"/>
          <w:sz w:val="24"/>
          <w:szCs w:val="24"/>
          <w:lang w:val="fr-FR"/>
        </w:rPr>
        <w:t>8 O</w:t>
      </w:r>
      <w:r w:rsidR="004A19BC" w:rsidRPr="002722B8">
        <w:rPr>
          <w:rFonts w:ascii="Times New Roman" w:hAnsi="Times New Roman" w:cs="Times New Roman"/>
          <w:sz w:val="24"/>
          <w:szCs w:val="24"/>
          <w:lang w:val="fr-FR"/>
        </w:rPr>
        <w:t>fficiers DDR</w:t>
      </w:r>
      <w:r w:rsidRPr="002722B8">
        <w:rPr>
          <w:rFonts w:ascii="Times New Roman" w:hAnsi="Times New Roman" w:cs="Times New Roman"/>
          <w:sz w:val="24"/>
          <w:szCs w:val="24"/>
          <w:lang w:val="fr-FR"/>
        </w:rPr>
        <w:t> ;</w:t>
      </w:r>
    </w:p>
    <w:p w:rsidR="00F96A26" w:rsidRPr="002722B8" w:rsidRDefault="00F96A26" w:rsidP="001B6F11">
      <w:pPr>
        <w:pStyle w:val="BodyText2"/>
        <w:numPr>
          <w:ilvl w:val="0"/>
          <w:numId w:val="8"/>
        </w:numPr>
        <w:spacing w:line="276" w:lineRule="auto"/>
        <w:rPr>
          <w:rFonts w:ascii="Times New Roman" w:hAnsi="Times New Roman" w:cs="Times New Roman"/>
          <w:sz w:val="24"/>
          <w:szCs w:val="24"/>
          <w:lang w:val="fr-FR"/>
        </w:rPr>
      </w:pPr>
      <w:r w:rsidRPr="002722B8">
        <w:rPr>
          <w:rFonts w:ascii="Times New Roman" w:hAnsi="Times New Roman" w:cs="Times New Roman"/>
          <w:sz w:val="24"/>
          <w:szCs w:val="24"/>
          <w:lang w:val="fr-FR"/>
        </w:rPr>
        <w:t>1</w:t>
      </w:r>
      <w:r w:rsidR="004A19BC" w:rsidRPr="002722B8">
        <w:rPr>
          <w:rFonts w:ascii="Times New Roman" w:hAnsi="Times New Roman" w:cs="Times New Roman"/>
          <w:sz w:val="24"/>
          <w:szCs w:val="24"/>
          <w:lang w:val="fr-FR"/>
        </w:rPr>
        <w:t xml:space="preserve">4 </w:t>
      </w:r>
      <w:r w:rsidRPr="002722B8">
        <w:rPr>
          <w:rFonts w:ascii="Times New Roman" w:hAnsi="Times New Roman" w:cs="Times New Roman"/>
          <w:sz w:val="24"/>
          <w:szCs w:val="24"/>
          <w:lang w:val="fr-FR"/>
        </w:rPr>
        <w:t xml:space="preserve">VNU </w:t>
      </w:r>
      <w:r w:rsidR="008E7B23" w:rsidRPr="002722B8">
        <w:rPr>
          <w:rFonts w:ascii="Times New Roman" w:hAnsi="Times New Roman" w:cs="Times New Roman"/>
          <w:sz w:val="24"/>
          <w:szCs w:val="24"/>
          <w:lang w:val="fr-FR"/>
        </w:rPr>
        <w:t>déployés</w:t>
      </w:r>
      <w:r w:rsidR="004A19BC" w:rsidRPr="002722B8">
        <w:rPr>
          <w:rFonts w:ascii="Times New Roman" w:hAnsi="Times New Roman" w:cs="Times New Roman"/>
          <w:sz w:val="24"/>
          <w:szCs w:val="24"/>
          <w:lang w:val="fr-FR"/>
        </w:rPr>
        <w:t xml:space="preserve"> dans les differentes regions du pays.</w:t>
      </w:r>
    </w:p>
    <w:p w:rsidR="00F96A26" w:rsidRPr="002722B8" w:rsidRDefault="008E7B23" w:rsidP="00641B4D">
      <w:pPr>
        <w:pStyle w:val="BodyText2"/>
        <w:numPr>
          <w:ilvl w:val="0"/>
          <w:numId w:val="8"/>
        </w:numPr>
        <w:spacing w:after="240" w:line="276" w:lineRule="auto"/>
        <w:rPr>
          <w:rFonts w:ascii="Times New Roman" w:hAnsi="Times New Roman" w:cs="Times New Roman"/>
          <w:sz w:val="24"/>
          <w:szCs w:val="24"/>
          <w:lang w:val="fr-FR"/>
        </w:rPr>
      </w:pPr>
      <w:r w:rsidRPr="002722B8">
        <w:rPr>
          <w:rFonts w:ascii="Times New Roman" w:hAnsi="Times New Roman" w:cs="Times New Roman"/>
          <w:sz w:val="24"/>
          <w:szCs w:val="24"/>
          <w:lang w:val="fr-FR"/>
        </w:rPr>
        <w:t>3 A</w:t>
      </w:r>
      <w:r w:rsidR="00F96A26" w:rsidRPr="002722B8">
        <w:rPr>
          <w:rFonts w:ascii="Times New Roman" w:hAnsi="Times New Roman" w:cs="Times New Roman"/>
          <w:sz w:val="24"/>
          <w:szCs w:val="24"/>
          <w:lang w:val="fr-FR"/>
        </w:rPr>
        <w:t>ssistantes administratives</w:t>
      </w:r>
      <w:r w:rsidR="004A19BC" w:rsidRPr="002722B8">
        <w:rPr>
          <w:rFonts w:ascii="Times New Roman" w:hAnsi="Times New Roman" w:cs="Times New Roman"/>
          <w:sz w:val="24"/>
          <w:szCs w:val="24"/>
          <w:lang w:val="fr-FR"/>
        </w:rPr>
        <w:t>/techniques</w:t>
      </w:r>
      <w:r w:rsidR="00F96A26" w:rsidRPr="002722B8">
        <w:rPr>
          <w:rFonts w:ascii="Times New Roman" w:hAnsi="Times New Roman" w:cs="Times New Roman"/>
          <w:sz w:val="24"/>
          <w:szCs w:val="24"/>
          <w:lang w:val="fr-FR"/>
        </w:rPr>
        <w:t>.</w:t>
      </w:r>
    </w:p>
    <w:p w:rsidR="00A9046C" w:rsidRPr="002722B8" w:rsidRDefault="001B6F11" w:rsidP="001B6F11">
      <w:pPr>
        <w:pStyle w:val="BodyText2"/>
        <w:spacing w:before="120" w:after="240" w:line="276" w:lineRule="auto"/>
        <w:rPr>
          <w:rFonts w:ascii="Times New Roman" w:hAnsi="Times New Roman" w:cs="Times New Roman"/>
          <w:sz w:val="24"/>
          <w:szCs w:val="24"/>
          <w:lang w:val="fr-FR"/>
        </w:rPr>
      </w:pPr>
      <w:r w:rsidRPr="002722B8">
        <w:rPr>
          <w:rFonts w:ascii="Times New Roman" w:hAnsi="Times New Roman" w:cs="Times New Roman"/>
          <w:sz w:val="24"/>
          <w:szCs w:val="24"/>
          <w:lang w:val="fr-FR"/>
        </w:rPr>
        <w:t xml:space="preserve">Le travail de l’équipe conjointe </w:t>
      </w:r>
      <w:r w:rsidR="00CD5FD5" w:rsidRPr="002722B8">
        <w:rPr>
          <w:rFonts w:ascii="Times New Roman" w:hAnsi="Times New Roman" w:cs="Times New Roman"/>
          <w:sz w:val="24"/>
          <w:szCs w:val="24"/>
          <w:lang w:val="fr-FR"/>
        </w:rPr>
        <w:t xml:space="preserve">s’est fait en collaboration avec les </w:t>
      </w:r>
      <w:r w:rsidRPr="002722B8">
        <w:rPr>
          <w:rFonts w:ascii="Times New Roman" w:hAnsi="Times New Roman" w:cs="Times New Roman"/>
          <w:sz w:val="24"/>
          <w:szCs w:val="24"/>
          <w:lang w:val="fr-FR"/>
        </w:rPr>
        <w:t>structures nationales telles que</w:t>
      </w:r>
      <w:r w:rsidR="00A9046C" w:rsidRPr="002722B8">
        <w:rPr>
          <w:rFonts w:ascii="Times New Roman" w:hAnsi="Times New Roman" w:cs="Times New Roman"/>
          <w:sz w:val="24"/>
          <w:szCs w:val="24"/>
          <w:lang w:val="fr-FR"/>
        </w:rPr>
        <w:t xml:space="preserve"> le Programme National de Réinsertion et de Réhabilitation Communautaire</w:t>
      </w:r>
      <w:r w:rsidR="00CD5FD5" w:rsidRPr="002722B8">
        <w:rPr>
          <w:rFonts w:ascii="Times New Roman" w:hAnsi="Times New Roman" w:cs="Times New Roman"/>
          <w:sz w:val="24"/>
          <w:szCs w:val="24"/>
          <w:lang w:val="fr-FR"/>
        </w:rPr>
        <w:t xml:space="preserve"> (PNRRC)</w:t>
      </w:r>
      <w:r w:rsidR="00A9046C" w:rsidRPr="002722B8">
        <w:rPr>
          <w:rFonts w:ascii="Times New Roman" w:hAnsi="Times New Roman" w:cs="Times New Roman"/>
          <w:sz w:val="24"/>
          <w:szCs w:val="24"/>
          <w:lang w:val="fr-FR"/>
        </w:rPr>
        <w:t>, les préfe</w:t>
      </w:r>
      <w:r w:rsidRPr="002722B8">
        <w:rPr>
          <w:rFonts w:ascii="Times New Roman" w:hAnsi="Times New Roman" w:cs="Times New Roman"/>
          <w:sz w:val="24"/>
          <w:szCs w:val="24"/>
          <w:lang w:val="fr-FR"/>
        </w:rPr>
        <w:t>ctures et les chefs coutumiers. Le programme</w:t>
      </w:r>
      <w:r w:rsidR="00A9046C" w:rsidRPr="002722B8">
        <w:rPr>
          <w:rFonts w:ascii="Times New Roman" w:hAnsi="Times New Roman" w:cs="Times New Roman"/>
          <w:sz w:val="24"/>
          <w:szCs w:val="24"/>
          <w:lang w:val="fr-FR"/>
        </w:rPr>
        <w:t xml:space="preserve"> a orien</w:t>
      </w:r>
      <w:r w:rsidR="00F60549" w:rsidRPr="002722B8">
        <w:rPr>
          <w:rFonts w:ascii="Times New Roman" w:hAnsi="Times New Roman" w:cs="Times New Roman"/>
          <w:sz w:val="24"/>
          <w:szCs w:val="24"/>
          <w:lang w:val="fr-FR"/>
        </w:rPr>
        <w:t>té le maximum des fonds (environ</w:t>
      </w:r>
      <w:r w:rsidR="00A9046C" w:rsidRPr="002722B8">
        <w:rPr>
          <w:rFonts w:ascii="Times New Roman" w:hAnsi="Times New Roman" w:cs="Times New Roman"/>
          <w:sz w:val="24"/>
          <w:szCs w:val="24"/>
          <w:lang w:val="fr-FR"/>
        </w:rPr>
        <w:t xml:space="preserve"> 85% du montant global) à l’exécution effective des activités</w:t>
      </w:r>
      <w:r w:rsidR="00F96A26" w:rsidRPr="002722B8">
        <w:rPr>
          <w:rFonts w:ascii="Times New Roman" w:hAnsi="Times New Roman" w:cs="Times New Roman"/>
          <w:sz w:val="24"/>
          <w:szCs w:val="24"/>
          <w:lang w:val="fr-FR"/>
        </w:rPr>
        <w:t xml:space="preserve"> prévues</w:t>
      </w:r>
      <w:r w:rsidR="00A9046C" w:rsidRPr="002722B8">
        <w:rPr>
          <w:rFonts w:ascii="Times New Roman" w:hAnsi="Times New Roman" w:cs="Times New Roman"/>
          <w:sz w:val="24"/>
          <w:szCs w:val="24"/>
          <w:lang w:val="fr-FR"/>
        </w:rPr>
        <w:t xml:space="preserve">. </w:t>
      </w:r>
      <w:r w:rsidRPr="002722B8">
        <w:rPr>
          <w:rFonts w:ascii="Times New Roman" w:hAnsi="Times New Roman" w:cs="Times New Roman"/>
          <w:sz w:val="24"/>
          <w:szCs w:val="24"/>
          <w:lang w:val="fr-FR"/>
        </w:rPr>
        <w:t xml:space="preserve">Cela a permis une pleine appropriation </w:t>
      </w:r>
      <w:r w:rsidR="00FE70E1" w:rsidRPr="002722B8">
        <w:rPr>
          <w:rFonts w:ascii="Times New Roman" w:hAnsi="Times New Roman" w:cs="Times New Roman"/>
          <w:sz w:val="24"/>
          <w:szCs w:val="24"/>
          <w:lang w:val="fr-FR"/>
        </w:rPr>
        <w:t>au</w:t>
      </w:r>
      <w:r w:rsidRPr="002722B8">
        <w:rPr>
          <w:rFonts w:ascii="Times New Roman" w:hAnsi="Times New Roman" w:cs="Times New Roman"/>
          <w:sz w:val="24"/>
          <w:szCs w:val="24"/>
          <w:lang w:val="fr-FR"/>
        </w:rPr>
        <w:t xml:space="preserve"> </w:t>
      </w:r>
      <w:r w:rsidR="00D07B41" w:rsidRPr="002722B8">
        <w:rPr>
          <w:rFonts w:ascii="Times New Roman" w:hAnsi="Times New Roman" w:cs="Times New Roman"/>
          <w:sz w:val="24"/>
          <w:szCs w:val="24"/>
          <w:lang w:val="fr-FR"/>
        </w:rPr>
        <w:t xml:space="preserve">programme </w:t>
      </w:r>
      <w:r w:rsidRPr="002722B8">
        <w:rPr>
          <w:rFonts w:ascii="Times New Roman" w:hAnsi="Times New Roman" w:cs="Times New Roman"/>
          <w:sz w:val="24"/>
          <w:szCs w:val="24"/>
          <w:lang w:val="fr-FR"/>
        </w:rPr>
        <w:t>par les autorités nationales et les bénéficiaires.</w:t>
      </w:r>
    </w:p>
    <w:p w:rsidR="00F30AA5" w:rsidRPr="002722B8" w:rsidRDefault="003B010B" w:rsidP="003B010B">
      <w:pPr>
        <w:pStyle w:val="BodyText"/>
        <w:numPr>
          <w:ilvl w:val="0"/>
          <w:numId w:val="4"/>
        </w:numPr>
        <w:spacing w:after="240" w:line="276" w:lineRule="auto"/>
        <w:jc w:val="both"/>
        <w:rPr>
          <w:rFonts w:ascii="Times New Roman" w:hAnsi="Times New Roman" w:cs="Times New Roman"/>
          <w:b/>
          <w:sz w:val="24"/>
          <w:lang w:val="fr-FR"/>
        </w:rPr>
      </w:pPr>
      <w:r w:rsidRPr="002722B8">
        <w:rPr>
          <w:rFonts w:ascii="Times New Roman" w:hAnsi="Times New Roman" w:cs="Times New Roman"/>
          <w:b/>
          <w:sz w:val="24"/>
          <w:lang w:val="fr-FR"/>
        </w:rPr>
        <w:t>Arrangements de gestion</w:t>
      </w:r>
    </w:p>
    <w:p w:rsidR="00EA42EE" w:rsidRPr="002722B8" w:rsidRDefault="00F96A26" w:rsidP="00EA42EE">
      <w:pPr>
        <w:spacing w:after="240" w:line="276" w:lineRule="auto"/>
        <w:jc w:val="both"/>
        <w:rPr>
          <w:color w:val="000000"/>
          <w:lang w:val="fr-FR"/>
        </w:rPr>
      </w:pPr>
      <w:r w:rsidRPr="002722B8">
        <w:rPr>
          <w:color w:val="000000"/>
          <w:lang w:val="fr-FR"/>
        </w:rPr>
        <w:t xml:space="preserve">La mise en œuvre </w:t>
      </w:r>
      <w:r w:rsidR="00BD6EE6" w:rsidRPr="002722B8">
        <w:rPr>
          <w:color w:val="000000"/>
          <w:lang w:val="fr-FR"/>
        </w:rPr>
        <w:t xml:space="preserve">globale </w:t>
      </w:r>
      <w:r w:rsidRPr="002722B8">
        <w:rPr>
          <w:color w:val="000000"/>
          <w:lang w:val="fr-FR"/>
        </w:rPr>
        <w:t xml:space="preserve">du </w:t>
      </w:r>
      <w:r w:rsidR="00BB711F" w:rsidRPr="002722B8">
        <w:rPr>
          <w:color w:val="000000"/>
          <w:lang w:val="fr-FR"/>
        </w:rPr>
        <w:t xml:space="preserve">programme </w:t>
      </w:r>
      <w:r w:rsidRPr="002722B8">
        <w:rPr>
          <w:color w:val="000000"/>
          <w:lang w:val="fr-FR"/>
        </w:rPr>
        <w:t>‘1000 microprojets’ s’est faite avec l’appui et le partenariat du Programme National de Réinsertion et de Réhabilitation Communautaire (PNRRC)</w:t>
      </w:r>
      <w:r w:rsidR="00323C6D" w:rsidRPr="002722B8">
        <w:rPr>
          <w:color w:val="000000"/>
          <w:lang w:val="fr-FR"/>
        </w:rPr>
        <w:t xml:space="preserve"> et du Programme du </w:t>
      </w:r>
      <w:r w:rsidR="00EA42EE" w:rsidRPr="002722B8">
        <w:rPr>
          <w:color w:val="000000"/>
          <w:lang w:val="fr-FR"/>
        </w:rPr>
        <w:t>Service Civique National (PSCN)</w:t>
      </w:r>
      <w:r w:rsidR="008A732D" w:rsidRPr="002722B8">
        <w:rPr>
          <w:color w:val="000000"/>
          <w:lang w:val="fr-FR"/>
        </w:rPr>
        <w:t>. C</w:t>
      </w:r>
      <w:r w:rsidR="00EA42EE" w:rsidRPr="002722B8">
        <w:rPr>
          <w:color w:val="000000"/>
          <w:lang w:val="fr-FR"/>
        </w:rPr>
        <w:t xml:space="preserve">es deux structures </w:t>
      </w:r>
      <w:r w:rsidR="008A732D" w:rsidRPr="002722B8">
        <w:rPr>
          <w:color w:val="000000"/>
          <w:lang w:val="fr-FR"/>
        </w:rPr>
        <w:t xml:space="preserve">sont responsables de la prise en </w:t>
      </w:r>
      <w:r w:rsidR="00EA42EE" w:rsidRPr="002722B8">
        <w:rPr>
          <w:color w:val="000000"/>
          <w:lang w:val="fr-FR"/>
        </w:rPr>
        <w:t xml:space="preserve">charge </w:t>
      </w:r>
      <w:r w:rsidR="008A732D" w:rsidRPr="002722B8">
        <w:rPr>
          <w:color w:val="000000"/>
          <w:lang w:val="fr-FR"/>
        </w:rPr>
        <w:t>d</w:t>
      </w:r>
      <w:r w:rsidR="00EA42EE" w:rsidRPr="002722B8">
        <w:rPr>
          <w:color w:val="000000"/>
          <w:lang w:val="fr-FR"/>
        </w:rPr>
        <w:t xml:space="preserve">es ex-combattants démobilisés, </w:t>
      </w:r>
      <w:r w:rsidR="008A732D" w:rsidRPr="002722B8">
        <w:rPr>
          <w:color w:val="000000"/>
          <w:lang w:val="fr-FR"/>
        </w:rPr>
        <w:t>d</w:t>
      </w:r>
      <w:r w:rsidR="00EA42EE" w:rsidRPr="002722B8">
        <w:rPr>
          <w:color w:val="000000"/>
          <w:lang w:val="fr-FR"/>
        </w:rPr>
        <w:t xml:space="preserve">es ex-membres de groupes d’auto-défense et </w:t>
      </w:r>
      <w:r w:rsidR="008A732D" w:rsidRPr="002722B8">
        <w:rPr>
          <w:color w:val="000000"/>
          <w:lang w:val="fr-FR"/>
        </w:rPr>
        <w:t>d</w:t>
      </w:r>
      <w:r w:rsidR="00EA42EE" w:rsidRPr="002722B8">
        <w:rPr>
          <w:color w:val="000000"/>
          <w:lang w:val="fr-FR"/>
        </w:rPr>
        <w:t xml:space="preserve">es jeunes à risque. </w:t>
      </w:r>
    </w:p>
    <w:p w:rsidR="00AE31A4" w:rsidRPr="002722B8" w:rsidRDefault="00BD41AB" w:rsidP="00BD41AB">
      <w:pPr>
        <w:spacing w:after="240" w:line="276" w:lineRule="auto"/>
        <w:ind w:left="360"/>
        <w:jc w:val="both"/>
        <w:rPr>
          <w:b/>
          <w:bCs/>
          <w:i/>
          <w:iCs/>
          <w:color w:val="000000"/>
          <w:lang w:val="fr-FR"/>
        </w:rPr>
      </w:pPr>
      <w:r w:rsidRPr="002722B8">
        <w:rPr>
          <w:b/>
          <w:bCs/>
          <w:i/>
          <w:iCs/>
          <w:color w:val="000000"/>
          <w:lang w:val="fr-FR"/>
        </w:rPr>
        <w:t xml:space="preserve">3.1. </w:t>
      </w:r>
      <w:r w:rsidR="00FB565D" w:rsidRPr="002722B8">
        <w:rPr>
          <w:b/>
          <w:bCs/>
          <w:i/>
          <w:iCs/>
          <w:color w:val="000000"/>
          <w:lang w:val="fr-FR"/>
        </w:rPr>
        <w:t>Le mécanisme</w:t>
      </w:r>
      <w:r w:rsidR="00C62DB6" w:rsidRPr="002722B8">
        <w:rPr>
          <w:b/>
          <w:bCs/>
          <w:i/>
          <w:iCs/>
          <w:color w:val="000000"/>
          <w:lang w:val="fr-FR"/>
        </w:rPr>
        <w:t xml:space="preserve"> de coordination</w:t>
      </w:r>
      <w:r w:rsidR="00AE31A4" w:rsidRPr="002722B8">
        <w:rPr>
          <w:b/>
          <w:bCs/>
          <w:i/>
          <w:iCs/>
          <w:color w:val="000000"/>
          <w:lang w:val="fr-FR"/>
        </w:rPr>
        <w:t xml:space="preserve"> opérationnelle</w:t>
      </w:r>
    </w:p>
    <w:p w:rsidR="00FB565D" w:rsidRPr="00C62DB6" w:rsidRDefault="00FB565D" w:rsidP="00C62DB6">
      <w:pPr>
        <w:spacing w:after="240" w:line="276" w:lineRule="auto"/>
        <w:jc w:val="both"/>
        <w:rPr>
          <w:color w:val="000000"/>
          <w:lang w:val="fr-FR"/>
        </w:rPr>
      </w:pPr>
      <w:r w:rsidRPr="002722B8">
        <w:rPr>
          <w:color w:val="000000"/>
          <w:lang w:val="fr-FR"/>
        </w:rPr>
        <w:t>Sur le plan organisationnel, deux niveaux de décisions ont été mis en place afin d</w:t>
      </w:r>
      <w:r w:rsidR="007F05C7" w:rsidRPr="002722B8">
        <w:rPr>
          <w:color w:val="000000"/>
          <w:lang w:val="fr-FR"/>
        </w:rPr>
        <w:t>’encadrer le</w:t>
      </w:r>
      <w:r w:rsidR="007F05C7">
        <w:rPr>
          <w:color w:val="000000"/>
          <w:lang w:val="fr-FR"/>
        </w:rPr>
        <w:t xml:space="preserve"> programme</w:t>
      </w:r>
      <w:r w:rsidR="00C62DB6">
        <w:rPr>
          <w:color w:val="000000"/>
          <w:lang w:val="fr-FR"/>
        </w:rPr>
        <w:t xml:space="preserve"> </w:t>
      </w:r>
      <w:r w:rsidR="00362E92">
        <w:rPr>
          <w:color w:val="000000"/>
          <w:lang w:val="fr-FR"/>
        </w:rPr>
        <w:t xml:space="preserve">et de </w:t>
      </w:r>
      <w:r w:rsidR="00BB711F">
        <w:rPr>
          <w:color w:val="000000"/>
          <w:lang w:val="fr-FR"/>
        </w:rPr>
        <w:t>s’assurer de la conformité</w:t>
      </w:r>
      <w:r w:rsidR="00362E92">
        <w:rPr>
          <w:color w:val="000000"/>
          <w:lang w:val="fr-FR"/>
        </w:rPr>
        <w:t>, la pertinence, la faisabilité et la mise en œuvre des projets :</w:t>
      </w:r>
    </w:p>
    <w:p w:rsidR="00C62DB6" w:rsidRPr="002722B8" w:rsidRDefault="00FB565D" w:rsidP="00C62DB6">
      <w:pPr>
        <w:pStyle w:val="BodyText2"/>
        <w:numPr>
          <w:ilvl w:val="0"/>
          <w:numId w:val="15"/>
        </w:numPr>
        <w:spacing w:after="240" w:line="276" w:lineRule="auto"/>
        <w:rPr>
          <w:rFonts w:ascii="Times New Roman" w:hAnsi="Times New Roman" w:cs="Times New Roman"/>
          <w:sz w:val="24"/>
          <w:szCs w:val="24"/>
          <w:lang w:val="fr-FR"/>
        </w:rPr>
      </w:pPr>
      <w:r w:rsidRPr="00C62DB6">
        <w:rPr>
          <w:rFonts w:ascii="Times New Roman" w:hAnsi="Times New Roman" w:cs="Times New Roman"/>
          <w:color w:val="000000"/>
          <w:sz w:val="24"/>
          <w:szCs w:val="24"/>
          <w:lang w:val="fr-FR"/>
        </w:rPr>
        <w:t>Au niveau des localités (régions), des Comité Projet (CP) ont été mis en place. Ces Comité</w:t>
      </w:r>
      <w:r w:rsidR="00BB711F">
        <w:rPr>
          <w:rFonts w:ascii="Times New Roman" w:hAnsi="Times New Roman" w:cs="Times New Roman"/>
          <w:color w:val="000000"/>
          <w:sz w:val="24"/>
          <w:szCs w:val="24"/>
          <w:lang w:val="fr-FR"/>
        </w:rPr>
        <w:t>s</w:t>
      </w:r>
      <w:r w:rsidRPr="00C62DB6">
        <w:rPr>
          <w:rFonts w:ascii="Times New Roman" w:hAnsi="Times New Roman" w:cs="Times New Roman"/>
          <w:color w:val="000000"/>
          <w:sz w:val="24"/>
          <w:szCs w:val="24"/>
          <w:lang w:val="fr-FR"/>
        </w:rPr>
        <w:t xml:space="preserve"> Projet</w:t>
      </w:r>
      <w:r w:rsidR="00BB711F">
        <w:rPr>
          <w:rFonts w:ascii="Times New Roman" w:hAnsi="Times New Roman" w:cs="Times New Roman"/>
          <w:color w:val="000000"/>
          <w:sz w:val="24"/>
          <w:szCs w:val="24"/>
          <w:lang w:val="fr-FR"/>
        </w:rPr>
        <w:t>s</w:t>
      </w:r>
      <w:r w:rsidRPr="00C62DB6">
        <w:rPr>
          <w:rFonts w:ascii="Times New Roman" w:hAnsi="Times New Roman" w:cs="Times New Roman"/>
          <w:color w:val="000000"/>
          <w:sz w:val="24"/>
          <w:szCs w:val="24"/>
          <w:lang w:val="fr-FR"/>
        </w:rPr>
        <w:t xml:space="preserve"> (CP) sont présidés par les Préfets des régions concernés par les projets. Ils sont composés de </w:t>
      </w:r>
      <w:r w:rsidR="00C62DB6">
        <w:rPr>
          <w:rFonts w:ascii="Times New Roman" w:hAnsi="Times New Roman" w:cs="Times New Roman"/>
          <w:color w:val="000000"/>
          <w:sz w:val="24"/>
          <w:szCs w:val="24"/>
          <w:lang w:val="fr-FR"/>
        </w:rPr>
        <w:t>toutes les parties</w:t>
      </w:r>
      <w:r w:rsidRPr="00C62DB6">
        <w:rPr>
          <w:rFonts w:ascii="Times New Roman" w:hAnsi="Times New Roman" w:cs="Times New Roman"/>
          <w:color w:val="000000"/>
          <w:sz w:val="24"/>
          <w:szCs w:val="24"/>
          <w:lang w:val="fr-FR"/>
        </w:rPr>
        <w:t xml:space="preserve"> </w:t>
      </w:r>
      <w:r w:rsidR="00C62DB6">
        <w:rPr>
          <w:rFonts w:ascii="Times New Roman" w:hAnsi="Times New Roman" w:cs="Times New Roman"/>
          <w:color w:val="000000"/>
          <w:sz w:val="24"/>
          <w:szCs w:val="24"/>
          <w:lang w:val="fr-FR"/>
        </w:rPr>
        <w:t xml:space="preserve">prenantes </w:t>
      </w:r>
      <w:r w:rsidRPr="00C62DB6">
        <w:rPr>
          <w:rFonts w:ascii="Times New Roman" w:hAnsi="Times New Roman" w:cs="Times New Roman"/>
          <w:color w:val="000000"/>
          <w:sz w:val="24"/>
          <w:szCs w:val="24"/>
          <w:lang w:val="fr-FR"/>
        </w:rPr>
        <w:t>(PNRRC, PSCN, Mairies, chefs traditionnels, PNUD, ONUCI-DDR</w:t>
      </w:r>
      <w:r w:rsidR="000E69E8">
        <w:rPr>
          <w:rFonts w:ascii="Times New Roman" w:hAnsi="Times New Roman" w:cs="Times New Roman"/>
          <w:color w:val="000000"/>
          <w:sz w:val="24"/>
          <w:szCs w:val="24"/>
          <w:lang w:val="fr-FR"/>
        </w:rPr>
        <w:t xml:space="preserve">, </w:t>
      </w:r>
      <w:r w:rsidR="00BB711F">
        <w:rPr>
          <w:rFonts w:ascii="Times New Roman" w:hAnsi="Times New Roman" w:cs="Times New Roman"/>
          <w:color w:val="000000"/>
          <w:sz w:val="24"/>
          <w:szCs w:val="24"/>
          <w:lang w:val="fr-FR"/>
        </w:rPr>
        <w:t>représentants</w:t>
      </w:r>
      <w:r w:rsidR="000E69E8">
        <w:rPr>
          <w:rFonts w:ascii="Times New Roman" w:hAnsi="Times New Roman" w:cs="Times New Roman"/>
          <w:color w:val="000000"/>
          <w:sz w:val="24"/>
          <w:szCs w:val="24"/>
          <w:lang w:val="fr-FR"/>
        </w:rPr>
        <w:t xml:space="preserve"> des </w:t>
      </w:r>
      <w:r w:rsidR="00BB711F">
        <w:rPr>
          <w:rFonts w:ascii="Times New Roman" w:hAnsi="Times New Roman" w:cs="Times New Roman"/>
          <w:color w:val="000000"/>
          <w:sz w:val="24"/>
          <w:szCs w:val="24"/>
          <w:lang w:val="fr-FR"/>
        </w:rPr>
        <w:t xml:space="preserve">FN </w:t>
      </w:r>
      <w:r w:rsidR="000E69E8">
        <w:rPr>
          <w:rFonts w:ascii="Times New Roman" w:hAnsi="Times New Roman" w:cs="Times New Roman"/>
          <w:color w:val="000000"/>
          <w:sz w:val="24"/>
          <w:szCs w:val="24"/>
          <w:lang w:val="fr-FR"/>
        </w:rPr>
        <w:t>et GAD</w:t>
      </w:r>
      <w:r w:rsidRPr="00C62DB6">
        <w:rPr>
          <w:rFonts w:ascii="Times New Roman" w:hAnsi="Times New Roman" w:cs="Times New Roman"/>
          <w:color w:val="000000"/>
          <w:sz w:val="24"/>
          <w:szCs w:val="24"/>
          <w:lang w:val="fr-FR"/>
        </w:rPr>
        <w:t xml:space="preserve"> etc.)</w:t>
      </w:r>
      <w:r w:rsidR="00C62DB6" w:rsidRPr="00C62DB6">
        <w:rPr>
          <w:rFonts w:ascii="Times New Roman" w:hAnsi="Times New Roman" w:cs="Times New Roman"/>
          <w:color w:val="000000"/>
          <w:sz w:val="24"/>
          <w:szCs w:val="24"/>
          <w:lang w:val="fr-FR"/>
        </w:rPr>
        <w:t>.</w:t>
      </w:r>
      <w:r w:rsidR="00B3071F" w:rsidRPr="00C62DB6">
        <w:rPr>
          <w:rFonts w:ascii="Times New Roman" w:hAnsi="Times New Roman" w:cs="Times New Roman"/>
          <w:color w:val="000000"/>
          <w:sz w:val="24"/>
          <w:szCs w:val="24"/>
          <w:lang w:val="fr-FR"/>
        </w:rPr>
        <w:t xml:space="preserve"> Les Comités Projets</w:t>
      </w:r>
      <w:r w:rsidR="00C62DB6" w:rsidRPr="00C62DB6">
        <w:rPr>
          <w:rFonts w:ascii="Times New Roman" w:hAnsi="Times New Roman" w:cs="Times New Roman"/>
          <w:color w:val="000000"/>
          <w:sz w:val="24"/>
          <w:szCs w:val="24"/>
          <w:lang w:val="fr-FR"/>
        </w:rPr>
        <w:t xml:space="preserve"> (CP) </w:t>
      </w:r>
      <w:r w:rsidR="00BB711F">
        <w:rPr>
          <w:rFonts w:ascii="Times New Roman" w:hAnsi="Times New Roman" w:cs="Times New Roman"/>
          <w:color w:val="000000"/>
          <w:sz w:val="24"/>
          <w:szCs w:val="24"/>
          <w:lang w:val="fr-FR"/>
        </w:rPr>
        <w:t xml:space="preserve">qui </w:t>
      </w:r>
      <w:r w:rsidR="00C62DB6" w:rsidRPr="00C62DB6">
        <w:rPr>
          <w:rFonts w:ascii="Times New Roman" w:hAnsi="Times New Roman" w:cs="Times New Roman"/>
          <w:color w:val="000000"/>
          <w:sz w:val="24"/>
          <w:szCs w:val="24"/>
          <w:lang w:val="fr-FR"/>
        </w:rPr>
        <w:t xml:space="preserve">sont un moyen d’implication et </w:t>
      </w:r>
      <w:r w:rsidR="00C62DB6">
        <w:rPr>
          <w:rFonts w:ascii="Times New Roman" w:hAnsi="Times New Roman" w:cs="Times New Roman"/>
          <w:color w:val="000000"/>
          <w:sz w:val="24"/>
          <w:szCs w:val="24"/>
          <w:lang w:val="fr-FR"/>
        </w:rPr>
        <w:t xml:space="preserve">de transparence pour la bonne exécution des projets interviennent </w:t>
      </w:r>
      <w:r w:rsidR="00C62DB6" w:rsidRPr="00C62DB6">
        <w:rPr>
          <w:rFonts w:ascii="Times New Roman" w:hAnsi="Times New Roman" w:cs="Times New Roman"/>
          <w:sz w:val="24"/>
          <w:szCs w:val="24"/>
          <w:lang w:val="fr-FR"/>
        </w:rPr>
        <w:t>à tous les stades du cycle des projets (conception, montage, révision des offres, mise en œuvre, suivi-évaluation)</w:t>
      </w:r>
      <w:r w:rsidR="00BB711F">
        <w:rPr>
          <w:rFonts w:ascii="Times New Roman" w:hAnsi="Times New Roman" w:cs="Times New Roman"/>
          <w:sz w:val="24"/>
          <w:szCs w:val="24"/>
          <w:lang w:val="fr-FR"/>
        </w:rPr>
        <w:t>.</w:t>
      </w:r>
      <w:r w:rsidR="009544DE">
        <w:rPr>
          <w:rFonts w:ascii="Times New Roman" w:hAnsi="Times New Roman" w:cs="Times New Roman"/>
          <w:sz w:val="24"/>
          <w:szCs w:val="24"/>
          <w:lang w:val="fr-FR"/>
        </w:rPr>
        <w:t xml:space="preserve"> Ils </w:t>
      </w:r>
      <w:r w:rsidR="00C62DB6">
        <w:rPr>
          <w:rFonts w:ascii="Times New Roman" w:hAnsi="Times New Roman" w:cs="Times New Roman"/>
          <w:sz w:val="24"/>
          <w:szCs w:val="24"/>
          <w:lang w:val="fr-FR"/>
        </w:rPr>
        <w:t xml:space="preserve"> ont pour </w:t>
      </w:r>
      <w:r w:rsidR="00C62DB6" w:rsidRPr="002722B8">
        <w:rPr>
          <w:rFonts w:ascii="Times New Roman" w:hAnsi="Times New Roman" w:cs="Times New Roman"/>
          <w:sz w:val="24"/>
          <w:szCs w:val="24"/>
          <w:lang w:val="fr-FR"/>
        </w:rPr>
        <w:t xml:space="preserve">mandat : la vérification des microprojets (rationalisation, critères…), la révision et </w:t>
      </w:r>
      <w:r w:rsidR="00BB711F" w:rsidRPr="002722B8">
        <w:rPr>
          <w:rFonts w:ascii="Times New Roman" w:hAnsi="Times New Roman" w:cs="Times New Roman"/>
          <w:sz w:val="24"/>
          <w:szCs w:val="24"/>
          <w:lang w:val="fr-FR"/>
        </w:rPr>
        <w:t>présélection</w:t>
      </w:r>
      <w:r w:rsidR="003F5EF4" w:rsidRPr="002722B8">
        <w:rPr>
          <w:rFonts w:ascii="Times New Roman" w:hAnsi="Times New Roman" w:cs="Times New Roman"/>
          <w:sz w:val="24"/>
          <w:szCs w:val="24"/>
          <w:lang w:val="fr-FR"/>
        </w:rPr>
        <w:t xml:space="preserve"> </w:t>
      </w:r>
      <w:r w:rsidR="00C62DB6" w:rsidRPr="002722B8">
        <w:rPr>
          <w:rFonts w:ascii="Times New Roman" w:hAnsi="Times New Roman" w:cs="Times New Roman"/>
          <w:sz w:val="24"/>
          <w:szCs w:val="24"/>
          <w:lang w:val="fr-FR"/>
        </w:rPr>
        <w:t>des microprojets dont la pertinence et la formulation est vérifiée</w:t>
      </w:r>
      <w:r w:rsidR="00774C4E" w:rsidRPr="002722B8">
        <w:rPr>
          <w:rFonts w:ascii="Times New Roman" w:hAnsi="Times New Roman" w:cs="Times New Roman"/>
          <w:sz w:val="24"/>
          <w:szCs w:val="24"/>
          <w:lang w:val="fr-FR"/>
        </w:rPr>
        <w:t xml:space="preserve"> </w:t>
      </w:r>
      <w:r w:rsidR="00C62DB6" w:rsidRPr="002722B8">
        <w:rPr>
          <w:rFonts w:ascii="Times New Roman" w:hAnsi="Times New Roman" w:cs="Times New Roman"/>
          <w:sz w:val="24"/>
          <w:szCs w:val="24"/>
          <w:lang w:val="fr-FR"/>
        </w:rPr>
        <w:t xml:space="preserve">; le suivi </w:t>
      </w:r>
      <w:r w:rsidR="00C62DB6" w:rsidRPr="002722B8">
        <w:rPr>
          <w:rFonts w:ascii="Times New Roman" w:hAnsi="Times New Roman" w:cs="Times New Roman"/>
          <w:sz w:val="24"/>
          <w:szCs w:val="24"/>
          <w:lang w:val="fr-FR"/>
        </w:rPr>
        <w:lastRenderedPageBreak/>
        <w:t>général, visites de sites des projets, consultations auprès des bénéficiaires. Les CP entretiennent des relations de proximité autant avec les bénéficiaires qu’avec les structures d’encadrement.</w:t>
      </w:r>
    </w:p>
    <w:p w:rsidR="001179C3" w:rsidRPr="002722B8" w:rsidRDefault="00400D9F" w:rsidP="00E5213F">
      <w:pPr>
        <w:pStyle w:val="BodyText2"/>
        <w:numPr>
          <w:ilvl w:val="0"/>
          <w:numId w:val="15"/>
        </w:numPr>
        <w:spacing w:after="240" w:line="276" w:lineRule="auto"/>
        <w:rPr>
          <w:rFonts w:ascii="Times New Roman" w:hAnsi="Times New Roman" w:cs="Times New Roman"/>
          <w:sz w:val="24"/>
          <w:szCs w:val="24"/>
          <w:lang w:val="fr-FR"/>
        </w:rPr>
      </w:pPr>
      <w:r w:rsidRPr="002722B8">
        <w:rPr>
          <w:rFonts w:ascii="Times New Roman" w:hAnsi="Times New Roman" w:cs="Times New Roman"/>
          <w:color w:val="000000"/>
          <w:sz w:val="24"/>
          <w:szCs w:val="24"/>
          <w:lang w:val="fr-FR"/>
        </w:rPr>
        <w:t>Au niveau du siège (Abidjan)</w:t>
      </w:r>
      <w:r w:rsidR="001179C3" w:rsidRPr="002722B8">
        <w:rPr>
          <w:rFonts w:ascii="Times New Roman" w:hAnsi="Times New Roman" w:cs="Times New Roman"/>
          <w:color w:val="000000"/>
          <w:sz w:val="24"/>
          <w:szCs w:val="24"/>
          <w:lang w:val="fr-FR"/>
        </w:rPr>
        <w:t>, un Comité d’Approbation des Projets (CAP) a été mis en place. Ce comité se réuni</w:t>
      </w:r>
      <w:r w:rsidR="00774C4E" w:rsidRPr="002722B8">
        <w:rPr>
          <w:rFonts w:ascii="Times New Roman" w:hAnsi="Times New Roman" w:cs="Times New Roman"/>
          <w:color w:val="000000"/>
          <w:sz w:val="24"/>
          <w:szCs w:val="24"/>
          <w:lang w:val="fr-FR"/>
        </w:rPr>
        <w:t>t</w:t>
      </w:r>
      <w:r w:rsidR="001179C3" w:rsidRPr="002722B8">
        <w:rPr>
          <w:rFonts w:ascii="Times New Roman" w:hAnsi="Times New Roman" w:cs="Times New Roman"/>
          <w:color w:val="000000"/>
          <w:sz w:val="24"/>
          <w:szCs w:val="24"/>
          <w:lang w:val="fr-FR"/>
        </w:rPr>
        <w:t xml:space="preserve"> dans les locaux du PNRRC afin de valider ou d’invalider les projets soumis par les Comité</w:t>
      </w:r>
      <w:r w:rsidR="003F5EF4" w:rsidRPr="002722B8">
        <w:rPr>
          <w:rFonts w:ascii="Times New Roman" w:hAnsi="Times New Roman" w:cs="Times New Roman"/>
          <w:color w:val="000000"/>
          <w:sz w:val="24"/>
          <w:szCs w:val="24"/>
          <w:lang w:val="fr-FR"/>
        </w:rPr>
        <w:t>s</w:t>
      </w:r>
      <w:r w:rsidR="001179C3" w:rsidRPr="002722B8">
        <w:rPr>
          <w:rFonts w:ascii="Times New Roman" w:hAnsi="Times New Roman" w:cs="Times New Roman"/>
          <w:color w:val="000000"/>
          <w:sz w:val="24"/>
          <w:szCs w:val="24"/>
          <w:lang w:val="fr-FR"/>
        </w:rPr>
        <w:t xml:space="preserve"> Projet</w:t>
      </w:r>
      <w:r w:rsidR="003F5EF4" w:rsidRPr="002722B8">
        <w:rPr>
          <w:rFonts w:ascii="Times New Roman" w:hAnsi="Times New Roman" w:cs="Times New Roman"/>
          <w:color w:val="000000"/>
          <w:sz w:val="24"/>
          <w:szCs w:val="24"/>
          <w:lang w:val="fr-FR"/>
        </w:rPr>
        <w:t>s</w:t>
      </w:r>
      <w:r w:rsidR="001179C3" w:rsidRPr="002722B8">
        <w:rPr>
          <w:rFonts w:ascii="Times New Roman" w:hAnsi="Times New Roman" w:cs="Times New Roman"/>
          <w:color w:val="000000"/>
          <w:sz w:val="24"/>
          <w:szCs w:val="24"/>
          <w:lang w:val="fr-FR"/>
        </w:rPr>
        <w:t xml:space="preserve"> (CP)</w:t>
      </w:r>
      <w:r w:rsidR="00EA42EE" w:rsidRPr="002722B8">
        <w:rPr>
          <w:rFonts w:ascii="Times New Roman" w:hAnsi="Times New Roman" w:cs="Times New Roman"/>
          <w:color w:val="000000"/>
          <w:sz w:val="24"/>
          <w:szCs w:val="24"/>
          <w:lang w:val="fr-FR"/>
        </w:rPr>
        <w:t>, c’est-à-dire les projets préparés et revus sur le terrain qui sont ensuite soumis pour approbation au CAP</w:t>
      </w:r>
      <w:r w:rsidR="001179C3" w:rsidRPr="002722B8">
        <w:rPr>
          <w:rFonts w:ascii="Times New Roman" w:hAnsi="Times New Roman" w:cs="Times New Roman"/>
          <w:color w:val="000000"/>
          <w:sz w:val="24"/>
          <w:szCs w:val="24"/>
          <w:lang w:val="fr-FR"/>
        </w:rPr>
        <w:t>. Son mandat est</w:t>
      </w:r>
      <w:r w:rsidR="00C62DB6" w:rsidRPr="002722B8">
        <w:rPr>
          <w:rFonts w:ascii="Times New Roman" w:hAnsi="Times New Roman" w:cs="Times New Roman"/>
          <w:color w:val="000000"/>
          <w:sz w:val="24"/>
          <w:szCs w:val="24"/>
          <w:lang w:val="fr-FR"/>
        </w:rPr>
        <w:t xml:space="preserve"> de</w:t>
      </w:r>
      <w:r w:rsidR="00774C4E" w:rsidRPr="002722B8">
        <w:rPr>
          <w:rFonts w:ascii="Times New Roman" w:hAnsi="Times New Roman" w:cs="Times New Roman"/>
          <w:color w:val="000000"/>
          <w:sz w:val="24"/>
          <w:szCs w:val="24"/>
          <w:lang w:val="fr-FR"/>
        </w:rPr>
        <w:t xml:space="preserve"> </w:t>
      </w:r>
      <w:r w:rsidR="006E357A" w:rsidRPr="002722B8">
        <w:rPr>
          <w:rFonts w:ascii="Times New Roman" w:hAnsi="Times New Roman" w:cs="Times New Roman"/>
          <w:color w:val="000000"/>
          <w:sz w:val="24"/>
          <w:szCs w:val="24"/>
          <w:lang w:val="fr-FR"/>
        </w:rPr>
        <w:t xml:space="preserve">: </w:t>
      </w:r>
      <w:r w:rsidR="00EA42EE" w:rsidRPr="002722B8">
        <w:rPr>
          <w:rFonts w:ascii="Times New Roman" w:hAnsi="Times New Roman" w:cs="Times New Roman"/>
          <w:color w:val="000000"/>
          <w:sz w:val="24"/>
          <w:szCs w:val="24"/>
          <w:lang w:val="fr-FR"/>
        </w:rPr>
        <w:t xml:space="preserve">(i) </w:t>
      </w:r>
      <w:r w:rsidR="006E357A" w:rsidRPr="002722B8">
        <w:rPr>
          <w:rFonts w:ascii="Times New Roman" w:hAnsi="Times New Roman" w:cs="Times New Roman"/>
          <w:color w:val="000000"/>
          <w:sz w:val="24"/>
          <w:szCs w:val="24"/>
          <w:lang w:val="fr-FR"/>
        </w:rPr>
        <w:t xml:space="preserve">vérifier une seconde fois les </w:t>
      </w:r>
      <w:r w:rsidR="001179C3" w:rsidRPr="002722B8">
        <w:rPr>
          <w:rFonts w:ascii="Times New Roman" w:hAnsi="Times New Roman" w:cs="Times New Roman"/>
          <w:color w:val="000000"/>
          <w:sz w:val="24"/>
          <w:szCs w:val="24"/>
          <w:lang w:val="fr-FR"/>
        </w:rPr>
        <w:t>propositions de projets</w:t>
      </w:r>
      <w:r w:rsidR="00C62DB6" w:rsidRPr="002722B8">
        <w:rPr>
          <w:rFonts w:ascii="Times New Roman" w:hAnsi="Times New Roman" w:cs="Times New Roman"/>
          <w:color w:val="000000"/>
          <w:sz w:val="24"/>
          <w:szCs w:val="24"/>
          <w:lang w:val="fr-FR"/>
        </w:rPr>
        <w:t> ;</w:t>
      </w:r>
      <w:r w:rsidR="001179C3" w:rsidRPr="002722B8">
        <w:rPr>
          <w:rFonts w:ascii="Times New Roman" w:hAnsi="Times New Roman" w:cs="Times New Roman"/>
          <w:sz w:val="24"/>
          <w:szCs w:val="24"/>
          <w:lang w:val="fr-FR"/>
        </w:rPr>
        <w:t xml:space="preserve"> </w:t>
      </w:r>
      <w:r w:rsidR="00EA42EE" w:rsidRPr="002722B8">
        <w:rPr>
          <w:rFonts w:ascii="Times New Roman" w:hAnsi="Times New Roman" w:cs="Times New Roman"/>
          <w:sz w:val="24"/>
          <w:szCs w:val="24"/>
          <w:lang w:val="fr-FR"/>
        </w:rPr>
        <w:t xml:space="preserve">(ii) </w:t>
      </w:r>
      <w:r w:rsidR="001179C3" w:rsidRPr="002722B8">
        <w:rPr>
          <w:rFonts w:ascii="Times New Roman" w:hAnsi="Times New Roman" w:cs="Times New Roman"/>
          <w:sz w:val="24"/>
          <w:szCs w:val="24"/>
          <w:lang w:val="fr-FR"/>
        </w:rPr>
        <w:t xml:space="preserve">conseiller lorsque des modifications substantielles sont nécessaires dans le montage des projets, les stratégies ou les modalités de mise en œuvre; </w:t>
      </w:r>
      <w:r w:rsidR="00EA42EE" w:rsidRPr="002722B8">
        <w:rPr>
          <w:rFonts w:ascii="Times New Roman" w:hAnsi="Times New Roman" w:cs="Times New Roman"/>
          <w:sz w:val="24"/>
          <w:szCs w:val="24"/>
          <w:lang w:val="fr-FR"/>
        </w:rPr>
        <w:t xml:space="preserve">(iii) </w:t>
      </w:r>
      <w:r w:rsidR="001179C3" w:rsidRPr="002722B8">
        <w:rPr>
          <w:rFonts w:ascii="Times New Roman" w:hAnsi="Times New Roman" w:cs="Times New Roman"/>
          <w:sz w:val="24"/>
          <w:szCs w:val="24"/>
          <w:lang w:val="fr-FR"/>
        </w:rPr>
        <w:t xml:space="preserve">veiller </w:t>
      </w:r>
      <w:r w:rsidR="003F5EF4" w:rsidRPr="002722B8">
        <w:rPr>
          <w:rFonts w:ascii="Times New Roman" w:hAnsi="Times New Roman" w:cs="Times New Roman"/>
          <w:sz w:val="24"/>
          <w:szCs w:val="24"/>
          <w:lang w:val="fr-FR"/>
        </w:rPr>
        <w:t xml:space="preserve">à </w:t>
      </w:r>
      <w:r w:rsidR="001179C3" w:rsidRPr="002722B8">
        <w:rPr>
          <w:rFonts w:ascii="Times New Roman" w:hAnsi="Times New Roman" w:cs="Times New Roman"/>
          <w:sz w:val="24"/>
          <w:szCs w:val="24"/>
          <w:lang w:val="fr-FR"/>
        </w:rPr>
        <w:t>la prise en compte des opportunités et risques dans la gestion du projet</w:t>
      </w:r>
      <w:r w:rsidR="00C62DB6" w:rsidRPr="002722B8">
        <w:rPr>
          <w:rFonts w:ascii="Times New Roman" w:hAnsi="Times New Roman" w:cs="Times New Roman"/>
          <w:sz w:val="24"/>
          <w:szCs w:val="24"/>
          <w:lang w:val="fr-FR"/>
        </w:rPr>
        <w:t> ;</w:t>
      </w:r>
      <w:r w:rsidR="001179C3" w:rsidRPr="002722B8">
        <w:rPr>
          <w:rFonts w:ascii="Times New Roman" w:hAnsi="Times New Roman" w:cs="Times New Roman"/>
          <w:sz w:val="24"/>
          <w:szCs w:val="24"/>
          <w:lang w:val="fr-FR"/>
        </w:rPr>
        <w:t xml:space="preserve"> </w:t>
      </w:r>
      <w:r w:rsidR="00EA42EE" w:rsidRPr="002722B8">
        <w:rPr>
          <w:rFonts w:ascii="Times New Roman" w:hAnsi="Times New Roman" w:cs="Times New Roman"/>
          <w:sz w:val="24"/>
          <w:szCs w:val="24"/>
          <w:lang w:val="fr-FR"/>
        </w:rPr>
        <w:t xml:space="preserve">(iv) </w:t>
      </w:r>
      <w:r w:rsidR="001179C3" w:rsidRPr="002722B8">
        <w:rPr>
          <w:rFonts w:ascii="Times New Roman" w:hAnsi="Times New Roman" w:cs="Times New Roman"/>
          <w:sz w:val="24"/>
          <w:szCs w:val="24"/>
          <w:lang w:val="fr-FR"/>
        </w:rPr>
        <w:t xml:space="preserve">s’assurer des </w:t>
      </w:r>
      <w:r w:rsidR="00E5213F" w:rsidRPr="002722B8">
        <w:rPr>
          <w:rFonts w:ascii="Times New Roman" w:hAnsi="Times New Roman" w:cs="Times New Roman"/>
          <w:sz w:val="24"/>
          <w:szCs w:val="24"/>
          <w:lang w:val="fr-FR"/>
        </w:rPr>
        <w:t>synergies effectives</w:t>
      </w:r>
      <w:r w:rsidR="001179C3" w:rsidRPr="002722B8">
        <w:rPr>
          <w:rFonts w:ascii="Times New Roman" w:hAnsi="Times New Roman" w:cs="Times New Roman"/>
          <w:sz w:val="24"/>
          <w:szCs w:val="24"/>
          <w:lang w:val="fr-FR"/>
        </w:rPr>
        <w:t xml:space="preserve"> avec d’autres projets éventuels ou programmes en cours dans le domaine de l’emploi des jeunes, renforcement de capacités, réinsertion et réhabilitation, etc.</w:t>
      </w:r>
    </w:p>
    <w:p w:rsidR="004005EA" w:rsidRPr="002722B8" w:rsidRDefault="00BD41AB" w:rsidP="00BD41AB">
      <w:pPr>
        <w:pStyle w:val="BodyText"/>
        <w:spacing w:after="240" w:line="276" w:lineRule="auto"/>
        <w:ind w:left="360"/>
        <w:jc w:val="both"/>
        <w:rPr>
          <w:rFonts w:ascii="Times New Roman" w:hAnsi="Times New Roman" w:cs="Times New Roman"/>
          <w:b/>
          <w:bCs/>
          <w:i/>
          <w:iCs/>
          <w:sz w:val="24"/>
          <w:szCs w:val="24"/>
          <w:lang w:val="fr-FR"/>
        </w:rPr>
      </w:pPr>
      <w:r w:rsidRPr="002722B8">
        <w:rPr>
          <w:rFonts w:ascii="Times New Roman" w:hAnsi="Times New Roman" w:cs="Times New Roman"/>
          <w:b/>
          <w:bCs/>
          <w:i/>
          <w:iCs/>
          <w:sz w:val="24"/>
          <w:szCs w:val="24"/>
          <w:lang w:val="fr-FR"/>
        </w:rPr>
        <w:t xml:space="preserve">3.2. </w:t>
      </w:r>
      <w:r w:rsidR="004005EA" w:rsidRPr="002722B8">
        <w:rPr>
          <w:rFonts w:ascii="Times New Roman" w:hAnsi="Times New Roman" w:cs="Times New Roman"/>
          <w:b/>
          <w:bCs/>
          <w:i/>
          <w:iCs/>
          <w:sz w:val="24"/>
          <w:szCs w:val="24"/>
          <w:lang w:val="fr-FR"/>
        </w:rPr>
        <w:t>La stratégie de mise en œuvre du programme</w:t>
      </w:r>
    </w:p>
    <w:p w:rsidR="004005EA" w:rsidRPr="002722B8" w:rsidRDefault="004005EA" w:rsidP="004005EA">
      <w:pPr>
        <w:numPr>
          <w:ilvl w:val="0"/>
          <w:numId w:val="24"/>
        </w:numPr>
        <w:spacing w:after="240" w:line="276" w:lineRule="auto"/>
        <w:jc w:val="both"/>
        <w:rPr>
          <w:b/>
          <w:bCs/>
          <w:i/>
          <w:iCs/>
          <w:lang w:val="fr-FR"/>
        </w:rPr>
      </w:pPr>
      <w:r w:rsidRPr="002722B8">
        <w:rPr>
          <w:b/>
          <w:bCs/>
          <w:i/>
          <w:iCs/>
          <w:lang w:val="fr-FR"/>
        </w:rPr>
        <w:t>Se concerter pour mieux intervenir</w:t>
      </w:r>
    </w:p>
    <w:p w:rsidR="004005EA" w:rsidRDefault="004005EA" w:rsidP="004005EA">
      <w:pPr>
        <w:spacing w:after="240" w:line="276" w:lineRule="auto"/>
        <w:jc w:val="both"/>
        <w:rPr>
          <w:lang w:val="fr-FR"/>
        </w:rPr>
      </w:pPr>
      <w:r w:rsidRPr="002722B8">
        <w:rPr>
          <w:lang w:val="fr-FR"/>
        </w:rPr>
        <w:t xml:space="preserve">Dès le lancement du programme, le dialogue </w:t>
      </w:r>
      <w:r w:rsidR="00A07179" w:rsidRPr="002722B8">
        <w:rPr>
          <w:lang w:val="fr-FR"/>
        </w:rPr>
        <w:t>entre partenaires</w:t>
      </w:r>
      <w:r w:rsidRPr="002722B8">
        <w:rPr>
          <w:lang w:val="fr-FR"/>
        </w:rPr>
        <w:t xml:space="preserve"> a été fortement favorisé. L’objectif de cette stratégie de concertation intensive à différents niveaux était de donner au projet, une place qui s</w:t>
      </w:r>
      <w:r w:rsidR="009E4896" w:rsidRPr="002722B8">
        <w:rPr>
          <w:lang w:val="fr-FR"/>
        </w:rPr>
        <w:t>’</w:t>
      </w:r>
      <w:r w:rsidR="00BD41AB" w:rsidRPr="002722B8">
        <w:rPr>
          <w:lang w:val="fr-FR"/>
        </w:rPr>
        <w:t>intègre</w:t>
      </w:r>
      <w:r w:rsidRPr="002722B8">
        <w:rPr>
          <w:lang w:val="fr-FR"/>
        </w:rPr>
        <w:t xml:space="preserve"> à la fois </w:t>
      </w:r>
      <w:r w:rsidR="009E4896" w:rsidRPr="002722B8">
        <w:rPr>
          <w:lang w:val="fr-FR"/>
        </w:rPr>
        <w:t xml:space="preserve">dans </w:t>
      </w:r>
      <w:r w:rsidRPr="002722B8">
        <w:rPr>
          <w:lang w:val="fr-FR"/>
        </w:rPr>
        <w:t xml:space="preserve">la politique de réinsertion nationale et </w:t>
      </w:r>
      <w:r w:rsidR="009E4896" w:rsidRPr="002722B8">
        <w:rPr>
          <w:lang w:val="fr-FR"/>
        </w:rPr>
        <w:t>qui</w:t>
      </w:r>
      <w:r w:rsidR="009E4896">
        <w:rPr>
          <w:lang w:val="fr-FR"/>
        </w:rPr>
        <w:t xml:space="preserve"> prend en compte l</w:t>
      </w:r>
      <w:r>
        <w:rPr>
          <w:lang w:val="fr-FR"/>
        </w:rPr>
        <w:t>es réalités locales.</w:t>
      </w:r>
    </w:p>
    <w:p w:rsidR="004005EA" w:rsidRDefault="004005EA" w:rsidP="004005EA">
      <w:pPr>
        <w:spacing w:after="240" w:line="276" w:lineRule="auto"/>
        <w:jc w:val="both"/>
        <w:rPr>
          <w:lang w:val="fr-FR"/>
        </w:rPr>
      </w:pPr>
      <w:r>
        <w:rPr>
          <w:lang w:val="fr-FR"/>
        </w:rPr>
        <w:t xml:space="preserve">Ainsi, dès le lancement du programme, un atelier technique sur les défis de la réinsertion en Côte d’Ivoire a été initié. Cet atelier qui a eu lieu à Yamoussoukro a vu la présence de plusieurs techniciens et experts autant dans le domaine de la réinsertion que dans les questions de relèvement et de développement local. Les discussions ont permis d’orienter significativement les parties prenantes  vers des domaines d’activité exploitables à court, moyen et long termes. Certains partenaires qui avaient déjà eu une expérience dans l’exécution de microprojets orientés vers des bénéficiaires types, comme la GTZ, ont eu l’occasion de partager les leçons apprises afin que la stratégie des 1000 microprojets soit mieux cadrée. </w:t>
      </w:r>
    </w:p>
    <w:p w:rsidR="004005EA" w:rsidRPr="002722B8" w:rsidRDefault="004005EA" w:rsidP="004005EA">
      <w:pPr>
        <w:spacing w:after="240" w:line="276" w:lineRule="auto"/>
        <w:jc w:val="both"/>
        <w:rPr>
          <w:lang w:val="fr-FR"/>
        </w:rPr>
      </w:pPr>
      <w:r>
        <w:rPr>
          <w:lang w:val="fr-FR"/>
        </w:rPr>
        <w:t xml:space="preserve">Tout au long de la mise en œuvre du programme, </w:t>
      </w:r>
      <w:r w:rsidR="00F21FB5">
        <w:rPr>
          <w:lang w:val="fr-FR"/>
        </w:rPr>
        <w:t>une</w:t>
      </w:r>
      <w:r>
        <w:rPr>
          <w:lang w:val="fr-FR"/>
        </w:rPr>
        <w:t xml:space="preserve"> stratégie de </w:t>
      </w:r>
      <w:r w:rsidR="00F21FB5">
        <w:rPr>
          <w:rFonts w:ascii="Constantia" w:hAnsi="Constantia"/>
          <w:lang w:val="fr-FR"/>
        </w:rPr>
        <w:t>"</w:t>
      </w:r>
      <w:r>
        <w:rPr>
          <w:lang w:val="fr-FR"/>
        </w:rPr>
        <w:t xml:space="preserve">concertation </w:t>
      </w:r>
      <w:r w:rsidR="00F21FB5">
        <w:rPr>
          <w:lang w:val="fr-FR"/>
        </w:rPr>
        <w:t>retrospective</w:t>
      </w:r>
      <w:r w:rsidR="00F21FB5">
        <w:rPr>
          <w:rFonts w:ascii="Constantia" w:hAnsi="Constantia"/>
          <w:lang w:val="fr-FR"/>
        </w:rPr>
        <w:t>"</w:t>
      </w:r>
      <w:r w:rsidR="00F21FB5">
        <w:rPr>
          <w:lang w:val="fr-FR"/>
        </w:rPr>
        <w:t xml:space="preserve"> </w:t>
      </w:r>
      <w:r>
        <w:rPr>
          <w:lang w:val="fr-FR"/>
        </w:rPr>
        <w:t>a été mise en place afin de corriger, d’adapter et de réorganiser l’approche du programme. C’est dans ce but qu’un séminaire à mi-parcours a été initié à Bouaké</w:t>
      </w:r>
      <w:r w:rsidR="00BD41AB">
        <w:rPr>
          <w:lang w:val="fr-FR"/>
        </w:rPr>
        <w:t xml:space="preserve"> en mars 2009</w:t>
      </w:r>
      <w:r>
        <w:rPr>
          <w:lang w:val="fr-FR"/>
        </w:rPr>
        <w:t xml:space="preserve">. </w:t>
      </w:r>
      <w:r w:rsidRPr="00E37BBE">
        <w:rPr>
          <w:lang w:val="fr-FR"/>
        </w:rPr>
        <w:t>Cette rencontre a été l’occasion de faire l</w:t>
      </w:r>
      <w:r>
        <w:rPr>
          <w:lang w:val="fr-FR"/>
        </w:rPr>
        <w:t>e point sur l’exécution du Pro</w:t>
      </w:r>
      <w:r w:rsidR="00065D52">
        <w:rPr>
          <w:lang w:val="fr-FR"/>
        </w:rPr>
        <w:t xml:space="preserve">gramme, </w:t>
      </w:r>
      <w:r w:rsidRPr="00E37BBE">
        <w:rPr>
          <w:lang w:val="fr-FR"/>
        </w:rPr>
        <w:t>d’appréhender les diffi</w:t>
      </w:r>
      <w:r>
        <w:rPr>
          <w:lang w:val="fr-FR"/>
        </w:rPr>
        <w:t>cultés/contraintes rencontrées et d’apporter d</w:t>
      </w:r>
      <w:r w:rsidRPr="00E37BBE">
        <w:rPr>
          <w:lang w:val="fr-FR"/>
        </w:rPr>
        <w:t xml:space="preserve">es mesures correctives </w:t>
      </w:r>
      <w:r>
        <w:rPr>
          <w:lang w:val="fr-FR"/>
        </w:rPr>
        <w:t xml:space="preserve">communes </w:t>
      </w:r>
      <w:r w:rsidRPr="00E37BBE">
        <w:rPr>
          <w:lang w:val="fr-FR"/>
        </w:rPr>
        <w:t>en vue d’</w:t>
      </w:r>
      <w:r>
        <w:rPr>
          <w:lang w:val="fr-FR"/>
        </w:rPr>
        <w:t xml:space="preserve">améliorer la </w:t>
      </w:r>
      <w:r w:rsidRPr="00E37BBE">
        <w:rPr>
          <w:lang w:val="fr-FR"/>
        </w:rPr>
        <w:t xml:space="preserve">performance sur la période restante. </w:t>
      </w:r>
      <w:r>
        <w:rPr>
          <w:lang w:val="fr-FR"/>
        </w:rPr>
        <w:t>L</w:t>
      </w:r>
      <w:r w:rsidRPr="00E37BBE">
        <w:rPr>
          <w:lang w:val="fr-FR"/>
        </w:rPr>
        <w:t>e Séminaire avait rassemblé 140 personnes et enregistré la participation active de toutes le</w:t>
      </w:r>
      <w:r>
        <w:rPr>
          <w:lang w:val="fr-FR"/>
        </w:rPr>
        <w:t>s parties prenantes au programme</w:t>
      </w:r>
      <w:r w:rsidRPr="00E37BBE">
        <w:rPr>
          <w:lang w:val="fr-FR"/>
        </w:rPr>
        <w:t xml:space="preserve"> (</w:t>
      </w:r>
      <w:r w:rsidR="008124E4">
        <w:rPr>
          <w:lang w:val="fr-FR"/>
        </w:rPr>
        <w:t>personnel du</w:t>
      </w:r>
      <w:r w:rsidRPr="00E37BBE">
        <w:rPr>
          <w:lang w:val="fr-FR"/>
        </w:rPr>
        <w:t xml:space="preserve"> </w:t>
      </w:r>
      <w:r>
        <w:rPr>
          <w:lang w:val="fr-FR"/>
        </w:rPr>
        <w:t xml:space="preserve">PNUD et </w:t>
      </w:r>
      <w:r w:rsidR="008124E4">
        <w:rPr>
          <w:lang w:val="fr-FR"/>
        </w:rPr>
        <w:t>de l’</w:t>
      </w:r>
      <w:r>
        <w:rPr>
          <w:lang w:val="fr-FR"/>
        </w:rPr>
        <w:t>ONUCI</w:t>
      </w:r>
      <w:r w:rsidRPr="00E37BBE">
        <w:rPr>
          <w:lang w:val="fr-FR"/>
        </w:rPr>
        <w:t>; partenaires nationaux du PNRRC, du PSCN, du CCI et de la Cellule Microproje</w:t>
      </w:r>
      <w:r>
        <w:rPr>
          <w:lang w:val="fr-FR"/>
        </w:rPr>
        <w:t>ts de la Présidence</w:t>
      </w:r>
      <w:r w:rsidRPr="00E37BBE">
        <w:rPr>
          <w:lang w:val="fr-FR"/>
        </w:rPr>
        <w:t>;</w:t>
      </w:r>
      <w:r>
        <w:rPr>
          <w:lang w:val="fr-FR"/>
        </w:rPr>
        <w:t xml:space="preserve"> les représentants des FAFN/BGD</w:t>
      </w:r>
      <w:r w:rsidRPr="00E37BBE">
        <w:rPr>
          <w:lang w:val="fr-FR"/>
        </w:rPr>
        <w:t>; les représentants des structures de mise en œuvre, des autorités locales, des Agences</w:t>
      </w:r>
      <w:r w:rsidR="008124E4">
        <w:rPr>
          <w:lang w:val="fr-FR"/>
        </w:rPr>
        <w:t xml:space="preserve">, Fonds et Programmes </w:t>
      </w:r>
      <w:r w:rsidRPr="00E37BBE">
        <w:rPr>
          <w:lang w:val="fr-FR"/>
        </w:rPr>
        <w:t>du Système des Natio</w:t>
      </w:r>
      <w:r>
        <w:rPr>
          <w:lang w:val="fr-FR"/>
        </w:rPr>
        <w:t>ns Unies et des bénéficiaires).</w:t>
      </w:r>
      <w:r w:rsidRPr="00E37BBE">
        <w:rPr>
          <w:lang w:val="fr-FR"/>
        </w:rPr>
        <w:t xml:space="preserve"> </w:t>
      </w:r>
      <w:r>
        <w:rPr>
          <w:lang w:val="fr-FR"/>
        </w:rPr>
        <w:t>Au-delà des échanges, ce second cadre de concertation a permis le</w:t>
      </w:r>
      <w:r w:rsidRPr="00E37BBE">
        <w:rPr>
          <w:lang w:val="fr-FR"/>
        </w:rPr>
        <w:t xml:space="preserve"> renforcement de capacités par l’échange d’informations sur les activités de</w:t>
      </w:r>
      <w:r>
        <w:rPr>
          <w:lang w:val="fr-FR"/>
        </w:rPr>
        <w:t xml:space="preserve"> réinsertion au niveau national. Certains bailleurs de</w:t>
      </w:r>
      <w:r w:rsidRPr="00E37BBE">
        <w:rPr>
          <w:lang w:val="fr-FR"/>
        </w:rPr>
        <w:t xml:space="preserve"> Fonds</w:t>
      </w:r>
      <w:r>
        <w:rPr>
          <w:lang w:val="fr-FR"/>
        </w:rPr>
        <w:t xml:space="preserve"> comme</w:t>
      </w:r>
      <w:r w:rsidRPr="00E37BBE">
        <w:rPr>
          <w:lang w:val="fr-FR"/>
        </w:rPr>
        <w:t xml:space="preserve"> </w:t>
      </w:r>
      <w:r>
        <w:rPr>
          <w:lang w:val="fr-FR"/>
        </w:rPr>
        <w:t>l</w:t>
      </w:r>
      <w:r w:rsidR="008124E4">
        <w:rPr>
          <w:lang w:val="fr-FR"/>
        </w:rPr>
        <w:t>a Délégation de la Commission e</w:t>
      </w:r>
      <w:r w:rsidRPr="00E37BBE">
        <w:rPr>
          <w:lang w:val="fr-FR"/>
        </w:rPr>
        <w:t xml:space="preserve">uropéenne, </w:t>
      </w:r>
      <w:r>
        <w:rPr>
          <w:lang w:val="fr-FR"/>
        </w:rPr>
        <w:t xml:space="preserve">la Banque Mondiale ont pu apprécier le chemin parcouru par le Projet et ont </w:t>
      </w:r>
      <w:r w:rsidRPr="002722B8">
        <w:rPr>
          <w:lang w:val="fr-FR"/>
        </w:rPr>
        <w:t xml:space="preserve">profité pour </w:t>
      </w:r>
      <w:r w:rsidRPr="002722B8">
        <w:rPr>
          <w:lang w:val="fr-FR"/>
        </w:rPr>
        <w:lastRenderedPageBreak/>
        <w:t xml:space="preserve">mieux s’informer sur les synergies d’actions autour des résultats recherchés. D’autres structures nationales comme le Fonds </w:t>
      </w:r>
      <w:r w:rsidR="00065D52" w:rsidRPr="002722B8">
        <w:rPr>
          <w:lang w:val="fr-FR"/>
        </w:rPr>
        <w:t xml:space="preserve">de </w:t>
      </w:r>
      <w:r w:rsidRPr="002722B8">
        <w:rPr>
          <w:lang w:val="fr-FR"/>
        </w:rPr>
        <w:t xml:space="preserve">Développement de la </w:t>
      </w:r>
      <w:r w:rsidR="00065D52" w:rsidRPr="002722B8">
        <w:rPr>
          <w:lang w:val="fr-FR"/>
        </w:rPr>
        <w:t>F</w:t>
      </w:r>
      <w:r w:rsidRPr="002722B8">
        <w:rPr>
          <w:lang w:val="fr-FR"/>
        </w:rPr>
        <w:t xml:space="preserve">ormation Professionnelle (FDFP) ont manifesté leur intérêt </w:t>
      </w:r>
      <w:r w:rsidR="00065D52" w:rsidRPr="002722B8">
        <w:rPr>
          <w:lang w:val="fr-FR"/>
        </w:rPr>
        <w:t xml:space="preserve">à </w:t>
      </w:r>
      <w:r w:rsidRPr="002722B8">
        <w:rPr>
          <w:lang w:val="fr-FR"/>
        </w:rPr>
        <w:t xml:space="preserve">soutenir l’initiative autour d’une future plate forme de service dont la mise en place est envisagée. </w:t>
      </w:r>
    </w:p>
    <w:p w:rsidR="004005EA" w:rsidRPr="00E37BBE" w:rsidRDefault="004005EA" w:rsidP="004005EA">
      <w:pPr>
        <w:spacing w:after="240" w:line="276" w:lineRule="auto"/>
        <w:jc w:val="both"/>
        <w:rPr>
          <w:lang w:val="fr-FR"/>
        </w:rPr>
      </w:pPr>
      <w:r w:rsidRPr="002722B8">
        <w:rPr>
          <w:lang w:val="fr-FR"/>
        </w:rPr>
        <w:t>Les recommandations du séminaire ont permis au PNUD d’adapter certaines procédures aux réalités du terrain et d’</w:t>
      </w:r>
      <w:r w:rsidR="00295461" w:rsidRPr="002722B8">
        <w:rPr>
          <w:lang w:val="fr-FR"/>
        </w:rPr>
        <w:t>assouplir certains mécanismes</w:t>
      </w:r>
      <w:r w:rsidRPr="002722B8">
        <w:rPr>
          <w:lang w:val="fr-FR"/>
        </w:rPr>
        <w:t>. On notera qu’il a fallu (i) augmenter</w:t>
      </w:r>
      <w:r>
        <w:rPr>
          <w:lang w:val="fr-FR"/>
        </w:rPr>
        <w:t xml:space="preserve"> l</w:t>
      </w:r>
      <w:r w:rsidRPr="00E37BBE">
        <w:rPr>
          <w:lang w:val="fr-FR"/>
        </w:rPr>
        <w:t xml:space="preserve">es frais d’exécution des structures de mise en œuvre passant de 10% à 15%; (ii) </w:t>
      </w:r>
      <w:r>
        <w:rPr>
          <w:lang w:val="fr-FR"/>
        </w:rPr>
        <w:t>revoir l</w:t>
      </w:r>
      <w:r w:rsidRPr="00E37BBE">
        <w:rPr>
          <w:lang w:val="fr-FR"/>
        </w:rPr>
        <w:t xml:space="preserve">es tranches de décaissement </w:t>
      </w:r>
      <w:r>
        <w:rPr>
          <w:lang w:val="fr-FR"/>
        </w:rPr>
        <w:t>afin d’accélérer l’exécution de certains projets sujets à des facteurs naturels, climatiques etc.</w:t>
      </w:r>
      <w:r w:rsidRPr="00E37BBE">
        <w:rPr>
          <w:lang w:val="fr-FR"/>
        </w:rPr>
        <w:t xml:space="preserve"> (iii) </w:t>
      </w:r>
      <w:r>
        <w:rPr>
          <w:lang w:val="fr-FR"/>
        </w:rPr>
        <w:t>allonger le sui</w:t>
      </w:r>
      <w:r w:rsidRPr="00E37BBE">
        <w:rPr>
          <w:lang w:val="fr-FR"/>
        </w:rPr>
        <w:t>vi ex-post des microprojets sur une période minimale de 3 mois</w:t>
      </w:r>
      <w:r>
        <w:rPr>
          <w:lang w:val="fr-FR"/>
        </w:rPr>
        <w:t xml:space="preserve"> après la fin d’exécution des activités</w:t>
      </w:r>
      <w:r w:rsidRPr="00E37BBE">
        <w:rPr>
          <w:lang w:val="fr-FR"/>
        </w:rPr>
        <w:t xml:space="preserve"> en vue d’améliorer les chances de pérennisation.</w:t>
      </w:r>
      <w:r>
        <w:rPr>
          <w:lang w:val="fr-FR"/>
        </w:rPr>
        <w:t xml:space="preserve"> </w:t>
      </w:r>
      <w:r w:rsidRPr="00E37BBE">
        <w:rPr>
          <w:lang w:val="fr-FR"/>
        </w:rPr>
        <w:t xml:space="preserve">On notera que ces recommandations ont démontré leur efficacité dans la mesure où elles ont permis d’augmenter la flexibilité du programme en donnant une marge de manœuvre plus importante aux structures locales d’exécution qui n’avaient pas toujours les moyens de préfinancement. </w:t>
      </w:r>
      <w:r>
        <w:rPr>
          <w:lang w:val="fr-FR"/>
        </w:rPr>
        <w:t>Les risques étaient minimisés par l’accentuation du suivi des collègues du PNUD et de l’ONUCI-DDR sur le terrain.</w:t>
      </w:r>
    </w:p>
    <w:p w:rsidR="004005EA" w:rsidRDefault="004005EA" w:rsidP="004005EA">
      <w:pPr>
        <w:tabs>
          <w:tab w:val="left" w:pos="1260"/>
          <w:tab w:val="left" w:pos="2880"/>
        </w:tabs>
        <w:spacing w:after="240" w:line="276" w:lineRule="auto"/>
        <w:jc w:val="both"/>
        <w:rPr>
          <w:lang w:val="fr-FR"/>
        </w:rPr>
      </w:pPr>
      <w:r>
        <w:rPr>
          <w:lang w:val="fr-FR"/>
        </w:rPr>
        <w:t>Enfin, plusieurs séances de concertation organisationnelle interne entre le PNUD et la division DDR de l’ONUCI ont également eues lieu. Ces rencontres ont permis de créer une équipe intégrée qui s’est activée à toutes les phases de la mise en œuvre du Projet. Les rencontres ont également servi de lieu de renforcement des capacités sur la gestion du risque.</w:t>
      </w:r>
    </w:p>
    <w:p w:rsidR="00406F46" w:rsidRPr="001E2C85" w:rsidRDefault="00406F46" w:rsidP="00406F46">
      <w:pPr>
        <w:numPr>
          <w:ilvl w:val="0"/>
          <w:numId w:val="22"/>
        </w:numPr>
        <w:spacing w:after="240" w:line="276" w:lineRule="auto"/>
        <w:jc w:val="both"/>
        <w:rPr>
          <w:b/>
          <w:bCs/>
          <w:i/>
          <w:iCs/>
          <w:color w:val="000000"/>
          <w:lang w:val="fr-FR"/>
        </w:rPr>
      </w:pPr>
      <w:r w:rsidRPr="001E2C85">
        <w:rPr>
          <w:b/>
          <w:bCs/>
          <w:i/>
          <w:iCs/>
          <w:color w:val="000000"/>
          <w:lang w:val="fr-FR"/>
        </w:rPr>
        <w:t>Le développement du partenariat à différents niveaux</w:t>
      </w:r>
    </w:p>
    <w:p w:rsidR="00D84307" w:rsidRPr="001E2C85" w:rsidRDefault="00406F46" w:rsidP="00406F46">
      <w:pPr>
        <w:spacing w:after="240" w:line="276" w:lineRule="auto"/>
        <w:jc w:val="both"/>
        <w:rPr>
          <w:color w:val="000000"/>
          <w:lang w:val="fr-FR"/>
        </w:rPr>
      </w:pPr>
      <w:r w:rsidRPr="001E2C85">
        <w:rPr>
          <w:color w:val="000000"/>
          <w:lang w:val="fr-FR"/>
        </w:rPr>
        <w:t>La stratégie adoptée dans le cadre du programme a été basée sur la recherche de partenariat pour une complémentarité et une efficacité dans les appuis. Le partenariat se faisait d’un côté sous forme de synergie</w:t>
      </w:r>
      <w:r w:rsidR="00D84307" w:rsidRPr="001E2C85">
        <w:rPr>
          <w:color w:val="000000"/>
          <w:lang w:val="fr-FR"/>
        </w:rPr>
        <w:t xml:space="preserve"> (niveau stratégique)</w:t>
      </w:r>
      <w:r w:rsidRPr="001E2C85">
        <w:rPr>
          <w:color w:val="000000"/>
          <w:lang w:val="fr-FR"/>
        </w:rPr>
        <w:t xml:space="preserve"> et de l’autre, sous forme de développement des capacités locales</w:t>
      </w:r>
      <w:r w:rsidR="00D84307" w:rsidRPr="001E2C85">
        <w:rPr>
          <w:color w:val="000000"/>
          <w:lang w:val="fr-FR"/>
        </w:rPr>
        <w:t xml:space="preserve"> (niveau opérationnel)</w:t>
      </w:r>
      <w:r w:rsidRPr="001E2C85">
        <w:rPr>
          <w:color w:val="000000"/>
          <w:lang w:val="fr-FR"/>
        </w:rPr>
        <w:t xml:space="preserve">. </w:t>
      </w:r>
    </w:p>
    <w:p w:rsidR="00406F46" w:rsidRPr="001E2C85" w:rsidRDefault="00D84307" w:rsidP="00D84307">
      <w:pPr>
        <w:spacing w:after="240" w:line="276" w:lineRule="auto"/>
        <w:jc w:val="both"/>
        <w:rPr>
          <w:color w:val="000000"/>
          <w:lang w:val="fr-FR"/>
        </w:rPr>
      </w:pPr>
      <w:r w:rsidRPr="001E2C85">
        <w:rPr>
          <w:color w:val="000000"/>
          <w:lang w:val="fr-FR"/>
        </w:rPr>
        <w:t xml:space="preserve">Au niveau stratégique, </w:t>
      </w:r>
      <w:r w:rsidR="00406F46" w:rsidRPr="001E2C85">
        <w:rPr>
          <w:color w:val="000000"/>
          <w:lang w:val="fr-FR"/>
        </w:rPr>
        <w:t>le programme a réussi à communiquer sur ses activités, sur leur évolution et sur les besoins et nécessités complémentaires ressentis dans différentes localités. Cela a permis</w:t>
      </w:r>
      <w:r w:rsidRPr="001E2C85">
        <w:rPr>
          <w:color w:val="000000"/>
          <w:lang w:val="fr-FR"/>
        </w:rPr>
        <w:t xml:space="preserve"> de développer des complémentarités d’action, des dynamiques constructives en termes de relèvement communautaire</w:t>
      </w:r>
      <w:r w:rsidR="001E2C85">
        <w:rPr>
          <w:color w:val="000000"/>
          <w:lang w:val="fr-FR"/>
        </w:rPr>
        <w:t>.</w:t>
      </w:r>
      <w:r w:rsidR="00406F46" w:rsidRPr="001E2C85">
        <w:rPr>
          <w:color w:val="000000"/>
          <w:lang w:val="fr-FR"/>
        </w:rPr>
        <w:t xml:space="preserve">  </w:t>
      </w:r>
    </w:p>
    <w:p w:rsidR="00D84307" w:rsidRPr="001E2C85" w:rsidRDefault="00406F46" w:rsidP="00406F46">
      <w:pPr>
        <w:spacing w:after="240" w:line="276" w:lineRule="auto"/>
        <w:jc w:val="both"/>
        <w:rPr>
          <w:color w:val="000000"/>
          <w:lang w:val="fr-FR"/>
        </w:rPr>
      </w:pPr>
      <w:r w:rsidRPr="001E2C85">
        <w:rPr>
          <w:color w:val="000000"/>
          <w:lang w:val="fr-FR"/>
        </w:rPr>
        <w:t xml:space="preserve">Concernant le développement du partenariat au niveau </w:t>
      </w:r>
      <w:r w:rsidR="00D84307" w:rsidRPr="001E2C85">
        <w:rPr>
          <w:color w:val="000000"/>
          <w:lang w:val="fr-FR"/>
        </w:rPr>
        <w:t>opérationnel (</w:t>
      </w:r>
      <w:r w:rsidRPr="001E2C85">
        <w:rPr>
          <w:color w:val="000000"/>
          <w:lang w:val="fr-FR"/>
        </w:rPr>
        <w:t>local</w:t>
      </w:r>
      <w:r w:rsidR="00D84307" w:rsidRPr="001E2C85">
        <w:rPr>
          <w:color w:val="000000"/>
          <w:lang w:val="fr-FR"/>
        </w:rPr>
        <w:t>)</w:t>
      </w:r>
      <w:r w:rsidRPr="001E2C85">
        <w:rPr>
          <w:color w:val="000000"/>
          <w:lang w:val="fr-FR"/>
        </w:rPr>
        <w:t>, le programme a accordé une importance particulière à la participation effective des bénéficiaires dans la c</w:t>
      </w:r>
      <w:r w:rsidR="001E2C85">
        <w:rPr>
          <w:color w:val="000000"/>
          <w:lang w:val="fr-FR"/>
        </w:rPr>
        <w:t xml:space="preserve">onduite de leurs activités afin </w:t>
      </w:r>
      <w:r w:rsidRPr="001E2C85">
        <w:rPr>
          <w:color w:val="000000"/>
          <w:lang w:val="fr-FR"/>
        </w:rPr>
        <w:t>de garantir la pérennité des actions entreprises. En effet, il s’agissait de travailler en étroite collaboration avec</w:t>
      </w:r>
      <w:r w:rsidR="00D84307" w:rsidRPr="001E2C85">
        <w:rPr>
          <w:color w:val="000000"/>
          <w:lang w:val="fr-FR"/>
        </w:rPr>
        <w:t xml:space="preserve"> des structures locales, bien conscientes, sensibles et imprégnées des réalités. Cette donne pourrait être considérée comme un des facteurs de l’appropriation locale du programme.</w:t>
      </w:r>
    </w:p>
    <w:p w:rsidR="00DF1155" w:rsidRPr="00AE31A4" w:rsidRDefault="00DF1155" w:rsidP="00406F46">
      <w:pPr>
        <w:numPr>
          <w:ilvl w:val="0"/>
          <w:numId w:val="22"/>
        </w:numPr>
        <w:spacing w:after="240" w:line="276" w:lineRule="auto"/>
        <w:jc w:val="both"/>
        <w:rPr>
          <w:b/>
          <w:bCs/>
          <w:i/>
          <w:iCs/>
          <w:lang w:val="fr-FR"/>
        </w:rPr>
      </w:pPr>
      <w:r w:rsidRPr="00AE31A4">
        <w:rPr>
          <w:b/>
          <w:bCs/>
          <w:i/>
          <w:iCs/>
          <w:lang w:val="fr-FR"/>
        </w:rPr>
        <w:t xml:space="preserve">Une formation adaptée aux besoins des bénéficiaires </w:t>
      </w:r>
    </w:p>
    <w:p w:rsidR="00276C8A" w:rsidRDefault="00614698" w:rsidP="00641B4D">
      <w:pPr>
        <w:pStyle w:val="BodyText"/>
        <w:spacing w:after="24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Une des stratégies de mise en œuvre du Projet a été d’opérationnaliser les formations nécessaires pour la bonne continuité des activités des bénéficiaires</w:t>
      </w:r>
      <w:r w:rsidR="005802C9">
        <w:rPr>
          <w:rFonts w:ascii="Times New Roman" w:hAnsi="Times New Roman" w:cs="Times New Roman"/>
          <w:sz w:val="24"/>
          <w:szCs w:val="24"/>
          <w:lang w:val="fr-FR"/>
        </w:rPr>
        <w:t>. Les</w:t>
      </w:r>
      <w:r>
        <w:rPr>
          <w:rFonts w:ascii="Times New Roman" w:hAnsi="Times New Roman" w:cs="Times New Roman"/>
          <w:sz w:val="24"/>
          <w:szCs w:val="24"/>
          <w:lang w:val="fr-FR"/>
        </w:rPr>
        <w:t xml:space="preserve"> formation</w:t>
      </w:r>
      <w:r w:rsidR="005802C9">
        <w:rPr>
          <w:rFonts w:ascii="Times New Roman" w:hAnsi="Times New Roman" w:cs="Times New Roman"/>
          <w:sz w:val="24"/>
          <w:szCs w:val="24"/>
          <w:lang w:val="fr-FR"/>
        </w:rPr>
        <w:t>s</w:t>
      </w:r>
      <w:r>
        <w:rPr>
          <w:rFonts w:ascii="Times New Roman" w:hAnsi="Times New Roman" w:cs="Times New Roman"/>
          <w:sz w:val="24"/>
          <w:szCs w:val="24"/>
          <w:lang w:val="fr-FR"/>
        </w:rPr>
        <w:t xml:space="preserve"> dispensée</w:t>
      </w:r>
      <w:r w:rsidR="005802C9">
        <w:rPr>
          <w:rFonts w:ascii="Times New Roman" w:hAnsi="Times New Roman" w:cs="Times New Roman"/>
          <w:sz w:val="24"/>
          <w:szCs w:val="24"/>
          <w:lang w:val="fr-FR"/>
        </w:rPr>
        <w:t>s</w:t>
      </w:r>
      <w:r>
        <w:rPr>
          <w:rFonts w:ascii="Times New Roman" w:hAnsi="Times New Roman" w:cs="Times New Roman"/>
          <w:sz w:val="24"/>
          <w:szCs w:val="24"/>
          <w:lang w:val="fr-FR"/>
        </w:rPr>
        <w:t xml:space="preserve"> devai</w:t>
      </w:r>
      <w:r w:rsidR="005802C9">
        <w:rPr>
          <w:rFonts w:ascii="Times New Roman" w:hAnsi="Times New Roman" w:cs="Times New Roman"/>
          <w:sz w:val="24"/>
          <w:szCs w:val="24"/>
          <w:lang w:val="fr-FR"/>
        </w:rPr>
        <w:t>en</w:t>
      </w:r>
      <w:r>
        <w:rPr>
          <w:rFonts w:ascii="Times New Roman" w:hAnsi="Times New Roman" w:cs="Times New Roman"/>
          <w:sz w:val="24"/>
          <w:szCs w:val="24"/>
          <w:lang w:val="fr-FR"/>
        </w:rPr>
        <w:t>t donc être organis</w:t>
      </w:r>
      <w:r w:rsidR="00582A07">
        <w:rPr>
          <w:rFonts w:ascii="Times New Roman" w:hAnsi="Times New Roman" w:cs="Times New Roman"/>
          <w:sz w:val="24"/>
          <w:szCs w:val="24"/>
          <w:lang w:val="fr-FR"/>
        </w:rPr>
        <w:t>ées</w:t>
      </w:r>
      <w:r>
        <w:rPr>
          <w:rFonts w:ascii="Times New Roman" w:hAnsi="Times New Roman" w:cs="Times New Roman"/>
          <w:sz w:val="24"/>
          <w:szCs w:val="24"/>
          <w:lang w:val="fr-FR"/>
        </w:rPr>
        <w:t xml:space="preserve"> </w:t>
      </w:r>
      <w:r>
        <w:rPr>
          <w:rFonts w:ascii="Times New Roman" w:hAnsi="Times New Roman" w:cs="Times New Roman"/>
          <w:sz w:val="24"/>
          <w:szCs w:val="24"/>
          <w:lang w:val="fr-FR"/>
        </w:rPr>
        <w:lastRenderedPageBreak/>
        <w:t xml:space="preserve">en fonction des connaissances de chaque bénéficiaire et des spécificités de l’activité du projet. Tout au long de la mise en œuvre des activités, les bénéficiaires étaient encadrés, orientés et conseillés par des techniciens. En plus de leurs expertises, les techniciens devaient avoir une bonne connaissance des </w:t>
      </w:r>
      <w:r w:rsidR="005802C9">
        <w:rPr>
          <w:rFonts w:ascii="Times New Roman" w:hAnsi="Times New Roman" w:cs="Times New Roman"/>
          <w:sz w:val="24"/>
          <w:szCs w:val="24"/>
          <w:lang w:val="fr-FR"/>
        </w:rPr>
        <w:t>réalités nationales</w:t>
      </w:r>
      <w:r>
        <w:rPr>
          <w:rFonts w:ascii="Times New Roman" w:hAnsi="Times New Roman" w:cs="Times New Roman"/>
          <w:sz w:val="24"/>
          <w:szCs w:val="24"/>
          <w:lang w:val="fr-FR"/>
        </w:rPr>
        <w:t xml:space="preserve"> et les capacités de dispenser les formations en langue locale. </w:t>
      </w:r>
    </w:p>
    <w:p w:rsidR="00614698" w:rsidRDefault="00614698" w:rsidP="00641B4D">
      <w:pPr>
        <w:pStyle w:val="BodyText"/>
        <w:spacing w:after="24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Par ailleurs, deux modules étaient systématiquement obligatoires :</w:t>
      </w:r>
    </w:p>
    <w:p w:rsidR="00614698" w:rsidRPr="002722B8" w:rsidRDefault="00614698" w:rsidP="00641B4D">
      <w:pPr>
        <w:pStyle w:val="BodyText"/>
        <w:numPr>
          <w:ilvl w:val="0"/>
          <w:numId w:val="11"/>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Une for</w:t>
      </w:r>
      <w:r w:rsidR="00276C8A">
        <w:rPr>
          <w:rFonts w:ascii="Times New Roman" w:hAnsi="Times New Roman" w:cs="Times New Roman"/>
          <w:sz w:val="24"/>
          <w:szCs w:val="24"/>
          <w:lang w:val="fr-FR"/>
        </w:rPr>
        <w:t>mation en éducation</w:t>
      </w:r>
      <w:r>
        <w:rPr>
          <w:rFonts w:ascii="Times New Roman" w:hAnsi="Times New Roman" w:cs="Times New Roman"/>
          <w:sz w:val="24"/>
          <w:szCs w:val="24"/>
          <w:lang w:val="fr-FR"/>
        </w:rPr>
        <w:t xml:space="preserve"> civique et morale</w:t>
      </w:r>
      <w:r w:rsidR="005802C9">
        <w:rPr>
          <w:rFonts w:ascii="Times New Roman" w:hAnsi="Times New Roman" w:cs="Times New Roman"/>
          <w:sz w:val="24"/>
          <w:szCs w:val="24"/>
          <w:lang w:val="fr-FR"/>
        </w:rPr>
        <w:t xml:space="preserve">. Cette formation était orientée vers la connaissance basique du civisme, de la nation et des citoyens. Elle a permis de renforcer la responsabilisation individuelle des bénéficiaires qui n’avaient pas toujours une bonne compréhension des </w:t>
      </w:r>
      <w:r w:rsidR="005802C9" w:rsidRPr="002722B8">
        <w:rPr>
          <w:rFonts w:ascii="Times New Roman" w:hAnsi="Times New Roman" w:cs="Times New Roman"/>
          <w:sz w:val="24"/>
          <w:szCs w:val="24"/>
          <w:lang w:val="fr-FR"/>
        </w:rPr>
        <w:t>répercussions collectives de certains de leurs actes.</w:t>
      </w:r>
    </w:p>
    <w:p w:rsidR="00614698" w:rsidRDefault="00614698" w:rsidP="00641B4D">
      <w:pPr>
        <w:pStyle w:val="BodyText"/>
        <w:numPr>
          <w:ilvl w:val="0"/>
          <w:numId w:val="11"/>
        </w:numPr>
        <w:spacing w:after="240" w:line="276" w:lineRule="auto"/>
        <w:jc w:val="both"/>
        <w:rPr>
          <w:rFonts w:ascii="Times New Roman" w:hAnsi="Times New Roman" w:cs="Times New Roman"/>
          <w:sz w:val="24"/>
          <w:szCs w:val="24"/>
          <w:lang w:val="fr-FR"/>
        </w:rPr>
      </w:pPr>
      <w:r w:rsidRPr="002722B8">
        <w:rPr>
          <w:rFonts w:ascii="Times New Roman" w:hAnsi="Times New Roman" w:cs="Times New Roman"/>
          <w:sz w:val="24"/>
          <w:szCs w:val="24"/>
          <w:lang w:val="fr-FR"/>
        </w:rPr>
        <w:t>Une format</w:t>
      </w:r>
      <w:r w:rsidR="005802C9" w:rsidRPr="002722B8">
        <w:rPr>
          <w:rFonts w:ascii="Times New Roman" w:hAnsi="Times New Roman" w:cs="Times New Roman"/>
          <w:sz w:val="24"/>
          <w:szCs w:val="24"/>
          <w:lang w:val="fr-FR"/>
        </w:rPr>
        <w:t xml:space="preserve">ion en comptabilité simplifiée. Cette formation était orientée vers la connaissance basique de concepts clés </w:t>
      </w:r>
      <w:r w:rsidR="00582A07" w:rsidRPr="002722B8">
        <w:rPr>
          <w:rFonts w:ascii="Times New Roman" w:hAnsi="Times New Roman" w:cs="Times New Roman"/>
          <w:sz w:val="24"/>
          <w:szCs w:val="24"/>
          <w:lang w:val="fr-FR"/>
        </w:rPr>
        <w:t xml:space="preserve">liés </w:t>
      </w:r>
      <w:r w:rsidR="00065D52" w:rsidRPr="002722B8">
        <w:rPr>
          <w:rFonts w:ascii="Times New Roman" w:hAnsi="Times New Roman" w:cs="Times New Roman"/>
          <w:sz w:val="24"/>
          <w:szCs w:val="24"/>
          <w:lang w:val="fr-FR"/>
        </w:rPr>
        <w:t xml:space="preserve">à </w:t>
      </w:r>
      <w:r w:rsidR="00582A07" w:rsidRPr="002722B8">
        <w:rPr>
          <w:rFonts w:ascii="Times New Roman" w:hAnsi="Times New Roman" w:cs="Times New Roman"/>
          <w:sz w:val="24"/>
          <w:szCs w:val="24"/>
          <w:lang w:val="fr-FR"/>
        </w:rPr>
        <w:t>la gestion quotidienne des activité</w:t>
      </w:r>
      <w:r w:rsidR="00296DEE" w:rsidRPr="002722B8">
        <w:rPr>
          <w:rFonts w:ascii="Times New Roman" w:hAnsi="Times New Roman" w:cs="Times New Roman"/>
          <w:sz w:val="24"/>
          <w:szCs w:val="24"/>
          <w:lang w:val="fr-FR"/>
        </w:rPr>
        <w:t>s</w:t>
      </w:r>
      <w:r w:rsidR="00582A07" w:rsidRPr="002722B8">
        <w:rPr>
          <w:rFonts w:ascii="Times New Roman" w:hAnsi="Times New Roman" w:cs="Times New Roman"/>
          <w:sz w:val="24"/>
          <w:szCs w:val="24"/>
          <w:lang w:val="fr-FR"/>
        </w:rPr>
        <w:t xml:space="preserve"> </w:t>
      </w:r>
      <w:r w:rsidR="005802C9" w:rsidRPr="002722B8">
        <w:rPr>
          <w:rFonts w:ascii="Times New Roman" w:hAnsi="Times New Roman" w:cs="Times New Roman"/>
          <w:sz w:val="24"/>
          <w:szCs w:val="24"/>
          <w:lang w:val="fr-FR"/>
        </w:rPr>
        <w:t>comme l’investissement, le coût, le bénéfice et l’épargne. Elle a permis une meilleure organisation/ré</w:t>
      </w:r>
      <w:r w:rsidR="00F71974" w:rsidRPr="002722B8">
        <w:rPr>
          <w:rFonts w:ascii="Times New Roman" w:hAnsi="Times New Roman" w:cs="Times New Roman"/>
          <w:sz w:val="24"/>
          <w:szCs w:val="24"/>
          <w:lang w:val="fr-FR"/>
        </w:rPr>
        <w:t>partition des tâches au sein de</w:t>
      </w:r>
      <w:r w:rsidR="005802C9" w:rsidRPr="002722B8">
        <w:rPr>
          <w:rFonts w:ascii="Times New Roman" w:hAnsi="Times New Roman" w:cs="Times New Roman"/>
          <w:sz w:val="24"/>
          <w:szCs w:val="24"/>
          <w:lang w:val="fr-FR"/>
        </w:rPr>
        <w:t xml:space="preserve"> certains groupes</w:t>
      </w:r>
      <w:r w:rsidR="00641B4D" w:rsidRPr="002722B8">
        <w:rPr>
          <w:rFonts w:ascii="Times New Roman" w:hAnsi="Times New Roman" w:cs="Times New Roman"/>
          <w:sz w:val="24"/>
          <w:szCs w:val="24"/>
          <w:lang w:val="fr-FR"/>
        </w:rPr>
        <w:t xml:space="preserve"> autour de la tenue de caisse</w:t>
      </w:r>
      <w:r w:rsidR="005802C9" w:rsidRPr="002722B8">
        <w:rPr>
          <w:rFonts w:ascii="Times New Roman" w:hAnsi="Times New Roman" w:cs="Times New Roman"/>
          <w:sz w:val="24"/>
          <w:szCs w:val="24"/>
          <w:lang w:val="fr-FR"/>
        </w:rPr>
        <w:t xml:space="preserve"> et favorisé la traçabilité</w:t>
      </w:r>
      <w:r w:rsidR="005802C9">
        <w:rPr>
          <w:rFonts w:ascii="Times New Roman" w:hAnsi="Times New Roman" w:cs="Times New Roman"/>
          <w:sz w:val="24"/>
          <w:szCs w:val="24"/>
          <w:lang w:val="fr-FR"/>
        </w:rPr>
        <w:t xml:space="preserve"> des dépenses occasionnées par </w:t>
      </w:r>
      <w:r w:rsidR="00641B4D">
        <w:rPr>
          <w:rFonts w:ascii="Times New Roman" w:hAnsi="Times New Roman" w:cs="Times New Roman"/>
          <w:sz w:val="24"/>
          <w:szCs w:val="24"/>
          <w:lang w:val="fr-FR"/>
        </w:rPr>
        <w:t xml:space="preserve">les bénéficiaires pendant et après la période de suivi par les structures d’encadrement. Au-delà, </w:t>
      </w:r>
      <w:r w:rsidR="00582A07">
        <w:rPr>
          <w:rFonts w:ascii="Times New Roman" w:hAnsi="Times New Roman" w:cs="Times New Roman"/>
          <w:sz w:val="24"/>
          <w:szCs w:val="24"/>
          <w:lang w:val="fr-FR"/>
        </w:rPr>
        <w:t xml:space="preserve">cette formation </w:t>
      </w:r>
      <w:r w:rsidR="00641B4D">
        <w:rPr>
          <w:rFonts w:ascii="Times New Roman" w:hAnsi="Times New Roman" w:cs="Times New Roman"/>
          <w:sz w:val="24"/>
          <w:szCs w:val="24"/>
          <w:lang w:val="fr-FR"/>
        </w:rPr>
        <w:t xml:space="preserve">a souvent favorisé l’ouverture de comptes bancaires et </w:t>
      </w:r>
      <w:r w:rsidR="00582A07">
        <w:rPr>
          <w:rFonts w:ascii="Times New Roman" w:hAnsi="Times New Roman" w:cs="Times New Roman"/>
          <w:sz w:val="24"/>
          <w:szCs w:val="24"/>
          <w:lang w:val="fr-FR"/>
        </w:rPr>
        <w:t xml:space="preserve">insituté la culture de l’épargne qui se matérialise par </w:t>
      </w:r>
      <w:r w:rsidR="00641B4D">
        <w:rPr>
          <w:rFonts w:ascii="Times New Roman" w:hAnsi="Times New Roman" w:cs="Times New Roman"/>
          <w:sz w:val="24"/>
          <w:szCs w:val="24"/>
          <w:lang w:val="fr-FR"/>
        </w:rPr>
        <w:t>la régularité des versements</w:t>
      </w:r>
      <w:r w:rsidR="00582A07">
        <w:rPr>
          <w:rFonts w:ascii="Times New Roman" w:hAnsi="Times New Roman" w:cs="Times New Roman"/>
          <w:sz w:val="24"/>
          <w:szCs w:val="24"/>
          <w:lang w:val="fr-FR"/>
        </w:rPr>
        <w:t xml:space="preserve"> ou dépôts bancaires</w:t>
      </w:r>
      <w:r w:rsidR="00641B4D">
        <w:rPr>
          <w:rFonts w:ascii="Times New Roman" w:hAnsi="Times New Roman" w:cs="Times New Roman"/>
          <w:sz w:val="24"/>
          <w:szCs w:val="24"/>
          <w:lang w:val="fr-FR"/>
        </w:rPr>
        <w:t>.</w:t>
      </w:r>
    </w:p>
    <w:p w:rsidR="00614698" w:rsidRDefault="00614698" w:rsidP="00641B4D">
      <w:pPr>
        <w:pStyle w:val="BodyText"/>
        <w:spacing w:after="24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autres formations techniques dispensées </w:t>
      </w:r>
      <w:r w:rsidR="00582A07">
        <w:rPr>
          <w:rFonts w:ascii="Times New Roman" w:hAnsi="Times New Roman" w:cs="Times New Roman"/>
          <w:sz w:val="24"/>
          <w:szCs w:val="24"/>
          <w:lang w:val="fr-FR"/>
        </w:rPr>
        <w:t>cadraient de façon spécifique avec les activités de sorte à renforcer les compétences techniques des bénéficiaires dans la conduite des a</w:t>
      </w:r>
      <w:r w:rsidR="00065D52">
        <w:rPr>
          <w:rFonts w:ascii="Times New Roman" w:hAnsi="Times New Roman" w:cs="Times New Roman"/>
          <w:sz w:val="24"/>
          <w:szCs w:val="24"/>
          <w:lang w:val="fr-FR"/>
        </w:rPr>
        <w:t>ctivités. Ces modules variaient</w:t>
      </w:r>
      <w:r w:rsidR="00582A07">
        <w:rPr>
          <w:rFonts w:ascii="Times New Roman" w:hAnsi="Times New Roman" w:cs="Times New Roman"/>
          <w:sz w:val="24"/>
          <w:szCs w:val="24"/>
          <w:lang w:val="fr-FR"/>
        </w:rPr>
        <w:t xml:space="preserve"> selon les </w:t>
      </w:r>
      <w:r>
        <w:rPr>
          <w:rFonts w:ascii="Times New Roman" w:hAnsi="Times New Roman" w:cs="Times New Roman"/>
          <w:sz w:val="24"/>
          <w:szCs w:val="24"/>
          <w:lang w:val="fr-FR"/>
        </w:rPr>
        <w:t>domaines  le type de projet</w:t>
      </w:r>
      <w:r w:rsidR="00065D52">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614698">
        <w:rPr>
          <w:rFonts w:ascii="Times New Roman" w:hAnsi="Times New Roman" w:cs="Times New Roman"/>
          <w:sz w:val="24"/>
          <w:szCs w:val="24"/>
          <w:lang w:val="fr-FR"/>
        </w:rPr>
        <w:t xml:space="preserve"> </w:t>
      </w:r>
      <w:r w:rsidRPr="00E37BBE">
        <w:rPr>
          <w:rFonts w:ascii="Times New Roman" w:hAnsi="Times New Roman" w:cs="Times New Roman"/>
          <w:sz w:val="24"/>
          <w:szCs w:val="24"/>
          <w:lang w:val="fr-FR"/>
        </w:rPr>
        <w:t>l’élevage, l’agriculture, la maçonnerie, la menuiserie, la plomberie, l’électronique, la boulangerie, le marketing et les technique</w:t>
      </w:r>
      <w:r w:rsidR="00641B4D">
        <w:rPr>
          <w:rFonts w:ascii="Times New Roman" w:hAnsi="Times New Roman" w:cs="Times New Roman"/>
          <w:sz w:val="24"/>
          <w:szCs w:val="24"/>
          <w:lang w:val="fr-FR"/>
        </w:rPr>
        <w:t>s de vente,</w:t>
      </w:r>
      <w:r w:rsidRPr="00E37BBE">
        <w:rPr>
          <w:rFonts w:ascii="Times New Roman" w:hAnsi="Times New Roman" w:cs="Times New Roman"/>
          <w:sz w:val="24"/>
          <w:szCs w:val="24"/>
          <w:lang w:val="fr-FR"/>
        </w:rPr>
        <w:t xml:space="preserve"> </w:t>
      </w:r>
      <w:r w:rsidRPr="00DF1155">
        <w:rPr>
          <w:rFonts w:ascii="Times New Roman" w:hAnsi="Times New Roman" w:cs="Times New Roman"/>
          <w:sz w:val="24"/>
          <w:szCs w:val="24"/>
          <w:lang w:val="fr-FR"/>
        </w:rPr>
        <w:t>etc.</w:t>
      </w:r>
    </w:p>
    <w:p w:rsidR="00127C5E" w:rsidRDefault="00276C8A" w:rsidP="004005EA">
      <w:pPr>
        <w:pStyle w:val="BodyText"/>
        <w:numPr>
          <w:ilvl w:val="0"/>
          <w:numId w:val="21"/>
        </w:numPr>
        <w:spacing w:after="240" w:line="276" w:lineRule="auto"/>
        <w:jc w:val="both"/>
        <w:rPr>
          <w:rFonts w:ascii="Times New Roman" w:hAnsi="Times New Roman" w:cs="Times New Roman"/>
          <w:b/>
          <w:bCs/>
          <w:i/>
          <w:iCs/>
          <w:sz w:val="24"/>
          <w:szCs w:val="24"/>
          <w:lang w:val="fr-FR"/>
        </w:rPr>
      </w:pPr>
      <w:r w:rsidRPr="00276C8A">
        <w:rPr>
          <w:rFonts w:ascii="Times New Roman" w:hAnsi="Times New Roman" w:cs="Times New Roman"/>
          <w:b/>
          <w:bCs/>
          <w:i/>
          <w:iCs/>
          <w:sz w:val="24"/>
          <w:szCs w:val="24"/>
          <w:lang w:val="fr-FR"/>
        </w:rPr>
        <w:t>Le développement du marché local</w:t>
      </w:r>
      <w:r w:rsidR="00686889">
        <w:rPr>
          <w:rFonts w:ascii="Times New Roman" w:hAnsi="Times New Roman" w:cs="Times New Roman"/>
          <w:b/>
          <w:bCs/>
          <w:i/>
          <w:iCs/>
          <w:sz w:val="24"/>
          <w:szCs w:val="24"/>
          <w:lang w:val="fr-FR"/>
        </w:rPr>
        <w:t xml:space="preserve"> de proximité</w:t>
      </w:r>
    </w:p>
    <w:p w:rsidR="00127C5E" w:rsidRPr="00127C5E" w:rsidRDefault="00127C5E" w:rsidP="00BB6595">
      <w:pPr>
        <w:pStyle w:val="BodyText"/>
        <w:spacing w:after="24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la mise en œuvre des microprojets et après consultation à différents niveaux, le </w:t>
      </w:r>
      <w:r w:rsidR="00582A07">
        <w:rPr>
          <w:rFonts w:ascii="Times New Roman" w:hAnsi="Times New Roman" w:cs="Times New Roman"/>
          <w:sz w:val="24"/>
          <w:szCs w:val="24"/>
          <w:lang w:val="fr-FR"/>
        </w:rPr>
        <w:t xml:space="preserve">programme </w:t>
      </w:r>
      <w:r w:rsidR="008342A3">
        <w:rPr>
          <w:rFonts w:ascii="Times New Roman" w:hAnsi="Times New Roman" w:cs="Times New Roman"/>
          <w:sz w:val="24"/>
          <w:szCs w:val="24"/>
          <w:lang w:val="fr-FR"/>
        </w:rPr>
        <w:t>a favorisé les</w:t>
      </w:r>
      <w:r>
        <w:rPr>
          <w:rFonts w:ascii="Times New Roman" w:hAnsi="Times New Roman" w:cs="Times New Roman"/>
          <w:sz w:val="24"/>
          <w:szCs w:val="24"/>
          <w:lang w:val="fr-FR"/>
        </w:rPr>
        <w:t xml:space="preserve"> achats</w:t>
      </w:r>
      <w:r w:rsidR="00BB6595">
        <w:rPr>
          <w:rFonts w:ascii="Times New Roman" w:hAnsi="Times New Roman" w:cs="Times New Roman"/>
          <w:sz w:val="24"/>
          <w:szCs w:val="24"/>
          <w:lang w:val="fr-FR"/>
        </w:rPr>
        <w:t xml:space="preserve"> sur les marchés locaux. Cette stratégie a permis d’une part, d’impliquer les bénéficiaires dans les achats liés à</w:t>
      </w:r>
      <w:r w:rsidR="00E5213F">
        <w:rPr>
          <w:rFonts w:ascii="Times New Roman" w:hAnsi="Times New Roman" w:cs="Times New Roman"/>
          <w:sz w:val="24"/>
          <w:szCs w:val="24"/>
          <w:lang w:val="fr-FR"/>
        </w:rPr>
        <w:t xml:space="preserve"> leurs projets et d’autre part</w:t>
      </w:r>
      <w:r w:rsidR="00BB6595">
        <w:rPr>
          <w:rFonts w:ascii="Times New Roman" w:hAnsi="Times New Roman" w:cs="Times New Roman"/>
          <w:sz w:val="24"/>
          <w:szCs w:val="24"/>
          <w:lang w:val="fr-FR"/>
        </w:rPr>
        <w:t>, d’influencer le relèvement économique à la base. De surcroit, les bénéficiaires développaient des partenariats commerciaux réguliers et participaient activeme</w:t>
      </w:r>
      <w:r w:rsidR="00686889">
        <w:rPr>
          <w:rFonts w:ascii="Times New Roman" w:hAnsi="Times New Roman" w:cs="Times New Roman"/>
          <w:sz w:val="24"/>
          <w:szCs w:val="24"/>
          <w:lang w:val="fr-FR"/>
        </w:rPr>
        <w:t>nt aux négociations des achats.</w:t>
      </w:r>
      <w:r w:rsidR="00BB6595">
        <w:rPr>
          <w:rFonts w:ascii="Times New Roman" w:hAnsi="Times New Roman" w:cs="Times New Roman"/>
          <w:sz w:val="24"/>
          <w:szCs w:val="24"/>
          <w:lang w:val="fr-FR"/>
        </w:rPr>
        <w:t xml:space="preserve"> Cela a permis à plusieurs groupes de bénéficiaire</w:t>
      </w:r>
      <w:r w:rsidR="00582A07">
        <w:rPr>
          <w:rFonts w:ascii="Times New Roman" w:hAnsi="Times New Roman" w:cs="Times New Roman"/>
          <w:sz w:val="24"/>
          <w:szCs w:val="24"/>
          <w:lang w:val="fr-FR"/>
        </w:rPr>
        <w:t>s</w:t>
      </w:r>
      <w:r w:rsidR="00BB6595">
        <w:rPr>
          <w:rFonts w:ascii="Times New Roman" w:hAnsi="Times New Roman" w:cs="Times New Roman"/>
          <w:sz w:val="24"/>
          <w:szCs w:val="24"/>
          <w:lang w:val="fr-FR"/>
        </w:rPr>
        <w:t xml:space="preserve"> de fidéliser les relations commercial</w:t>
      </w:r>
      <w:r w:rsidR="00686889">
        <w:rPr>
          <w:rFonts w:ascii="Times New Roman" w:hAnsi="Times New Roman" w:cs="Times New Roman"/>
          <w:sz w:val="24"/>
          <w:szCs w:val="24"/>
          <w:lang w:val="fr-FR"/>
        </w:rPr>
        <w:t>es avec des fournisseurs locaux et de maintenir/développer leurs activités à moyen terme.</w:t>
      </w:r>
    </w:p>
    <w:p w:rsidR="00127C5E" w:rsidRPr="002722B8" w:rsidRDefault="00127C5E" w:rsidP="004005EA">
      <w:pPr>
        <w:pStyle w:val="BodyText"/>
        <w:numPr>
          <w:ilvl w:val="0"/>
          <w:numId w:val="20"/>
        </w:numPr>
        <w:spacing w:after="240" w:line="276" w:lineRule="auto"/>
        <w:jc w:val="both"/>
        <w:rPr>
          <w:rFonts w:ascii="Times New Roman" w:hAnsi="Times New Roman" w:cs="Times New Roman"/>
          <w:b/>
          <w:bCs/>
          <w:i/>
          <w:iCs/>
          <w:sz w:val="24"/>
          <w:szCs w:val="24"/>
          <w:u w:val="single"/>
          <w:lang w:val="fr-FR"/>
        </w:rPr>
      </w:pPr>
      <w:r>
        <w:rPr>
          <w:rFonts w:ascii="Times New Roman" w:hAnsi="Times New Roman" w:cs="Times New Roman"/>
          <w:b/>
          <w:bCs/>
          <w:i/>
          <w:iCs/>
          <w:sz w:val="24"/>
          <w:szCs w:val="24"/>
          <w:lang w:val="fr-FR"/>
        </w:rPr>
        <w:t xml:space="preserve">Favoriser la réinsertion des bénéficiaires </w:t>
      </w:r>
      <w:r w:rsidRPr="002722B8">
        <w:rPr>
          <w:rFonts w:ascii="Times New Roman" w:hAnsi="Times New Roman" w:cs="Times New Roman"/>
          <w:b/>
          <w:bCs/>
          <w:i/>
          <w:iCs/>
          <w:sz w:val="24"/>
          <w:szCs w:val="24"/>
          <w:lang w:val="fr-FR"/>
        </w:rPr>
        <w:t>à travers l</w:t>
      </w:r>
      <w:r w:rsidR="0020398E" w:rsidRPr="002722B8">
        <w:rPr>
          <w:rFonts w:ascii="Times New Roman" w:hAnsi="Times New Roman" w:cs="Times New Roman"/>
          <w:b/>
          <w:bCs/>
          <w:i/>
          <w:iCs/>
          <w:sz w:val="24"/>
          <w:szCs w:val="24"/>
          <w:lang w:val="fr-FR"/>
        </w:rPr>
        <w:t>es</w:t>
      </w:r>
      <w:r w:rsidR="00ED7357" w:rsidRPr="002722B8">
        <w:rPr>
          <w:rFonts w:ascii="Times New Roman" w:hAnsi="Times New Roman" w:cs="Times New Roman"/>
          <w:b/>
          <w:bCs/>
          <w:i/>
          <w:iCs/>
          <w:sz w:val="24"/>
          <w:szCs w:val="24"/>
          <w:lang w:val="fr-FR"/>
        </w:rPr>
        <w:t xml:space="preserve"> activités communautaires</w:t>
      </w:r>
    </w:p>
    <w:p w:rsidR="00641B4D" w:rsidRPr="002722B8" w:rsidRDefault="00CB232B" w:rsidP="0087539E">
      <w:pPr>
        <w:pStyle w:val="BodyText"/>
        <w:spacing w:after="240" w:line="276" w:lineRule="auto"/>
        <w:jc w:val="both"/>
        <w:rPr>
          <w:rFonts w:ascii="Times New Roman" w:hAnsi="Times New Roman" w:cs="Times New Roman"/>
          <w:sz w:val="24"/>
          <w:szCs w:val="24"/>
          <w:lang w:val="fr-FR"/>
        </w:rPr>
      </w:pPr>
      <w:r w:rsidRPr="002722B8">
        <w:rPr>
          <w:rFonts w:ascii="Times New Roman" w:hAnsi="Times New Roman" w:cs="Times New Roman"/>
          <w:sz w:val="24"/>
          <w:szCs w:val="24"/>
          <w:lang w:val="fr-FR"/>
        </w:rPr>
        <w:t>Le partage des expériences</w:t>
      </w:r>
      <w:r w:rsidR="00DA294D" w:rsidRPr="002722B8">
        <w:rPr>
          <w:rFonts w:ascii="Times New Roman" w:hAnsi="Times New Roman" w:cs="Times New Roman"/>
          <w:sz w:val="24"/>
          <w:szCs w:val="24"/>
          <w:lang w:val="fr-FR"/>
        </w:rPr>
        <w:t>,</w:t>
      </w:r>
      <w:r w:rsidRPr="002722B8">
        <w:rPr>
          <w:rFonts w:ascii="Times New Roman" w:hAnsi="Times New Roman" w:cs="Times New Roman"/>
          <w:sz w:val="24"/>
          <w:szCs w:val="24"/>
          <w:lang w:val="fr-FR"/>
        </w:rPr>
        <w:t xml:space="preserve"> l’écoute </w:t>
      </w:r>
      <w:r w:rsidR="00DA294D" w:rsidRPr="002722B8">
        <w:rPr>
          <w:rFonts w:ascii="Times New Roman" w:hAnsi="Times New Roman" w:cs="Times New Roman"/>
          <w:sz w:val="24"/>
          <w:szCs w:val="24"/>
          <w:lang w:val="fr-FR"/>
        </w:rPr>
        <w:t xml:space="preserve">et l’implication </w:t>
      </w:r>
      <w:r w:rsidRPr="002722B8">
        <w:rPr>
          <w:rFonts w:ascii="Times New Roman" w:hAnsi="Times New Roman" w:cs="Times New Roman"/>
          <w:sz w:val="24"/>
          <w:szCs w:val="24"/>
          <w:lang w:val="fr-FR"/>
        </w:rPr>
        <w:t>des autorité</w:t>
      </w:r>
      <w:r w:rsidR="00F71974" w:rsidRPr="002722B8">
        <w:rPr>
          <w:rFonts w:ascii="Times New Roman" w:hAnsi="Times New Roman" w:cs="Times New Roman"/>
          <w:sz w:val="24"/>
          <w:szCs w:val="24"/>
          <w:lang w:val="fr-FR"/>
        </w:rPr>
        <w:t xml:space="preserve">s locales ont permis au </w:t>
      </w:r>
      <w:r w:rsidR="00582A07" w:rsidRPr="002722B8">
        <w:rPr>
          <w:rFonts w:ascii="Times New Roman" w:hAnsi="Times New Roman" w:cs="Times New Roman"/>
          <w:sz w:val="24"/>
          <w:szCs w:val="24"/>
          <w:lang w:val="fr-FR"/>
        </w:rPr>
        <w:t xml:space="preserve">programme </w:t>
      </w:r>
      <w:r w:rsidR="00F71974" w:rsidRPr="002722B8">
        <w:rPr>
          <w:rFonts w:ascii="Times New Roman" w:hAnsi="Times New Roman" w:cs="Times New Roman"/>
          <w:sz w:val="24"/>
          <w:szCs w:val="24"/>
          <w:lang w:val="fr-FR"/>
        </w:rPr>
        <w:t xml:space="preserve">d’accentuer son approche </w:t>
      </w:r>
      <w:r w:rsidR="0020398E" w:rsidRPr="002722B8">
        <w:rPr>
          <w:rFonts w:ascii="Times New Roman" w:hAnsi="Times New Roman" w:cs="Times New Roman"/>
          <w:sz w:val="24"/>
          <w:szCs w:val="24"/>
          <w:lang w:val="fr-FR"/>
        </w:rPr>
        <w:t>d’</w:t>
      </w:r>
      <w:r w:rsidR="00F71974" w:rsidRPr="002722B8">
        <w:rPr>
          <w:rFonts w:ascii="Times New Roman" w:hAnsi="Times New Roman" w:cs="Times New Roman"/>
          <w:sz w:val="24"/>
          <w:szCs w:val="24"/>
          <w:lang w:val="fr-FR"/>
        </w:rPr>
        <w:t>intégrati</w:t>
      </w:r>
      <w:r w:rsidR="0020398E" w:rsidRPr="002722B8">
        <w:rPr>
          <w:rFonts w:ascii="Times New Roman" w:hAnsi="Times New Roman" w:cs="Times New Roman"/>
          <w:sz w:val="24"/>
          <w:szCs w:val="24"/>
          <w:lang w:val="fr-FR"/>
        </w:rPr>
        <w:t>on</w:t>
      </w:r>
      <w:r w:rsidR="00F71974" w:rsidRPr="002722B8">
        <w:rPr>
          <w:rFonts w:ascii="Times New Roman" w:hAnsi="Times New Roman" w:cs="Times New Roman"/>
          <w:sz w:val="24"/>
          <w:szCs w:val="24"/>
          <w:lang w:val="fr-FR"/>
        </w:rPr>
        <w:t xml:space="preserve"> et d’apporter quelques réponses en lien avec la question des communautés d’accueil</w:t>
      </w:r>
      <w:r w:rsidR="006F7EAA" w:rsidRPr="002722B8">
        <w:rPr>
          <w:rFonts w:ascii="Times New Roman" w:hAnsi="Times New Roman" w:cs="Times New Roman"/>
          <w:sz w:val="24"/>
          <w:szCs w:val="24"/>
          <w:lang w:val="fr-FR"/>
        </w:rPr>
        <w:t xml:space="preserve"> et/ou d’origine</w:t>
      </w:r>
      <w:r w:rsidRPr="002722B8">
        <w:rPr>
          <w:rFonts w:ascii="Times New Roman" w:hAnsi="Times New Roman" w:cs="Times New Roman"/>
          <w:sz w:val="24"/>
          <w:szCs w:val="24"/>
          <w:lang w:val="fr-FR"/>
        </w:rPr>
        <w:t xml:space="preserve">. En effet, </w:t>
      </w:r>
      <w:r w:rsidR="00F71974" w:rsidRPr="002722B8">
        <w:rPr>
          <w:rFonts w:ascii="Times New Roman" w:hAnsi="Times New Roman" w:cs="Times New Roman"/>
          <w:sz w:val="24"/>
          <w:szCs w:val="24"/>
          <w:lang w:val="fr-FR"/>
        </w:rPr>
        <w:t>les bénéficiaires d</w:t>
      </w:r>
      <w:r w:rsidR="00ED7357" w:rsidRPr="002722B8">
        <w:rPr>
          <w:rFonts w:ascii="Times New Roman" w:hAnsi="Times New Roman" w:cs="Times New Roman"/>
          <w:sz w:val="24"/>
          <w:szCs w:val="24"/>
          <w:lang w:val="fr-FR"/>
        </w:rPr>
        <w:t xml:space="preserve">es projets </w:t>
      </w:r>
      <w:r w:rsidR="00F71974" w:rsidRPr="002722B8">
        <w:rPr>
          <w:rFonts w:ascii="Times New Roman" w:hAnsi="Times New Roman" w:cs="Times New Roman"/>
          <w:sz w:val="24"/>
          <w:szCs w:val="24"/>
          <w:lang w:val="fr-FR"/>
        </w:rPr>
        <w:t>ont souvent été amenés, voir</w:t>
      </w:r>
      <w:r w:rsidR="00ED7357" w:rsidRPr="002722B8">
        <w:rPr>
          <w:rFonts w:ascii="Times New Roman" w:hAnsi="Times New Roman" w:cs="Times New Roman"/>
          <w:sz w:val="24"/>
          <w:szCs w:val="24"/>
          <w:lang w:val="fr-FR"/>
        </w:rPr>
        <w:t>e</w:t>
      </w:r>
      <w:r w:rsidR="00F71974" w:rsidRPr="002722B8">
        <w:rPr>
          <w:rFonts w:ascii="Times New Roman" w:hAnsi="Times New Roman" w:cs="Times New Roman"/>
          <w:sz w:val="24"/>
          <w:szCs w:val="24"/>
          <w:lang w:val="fr-FR"/>
        </w:rPr>
        <w:t xml:space="preserve"> incités à rejoindre leurs communautés d’origine afin de maximiser </w:t>
      </w:r>
      <w:r w:rsidR="006F7EAA" w:rsidRPr="002722B8">
        <w:rPr>
          <w:rFonts w:ascii="Times New Roman" w:hAnsi="Times New Roman" w:cs="Times New Roman"/>
          <w:sz w:val="24"/>
          <w:szCs w:val="24"/>
          <w:lang w:val="fr-FR"/>
        </w:rPr>
        <w:t xml:space="preserve">les chances de </w:t>
      </w:r>
      <w:r w:rsidR="00F71974" w:rsidRPr="002722B8">
        <w:rPr>
          <w:rFonts w:ascii="Times New Roman" w:hAnsi="Times New Roman" w:cs="Times New Roman"/>
          <w:sz w:val="24"/>
          <w:szCs w:val="24"/>
          <w:lang w:val="fr-FR"/>
        </w:rPr>
        <w:t xml:space="preserve">leur </w:t>
      </w:r>
      <w:r w:rsidR="006F7EAA" w:rsidRPr="002722B8">
        <w:rPr>
          <w:rFonts w:ascii="Times New Roman" w:hAnsi="Times New Roman" w:cs="Times New Roman"/>
          <w:sz w:val="24"/>
          <w:szCs w:val="24"/>
          <w:lang w:val="fr-FR"/>
        </w:rPr>
        <w:t>ré</w:t>
      </w:r>
      <w:r w:rsidR="00F71974" w:rsidRPr="002722B8">
        <w:rPr>
          <w:rFonts w:ascii="Times New Roman" w:hAnsi="Times New Roman" w:cs="Times New Roman"/>
          <w:sz w:val="24"/>
          <w:szCs w:val="24"/>
          <w:lang w:val="fr-FR"/>
        </w:rPr>
        <w:t>in</w:t>
      </w:r>
      <w:r w:rsidR="006F7EAA" w:rsidRPr="002722B8">
        <w:rPr>
          <w:rFonts w:ascii="Times New Roman" w:hAnsi="Times New Roman" w:cs="Times New Roman"/>
          <w:sz w:val="24"/>
          <w:szCs w:val="24"/>
          <w:lang w:val="fr-FR"/>
        </w:rPr>
        <w:t>sertion</w:t>
      </w:r>
      <w:r w:rsidR="00F71974" w:rsidRPr="002722B8">
        <w:rPr>
          <w:rFonts w:ascii="Times New Roman" w:hAnsi="Times New Roman" w:cs="Times New Roman"/>
          <w:sz w:val="24"/>
          <w:szCs w:val="24"/>
          <w:lang w:val="fr-FR"/>
        </w:rPr>
        <w:t xml:space="preserve">. </w:t>
      </w:r>
      <w:r w:rsidR="00DA294D" w:rsidRPr="002722B8">
        <w:rPr>
          <w:rFonts w:ascii="Times New Roman" w:hAnsi="Times New Roman" w:cs="Times New Roman"/>
          <w:sz w:val="24"/>
          <w:szCs w:val="24"/>
          <w:lang w:val="fr-FR"/>
        </w:rPr>
        <w:t xml:space="preserve">L’implication des autorités locales dans les comités projet a généralement été </w:t>
      </w:r>
      <w:r w:rsidR="006E357A" w:rsidRPr="002722B8">
        <w:rPr>
          <w:rFonts w:ascii="Times New Roman" w:hAnsi="Times New Roman" w:cs="Times New Roman"/>
          <w:sz w:val="24"/>
          <w:szCs w:val="24"/>
          <w:lang w:val="fr-FR"/>
        </w:rPr>
        <w:t xml:space="preserve">une sorte de </w:t>
      </w:r>
      <w:r w:rsidR="00DA294D" w:rsidRPr="002722B8">
        <w:rPr>
          <w:rFonts w:ascii="Times New Roman" w:hAnsi="Times New Roman" w:cs="Times New Roman"/>
          <w:sz w:val="24"/>
          <w:szCs w:val="24"/>
          <w:lang w:val="fr-FR"/>
        </w:rPr>
        <w:t xml:space="preserve">levier qui a favorisé l’intégration des bénéficiaires dans leurs communautés d’accueil par la négociation des terres et </w:t>
      </w:r>
      <w:r w:rsidR="00DA294D" w:rsidRPr="002722B8">
        <w:rPr>
          <w:rFonts w:ascii="Times New Roman" w:hAnsi="Times New Roman" w:cs="Times New Roman"/>
          <w:sz w:val="24"/>
          <w:szCs w:val="24"/>
          <w:lang w:val="fr-FR"/>
        </w:rPr>
        <w:lastRenderedPageBreak/>
        <w:t xml:space="preserve">site pour mener les activités. </w:t>
      </w:r>
      <w:r w:rsidR="00F71974" w:rsidRPr="002722B8">
        <w:rPr>
          <w:rFonts w:ascii="Times New Roman" w:hAnsi="Times New Roman" w:cs="Times New Roman"/>
          <w:sz w:val="24"/>
          <w:szCs w:val="24"/>
          <w:lang w:val="fr-FR"/>
        </w:rPr>
        <w:t xml:space="preserve">Le retour à la communauté d’origine n’a pas toujours été facile </w:t>
      </w:r>
      <w:r w:rsidR="00B04265" w:rsidRPr="002722B8">
        <w:rPr>
          <w:rFonts w:ascii="Times New Roman" w:hAnsi="Times New Roman" w:cs="Times New Roman"/>
          <w:sz w:val="24"/>
          <w:szCs w:val="24"/>
          <w:lang w:val="fr-FR"/>
        </w:rPr>
        <w:t>en rai</w:t>
      </w:r>
      <w:r w:rsidR="008124E4">
        <w:rPr>
          <w:rFonts w:ascii="Times New Roman" w:hAnsi="Times New Roman" w:cs="Times New Roman"/>
          <w:sz w:val="24"/>
          <w:szCs w:val="24"/>
          <w:lang w:val="fr-FR"/>
        </w:rPr>
        <w:t>s</w:t>
      </w:r>
      <w:r w:rsidR="00B04265" w:rsidRPr="002722B8">
        <w:rPr>
          <w:rFonts w:ascii="Times New Roman" w:hAnsi="Times New Roman" w:cs="Times New Roman"/>
          <w:sz w:val="24"/>
          <w:szCs w:val="24"/>
          <w:lang w:val="fr-FR"/>
        </w:rPr>
        <w:t>on de l’hésitation</w:t>
      </w:r>
      <w:r w:rsidR="005D67D8" w:rsidRPr="002722B8">
        <w:rPr>
          <w:rFonts w:ascii="Times New Roman" w:hAnsi="Times New Roman" w:cs="Times New Roman"/>
          <w:sz w:val="24"/>
          <w:szCs w:val="24"/>
          <w:lang w:val="fr-FR"/>
        </w:rPr>
        <w:t xml:space="preserve"> </w:t>
      </w:r>
      <w:r w:rsidR="00B04265" w:rsidRPr="002722B8">
        <w:rPr>
          <w:rFonts w:ascii="Times New Roman" w:hAnsi="Times New Roman" w:cs="Times New Roman"/>
          <w:sz w:val="24"/>
          <w:szCs w:val="24"/>
          <w:lang w:val="fr-FR"/>
        </w:rPr>
        <w:t>des bénéficiaires, mais fort heureusement le programme n’a enregistré aucun cas de représailles à l’encontre des bénéficiaires réinstallés dans leurs communautés d’origine.</w:t>
      </w:r>
      <w:r w:rsidR="00255EC1" w:rsidRPr="002722B8">
        <w:rPr>
          <w:rFonts w:ascii="Times New Roman" w:hAnsi="Times New Roman" w:cs="Times New Roman"/>
          <w:sz w:val="24"/>
          <w:szCs w:val="24"/>
          <w:lang w:val="fr-FR"/>
        </w:rPr>
        <w:t xml:space="preserve"> Pour le programme</w:t>
      </w:r>
      <w:r w:rsidR="00F71974" w:rsidRPr="002722B8">
        <w:rPr>
          <w:rFonts w:ascii="Times New Roman" w:hAnsi="Times New Roman" w:cs="Times New Roman"/>
          <w:sz w:val="24"/>
          <w:szCs w:val="24"/>
          <w:lang w:val="fr-FR"/>
        </w:rPr>
        <w:t xml:space="preserve">, </w:t>
      </w:r>
      <w:r w:rsidR="006F7EAA" w:rsidRPr="002722B8">
        <w:rPr>
          <w:rFonts w:ascii="Times New Roman" w:hAnsi="Times New Roman" w:cs="Times New Roman"/>
          <w:sz w:val="24"/>
          <w:szCs w:val="24"/>
          <w:lang w:val="fr-FR"/>
        </w:rPr>
        <w:t xml:space="preserve">le climat </w:t>
      </w:r>
      <w:r w:rsidR="00B04265" w:rsidRPr="002722B8">
        <w:rPr>
          <w:rFonts w:ascii="Times New Roman" w:hAnsi="Times New Roman" w:cs="Times New Roman"/>
          <w:sz w:val="24"/>
          <w:szCs w:val="24"/>
          <w:lang w:val="fr-FR"/>
        </w:rPr>
        <w:t>dans lequel les bénéficiaires devaient etre réinsérés était essentiel pour la pérennité des activités.</w:t>
      </w:r>
      <w:r w:rsidR="006F7EAA" w:rsidRPr="002722B8">
        <w:rPr>
          <w:rFonts w:ascii="Times New Roman" w:hAnsi="Times New Roman" w:cs="Times New Roman"/>
          <w:sz w:val="24"/>
          <w:szCs w:val="24"/>
          <w:lang w:val="fr-FR"/>
        </w:rPr>
        <w:t xml:space="preserve"> </w:t>
      </w:r>
      <w:r w:rsidR="006A3780" w:rsidRPr="002722B8">
        <w:rPr>
          <w:rFonts w:ascii="Times New Roman" w:hAnsi="Times New Roman" w:cs="Times New Roman"/>
          <w:sz w:val="24"/>
          <w:szCs w:val="24"/>
          <w:lang w:val="fr-FR"/>
        </w:rPr>
        <w:t xml:space="preserve">Par ailleurs, il était essentiel de veiller </w:t>
      </w:r>
      <w:r w:rsidR="00172046" w:rsidRPr="002722B8">
        <w:rPr>
          <w:rFonts w:ascii="Times New Roman" w:hAnsi="Times New Roman" w:cs="Times New Roman"/>
          <w:sz w:val="24"/>
          <w:szCs w:val="24"/>
          <w:lang w:val="fr-FR"/>
        </w:rPr>
        <w:t>à</w:t>
      </w:r>
      <w:r w:rsidR="006A3780" w:rsidRPr="002722B8">
        <w:rPr>
          <w:rFonts w:ascii="Times New Roman" w:hAnsi="Times New Roman" w:cs="Times New Roman"/>
          <w:sz w:val="24"/>
          <w:szCs w:val="24"/>
          <w:lang w:val="fr-FR"/>
        </w:rPr>
        <w:t xml:space="preserve"> ce que les 1000 microprojets ne soient pas perçus comme une prime </w:t>
      </w:r>
      <w:r w:rsidR="00172046" w:rsidRPr="002722B8">
        <w:rPr>
          <w:rFonts w:ascii="Times New Roman" w:hAnsi="Times New Roman" w:cs="Times New Roman"/>
          <w:sz w:val="24"/>
          <w:szCs w:val="24"/>
          <w:lang w:val="fr-FR"/>
        </w:rPr>
        <w:t>à</w:t>
      </w:r>
      <w:r w:rsidR="006A3780" w:rsidRPr="002722B8">
        <w:rPr>
          <w:rFonts w:ascii="Times New Roman" w:hAnsi="Times New Roman" w:cs="Times New Roman"/>
          <w:sz w:val="24"/>
          <w:szCs w:val="24"/>
          <w:lang w:val="fr-FR"/>
        </w:rPr>
        <w:t xml:space="preserve"> ceux qui  ont pris les armes, mais plutôt un programme qui prenait </w:t>
      </w:r>
      <w:r w:rsidR="00172046" w:rsidRPr="002722B8">
        <w:rPr>
          <w:rFonts w:ascii="Times New Roman" w:hAnsi="Times New Roman" w:cs="Times New Roman"/>
          <w:sz w:val="24"/>
          <w:szCs w:val="24"/>
          <w:lang w:val="fr-FR"/>
        </w:rPr>
        <w:t>é</w:t>
      </w:r>
      <w:r w:rsidR="006A3780" w:rsidRPr="002722B8">
        <w:rPr>
          <w:rFonts w:ascii="Times New Roman" w:hAnsi="Times New Roman" w:cs="Times New Roman"/>
          <w:sz w:val="24"/>
          <w:szCs w:val="24"/>
          <w:lang w:val="fr-FR"/>
        </w:rPr>
        <w:t xml:space="preserve">galement en compte, les besoins </w:t>
      </w:r>
      <w:r w:rsidR="00172046" w:rsidRPr="002722B8">
        <w:rPr>
          <w:rFonts w:ascii="Times New Roman" w:hAnsi="Times New Roman" w:cs="Times New Roman"/>
          <w:sz w:val="24"/>
          <w:szCs w:val="24"/>
          <w:lang w:val="fr-FR"/>
        </w:rPr>
        <w:t>des communautés</w:t>
      </w:r>
      <w:r w:rsidR="006A3780" w:rsidRPr="002722B8">
        <w:rPr>
          <w:rFonts w:ascii="Times New Roman" w:hAnsi="Times New Roman" w:cs="Times New Roman"/>
          <w:sz w:val="24"/>
          <w:szCs w:val="24"/>
          <w:lang w:val="fr-FR"/>
        </w:rPr>
        <w:t xml:space="preserve">. </w:t>
      </w:r>
      <w:r w:rsidR="003B1E6E" w:rsidRPr="002722B8">
        <w:rPr>
          <w:rFonts w:ascii="Times New Roman" w:hAnsi="Times New Roman" w:cs="Times New Roman"/>
          <w:sz w:val="24"/>
          <w:szCs w:val="24"/>
          <w:lang w:val="fr-FR"/>
        </w:rPr>
        <w:t xml:space="preserve"> </w:t>
      </w:r>
      <w:r w:rsidR="00DA294D" w:rsidRPr="002722B8">
        <w:rPr>
          <w:rFonts w:ascii="Times New Roman" w:hAnsi="Times New Roman" w:cs="Times New Roman"/>
          <w:sz w:val="24"/>
          <w:szCs w:val="24"/>
          <w:lang w:val="fr-FR"/>
        </w:rPr>
        <w:t>A</w:t>
      </w:r>
      <w:r w:rsidR="006A3780" w:rsidRPr="002722B8">
        <w:rPr>
          <w:rFonts w:ascii="Times New Roman" w:hAnsi="Times New Roman" w:cs="Times New Roman"/>
          <w:sz w:val="24"/>
          <w:szCs w:val="24"/>
          <w:lang w:val="fr-FR"/>
        </w:rPr>
        <w:t>ussi le pro</w:t>
      </w:r>
      <w:r w:rsidR="00172046" w:rsidRPr="002722B8">
        <w:rPr>
          <w:rFonts w:ascii="Times New Roman" w:hAnsi="Times New Roman" w:cs="Times New Roman"/>
          <w:sz w:val="24"/>
          <w:szCs w:val="24"/>
          <w:lang w:val="fr-FR"/>
        </w:rPr>
        <w:t>gramme a-t-il</w:t>
      </w:r>
      <w:r w:rsidR="006A3780" w:rsidRPr="002722B8">
        <w:rPr>
          <w:rFonts w:ascii="Times New Roman" w:hAnsi="Times New Roman" w:cs="Times New Roman"/>
          <w:sz w:val="24"/>
          <w:szCs w:val="24"/>
          <w:lang w:val="fr-FR"/>
        </w:rPr>
        <w:t xml:space="preserve"> </w:t>
      </w:r>
      <w:r w:rsidR="00172046" w:rsidRPr="002722B8">
        <w:rPr>
          <w:rFonts w:ascii="Times New Roman" w:hAnsi="Times New Roman" w:cs="Times New Roman"/>
          <w:sz w:val="24"/>
          <w:szCs w:val="24"/>
          <w:lang w:val="fr-FR"/>
        </w:rPr>
        <w:t>intégré</w:t>
      </w:r>
      <w:r w:rsidR="006A3780" w:rsidRPr="002722B8">
        <w:rPr>
          <w:rFonts w:ascii="Times New Roman" w:hAnsi="Times New Roman" w:cs="Times New Roman"/>
          <w:sz w:val="24"/>
          <w:szCs w:val="24"/>
          <w:lang w:val="fr-FR"/>
        </w:rPr>
        <w:t xml:space="preserve"> la </w:t>
      </w:r>
      <w:r w:rsidR="00172046" w:rsidRPr="002722B8">
        <w:rPr>
          <w:rFonts w:ascii="Times New Roman" w:hAnsi="Times New Roman" w:cs="Times New Roman"/>
          <w:sz w:val="24"/>
          <w:szCs w:val="24"/>
          <w:lang w:val="fr-FR"/>
        </w:rPr>
        <w:t>réalisation</w:t>
      </w:r>
      <w:r w:rsidR="006A3780" w:rsidRPr="002722B8">
        <w:rPr>
          <w:rFonts w:ascii="Times New Roman" w:hAnsi="Times New Roman" w:cs="Times New Roman"/>
          <w:sz w:val="24"/>
          <w:szCs w:val="24"/>
          <w:lang w:val="fr-FR"/>
        </w:rPr>
        <w:t xml:space="preserve"> d’appui </w:t>
      </w:r>
      <w:r w:rsidR="00172046" w:rsidRPr="002722B8">
        <w:rPr>
          <w:rFonts w:ascii="Times New Roman" w:hAnsi="Times New Roman" w:cs="Times New Roman"/>
          <w:sz w:val="24"/>
          <w:szCs w:val="24"/>
          <w:lang w:val="fr-FR"/>
        </w:rPr>
        <w:t>communautaire</w:t>
      </w:r>
      <w:r w:rsidR="006A3780" w:rsidRPr="002722B8">
        <w:rPr>
          <w:rFonts w:ascii="Times New Roman" w:hAnsi="Times New Roman" w:cs="Times New Roman"/>
          <w:sz w:val="24"/>
          <w:szCs w:val="24"/>
          <w:lang w:val="fr-FR"/>
        </w:rPr>
        <w:t xml:space="preserve"> d’accompagnement dans les zones o</w:t>
      </w:r>
      <w:r w:rsidR="008124E4">
        <w:rPr>
          <w:rFonts w:ascii="Times New Roman" w:hAnsi="Times New Roman" w:cs="Times New Roman"/>
          <w:sz w:val="24"/>
          <w:szCs w:val="24"/>
          <w:lang w:val="fr-FR"/>
        </w:rPr>
        <w:t>ù</w:t>
      </w:r>
      <w:r w:rsidR="00172046" w:rsidRPr="002722B8">
        <w:rPr>
          <w:rFonts w:ascii="Times New Roman" w:hAnsi="Times New Roman" w:cs="Times New Roman"/>
          <w:sz w:val="24"/>
          <w:szCs w:val="24"/>
          <w:lang w:val="fr-FR"/>
        </w:rPr>
        <w:t xml:space="preserve"> é</w:t>
      </w:r>
      <w:r w:rsidR="006A3780" w:rsidRPr="002722B8">
        <w:rPr>
          <w:rFonts w:ascii="Times New Roman" w:hAnsi="Times New Roman" w:cs="Times New Roman"/>
          <w:sz w:val="24"/>
          <w:szCs w:val="24"/>
          <w:lang w:val="fr-FR"/>
        </w:rPr>
        <w:t xml:space="preserve">taient </w:t>
      </w:r>
      <w:r w:rsidR="00172046" w:rsidRPr="002722B8">
        <w:rPr>
          <w:rFonts w:ascii="Times New Roman" w:hAnsi="Times New Roman" w:cs="Times New Roman"/>
          <w:sz w:val="24"/>
          <w:szCs w:val="24"/>
          <w:lang w:val="fr-FR"/>
        </w:rPr>
        <w:t>initiés d</w:t>
      </w:r>
      <w:r w:rsidR="006A3780" w:rsidRPr="002722B8">
        <w:rPr>
          <w:rFonts w:ascii="Times New Roman" w:hAnsi="Times New Roman" w:cs="Times New Roman"/>
          <w:sz w:val="24"/>
          <w:szCs w:val="24"/>
          <w:lang w:val="fr-FR"/>
        </w:rPr>
        <w:t xml:space="preserve">es projets de </w:t>
      </w:r>
      <w:r w:rsidR="00172046" w:rsidRPr="002722B8">
        <w:rPr>
          <w:rFonts w:ascii="Times New Roman" w:hAnsi="Times New Roman" w:cs="Times New Roman"/>
          <w:sz w:val="24"/>
          <w:szCs w:val="24"/>
          <w:lang w:val="fr-FR"/>
        </w:rPr>
        <w:t>réinsertion</w:t>
      </w:r>
      <w:r w:rsidR="006A3780" w:rsidRPr="002722B8">
        <w:rPr>
          <w:rFonts w:ascii="Times New Roman" w:hAnsi="Times New Roman" w:cs="Times New Roman"/>
          <w:sz w:val="24"/>
          <w:szCs w:val="24"/>
          <w:lang w:val="fr-FR"/>
        </w:rPr>
        <w:t>. Une partie de ces projets a été directement financ</w:t>
      </w:r>
      <w:r w:rsidR="00172046" w:rsidRPr="002722B8">
        <w:rPr>
          <w:rFonts w:ascii="Times New Roman" w:hAnsi="Times New Roman" w:cs="Times New Roman"/>
          <w:sz w:val="24"/>
          <w:szCs w:val="24"/>
          <w:lang w:val="fr-FR"/>
        </w:rPr>
        <w:t>é</w:t>
      </w:r>
      <w:r w:rsidR="006A3780" w:rsidRPr="002722B8">
        <w:rPr>
          <w:rFonts w:ascii="Times New Roman" w:hAnsi="Times New Roman" w:cs="Times New Roman"/>
          <w:sz w:val="24"/>
          <w:szCs w:val="24"/>
          <w:lang w:val="fr-FR"/>
        </w:rPr>
        <w:t xml:space="preserve">e </w:t>
      </w:r>
      <w:r w:rsidR="00172046" w:rsidRPr="002722B8">
        <w:rPr>
          <w:rFonts w:ascii="Times New Roman" w:hAnsi="Times New Roman" w:cs="Times New Roman"/>
          <w:sz w:val="24"/>
          <w:szCs w:val="24"/>
          <w:lang w:val="fr-FR"/>
        </w:rPr>
        <w:t>grâce</w:t>
      </w:r>
      <w:r w:rsidR="006A3780" w:rsidRPr="002722B8">
        <w:rPr>
          <w:rFonts w:ascii="Times New Roman" w:hAnsi="Times New Roman" w:cs="Times New Roman"/>
          <w:sz w:val="24"/>
          <w:szCs w:val="24"/>
          <w:lang w:val="fr-FR"/>
        </w:rPr>
        <w:t xml:space="preserve"> </w:t>
      </w:r>
      <w:r w:rsidR="008124E4">
        <w:rPr>
          <w:rFonts w:ascii="Times New Roman" w:hAnsi="Times New Roman" w:cs="Times New Roman"/>
          <w:sz w:val="24"/>
          <w:szCs w:val="24"/>
          <w:lang w:val="fr-FR"/>
        </w:rPr>
        <w:t>à</w:t>
      </w:r>
      <w:r w:rsidR="006A3780" w:rsidRPr="002722B8">
        <w:rPr>
          <w:rFonts w:ascii="Times New Roman" w:hAnsi="Times New Roman" w:cs="Times New Roman"/>
          <w:sz w:val="24"/>
          <w:szCs w:val="24"/>
          <w:lang w:val="fr-FR"/>
        </w:rPr>
        <w:t xml:space="preserve"> des fonds additionnels du PNUD</w:t>
      </w:r>
      <w:r w:rsidR="0087539E" w:rsidRPr="002722B8">
        <w:rPr>
          <w:rFonts w:ascii="Times New Roman" w:hAnsi="Times New Roman" w:cs="Times New Roman"/>
          <w:sz w:val="24"/>
          <w:szCs w:val="24"/>
          <w:lang w:val="fr-FR"/>
        </w:rPr>
        <w:t>. Ces projets</w:t>
      </w:r>
      <w:r w:rsidR="00DA294D" w:rsidRPr="002722B8">
        <w:rPr>
          <w:rFonts w:ascii="Times New Roman" w:hAnsi="Times New Roman" w:cs="Times New Roman"/>
          <w:sz w:val="24"/>
          <w:szCs w:val="24"/>
          <w:lang w:val="fr-FR"/>
        </w:rPr>
        <w:t xml:space="preserve"> </w:t>
      </w:r>
      <w:r w:rsidR="00230CEC" w:rsidRPr="002722B8">
        <w:rPr>
          <w:rFonts w:ascii="Times New Roman" w:hAnsi="Times New Roman" w:cs="Times New Roman"/>
          <w:sz w:val="24"/>
          <w:szCs w:val="24"/>
          <w:lang w:val="fr-FR"/>
        </w:rPr>
        <w:t>ont pe</w:t>
      </w:r>
      <w:r w:rsidR="00AB2A4D" w:rsidRPr="002722B8">
        <w:rPr>
          <w:rFonts w:ascii="Times New Roman" w:hAnsi="Times New Roman" w:cs="Times New Roman"/>
          <w:sz w:val="24"/>
          <w:szCs w:val="24"/>
          <w:lang w:val="fr-FR"/>
        </w:rPr>
        <w:t>rmis de relativiser la</w:t>
      </w:r>
      <w:r w:rsidR="00230CEC" w:rsidRPr="002722B8">
        <w:rPr>
          <w:rFonts w:ascii="Times New Roman" w:hAnsi="Times New Roman" w:cs="Times New Roman"/>
          <w:sz w:val="24"/>
          <w:szCs w:val="24"/>
          <w:lang w:val="fr-FR"/>
        </w:rPr>
        <w:t xml:space="preserve"> </w:t>
      </w:r>
      <w:r w:rsidR="004613AA" w:rsidRPr="002722B8">
        <w:rPr>
          <w:rFonts w:ascii="Times New Roman" w:hAnsi="Times New Roman" w:cs="Times New Roman"/>
          <w:sz w:val="24"/>
          <w:szCs w:val="24"/>
          <w:lang w:val="fr-FR"/>
        </w:rPr>
        <w:t>stigmatis</w:t>
      </w:r>
      <w:r w:rsidR="00AB2A4D" w:rsidRPr="002722B8">
        <w:rPr>
          <w:rFonts w:ascii="Times New Roman" w:hAnsi="Times New Roman" w:cs="Times New Roman"/>
          <w:sz w:val="24"/>
          <w:szCs w:val="24"/>
          <w:lang w:val="fr-FR"/>
        </w:rPr>
        <w:t>ation</w:t>
      </w:r>
      <w:r w:rsidR="004613AA" w:rsidRPr="002722B8">
        <w:rPr>
          <w:rFonts w:ascii="Times New Roman" w:hAnsi="Times New Roman" w:cs="Times New Roman"/>
          <w:sz w:val="24"/>
          <w:szCs w:val="24"/>
          <w:lang w:val="fr-FR"/>
        </w:rPr>
        <w:t xml:space="preserve"> de l’</w:t>
      </w:r>
      <w:r w:rsidR="00AB2A4D" w:rsidRPr="002722B8">
        <w:rPr>
          <w:rFonts w:ascii="Times New Roman" w:hAnsi="Times New Roman" w:cs="Times New Roman"/>
          <w:sz w:val="24"/>
          <w:szCs w:val="24"/>
          <w:lang w:val="fr-FR"/>
        </w:rPr>
        <w:t>appui octroyé aux</w:t>
      </w:r>
      <w:r w:rsidR="004613AA" w:rsidRPr="002722B8">
        <w:rPr>
          <w:rFonts w:ascii="Times New Roman" w:hAnsi="Times New Roman" w:cs="Times New Roman"/>
          <w:sz w:val="24"/>
          <w:szCs w:val="24"/>
          <w:lang w:val="fr-FR"/>
        </w:rPr>
        <w:t xml:space="preserve"> ex-combattants</w:t>
      </w:r>
      <w:r w:rsidR="00AB2A4D" w:rsidRPr="002722B8">
        <w:rPr>
          <w:rFonts w:ascii="Times New Roman" w:hAnsi="Times New Roman" w:cs="Times New Roman"/>
          <w:sz w:val="24"/>
          <w:szCs w:val="24"/>
          <w:lang w:val="fr-FR"/>
        </w:rPr>
        <w:t>, ex-m</w:t>
      </w:r>
      <w:r w:rsidR="008124E4">
        <w:rPr>
          <w:rFonts w:ascii="Times New Roman" w:hAnsi="Times New Roman" w:cs="Times New Roman"/>
          <w:sz w:val="24"/>
          <w:szCs w:val="24"/>
          <w:lang w:val="fr-FR"/>
        </w:rPr>
        <w:t>iliciens</w:t>
      </w:r>
      <w:r w:rsidR="00AB2A4D" w:rsidRPr="002722B8">
        <w:rPr>
          <w:rFonts w:ascii="Times New Roman" w:hAnsi="Times New Roman" w:cs="Times New Roman"/>
          <w:sz w:val="24"/>
          <w:szCs w:val="24"/>
          <w:lang w:val="fr-FR"/>
        </w:rPr>
        <w:t xml:space="preserve"> et jeunes à risque</w:t>
      </w:r>
      <w:r w:rsidR="004613AA" w:rsidRPr="002722B8">
        <w:rPr>
          <w:rFonts w:ascii="Times New Roman" w:hAnsi="Times New Roman" w:cs="Times New Roman"/>
          <w:sz w:val="24"/>
          <w:szCs w:val="24"/>
          <w:lang w:val="fr-FR"/>
        </w:rPr>
        <w:t>.</w:t>
      </w:r>
    </w:p>
    <w:p w:rsidR="004005EA" w:rsidRDefault="00172046" w:rsidP="00172046">
      <w:pPr>
        <w:spacing w:after="240" w:line="276" w:lineRule="auto"/>
        <w:ind w:left="720"/>
        <w:jc w:val="both"/>
        <w:rPr>
          <w:b/>
          <w:bCs/>
          <w:i/>
          <w:iCs/>
          <w:color w:val="000000"/>
          <w:lang w:val="fr-FR"/>
        </w:rPr>
      </w:pPr>
      <w:r w:rsidRPr="002722B8">
        <w:rPr>
          <w:b/>
          <w:bCs/>
          <w:i/>
          <w:iCs/>
          <w:color w:val="000000"/>
          <w:lang w:val="fr-FR"/>
        </w:rPr>
        <w:t xml:space="preserve">3.3. </w:t>
      </w:r>
      <w:r w:rsidR="004005EA" w:rsidRPr="002722B8">
        <w:rPr>
          <w:b/>
          <w:bCs/>
          <w:i/>
          <w:iCs/>
          <w:color w:val="000000"/>
          <w:lang w:val="fr-FR"/>
        </w:rPr>
        <w:t>Les mécanismes de suivi</w:t>
      </w:r>
    </w:p>
    <w:p w:rsidR="00DF1155" w:rsidRPr="003B5B2E" w:rsidRDefault="00DF1155" w:rsidP="004005EA">
      <w:pPr>
        <w:numPr>
          <w:ilvl w:val="0"/>
          <w:numId w:val="19"/>
        </w:numPr>
        <w:spacing w:after="240" w:line="276" w:lineRule="auto"/>
        <w:jc w:val="both"/>
        <w:rPr>
          <w:b/>
          <w:bCs/>
          <w:i/>
          <w:iCs/>
          <w:color w:val="000000"/>
          <w:lang w:val="fr-FR"/>
        </w:rPr>
      </w:pPr>
      <w:r w:rsidRPr="003B5B2E">
        <w:rPr>
          <w:b/>
          <w:bCs/>
          <w:i/>
          <w:iCs/>
          <w:color w:val="000000"/>
          <w:lang w:val="fr-FR"/>
        </w:rPr>
        <w:t>La stratégie de</w:t>
      </w:r>
      <w:r w:rsidR="00A05717">
        <w:rPr>
          <w:b/>
          <w:bCs/>
          <w:i/>
          <w:iCs/>
          <w:color w:val="000000"/>
          <w:lang w:val="fr-FR"/>
        </w:rPr>
        <w:t> </w:t>
      </w:r>
      <w:r w:rsidRPr="003B5B2E">
        <w:rPr>
          <w:b/>
          <w:bCs/>
          <w:i/>
          <w:iCs/>
          <w:color w:val="000000"/>
          <w:lang w:val="fr-FR"/>
        </w:rPr>
        <w:t xml:space="preserve"> </w:t>
      </w:r>
      <w:r w:rsidR="00A05717">
        <w:rPr>
          <w:b/>
          <w:bCs/>
          <w:i/>
          <w:iCs/>
          <w:color w:val="000000"/>
          <w:lang w:val="fr-FR"/>
        </w:rPr>
        <w:t>« </w:t>
      </w:r>
      <w:r w:rsidRPr="003B5B2E">
        <w:rPr>
          <w:b/>
          <w:bCs/>
          <w:i/>
          <w:iCs/>
          <w:color w:val="000000"/>
          <w:lang w:val="fr-FR"/>
        </w:rPr>
        <w:t xml:space="preserve">suivi </w:t>
      </w:r>
      <w:r w:rsidR="00276C8A">
        <w:rPr>
          <w:b/>
          <w:bCs/>
          <w:i/>
          <w:iCs/>
          <w:color w:val="000000"/>
          <w:lang w:val="fr-FR"/>
        </w:rPr>
        <w:t>renforcé</w:t>
      </w:r>
      <w:r w:rsidR="00A05717">
        <w:rPr>
          <w:b/>
          <w:bCs/>
          <w:i/>
          <w:iCs/>
          <w:color w:val="000000"/>
          <w:lang w:val="fr-FR"/>
        </w:rPr>
        <w:t> »</w:t>
      </w:r>
      <w:r w:rsidR="00276C8A">
        <w:rPr>
          <w:b/>
          <w:bCs/>
          <w:i/>
          <w:iCs/>
          <w:color w:val="000000"/>
          <w:lang w:val="fr-FR"/>
        </w:rPr>
        <w:t xml:space="preserve"> sur le terrain</w:t>
      </w:r>
    </w:p>
    <w:p w:rsidR="00323C6D" w:rsidRDefault="00323C6D" w:rsidP="00641B4D">
      <w:pPr>
        <w:spacing w:after="240" w:line="276" w:lineRule="auto"/>
        <w:jc w:val="both"/>
        <w:rPr>
          <w:lang w:val="fr-FR"/>
        </w:rPr>
      </w:pPr>
      <w:r>
        <w:rPr>
          <w:color w:val="000000"/>
          <w:lang w:val="fr-FR"/>
        </w:rPr>
        <w:t xml:space="preserve">Initialement, le suivi des microprojets </w:t>
      </w:r>
      <w:r w:rsidR="009B7E9D">
        <w:rPr>
          <w:color w:val="000000"/>
          <w:lang w:val="fr-FR"/>
        </w:rPr>
        <w:t xml:space="preserve">par les structures de réalisation </w:t>
      </w:r>
      <w:r>
        <w:rPr>
          <w:color w:val="000000"/>
          <w:lang w:val="fr-FR"/>
        </w:rPr>
        <w:t xml:space="preserve">devait se faire sur la période de mise en œuvre (3 mois). </w:t>
      </w:r>
      <w:r w:rsidR="009E0887" w:rsidRPr="00E37BBE">
        <w:rPr>
          <w:color w:val="000000"/>
          <w:lang w:val="fr-FR"/>
        </w:rPr>
        <w:t>En vue de renforcer l’appropriation et la pérennité de l’activité exercée</w:t>
      </w:r>
      <w:r w:rsidR="009E0887" w:rsidRPr="00323C6D">
        <w:rPr>
          <w:color w:val="000000"/>
          <w:lang w:val="fr-FR"/>
        </w:rPr>
        <w:t>, des conventions pour un suivi complémentaire de 6 mois (après trois mois contractuels avec la structure de mise en œuvre)</w:t>
      </w:r>
      <w:r w:rsidR="009E0887" w:rsidRPr="00E37BBE">
        <w:rPr>
          <w:color w:val="000000"/>
          <w:lang w:val="fr-FR"/>
        </w:rPr>
        <w:t xml:space="preserve"> ont été signées entre le PNRRC et le PNUD </w:t>
      </w:r>
      <w:r w:rsidR="008124E4">
        <w:rPr>
          <w:color w:val="000000"/>
          <w:lang w:val="fr-FR"/>
        </w:rPr>
        <w:t xml:space="preserve">pour </w:t>
      </w:r>
      <w:r>
        <w:rPr>
          <w:color w:val="000000"/>
          <w:lang w:val="fr-FR"/>
        </w:rPr>
        <w:t xml:space="preserve">les </w:t>
      </w:r>
      <w:r w:rsidR="008124E4">
        <w:rPr>
          <w:color w:val="000000"/>
          <w:lang w:val="fr-FR"/>
        </w:rPr>
        <w:t xml:space="preserve">localités </w:t>
      </w:r>
      <w:r w:rsidR="009E0887" w:rsidRPr="00E37BBE">
        <w:rPr>
          <w:color w:val="000000"/>
          <w:lang w:val="fr-FR"/>
        </w:rPr>
        <w:t>de Séguéla, Kani, Vavoua et Bouaké</w:t>
      </w:r>
      <w:r w:rsidR="00C97C0C" w:rsidRPr="00E37BBE">
        <w:rPr>
          <w:color w:val="000000"/>
          <w:lang w:val="fr-FR"/>
        </w:rPr>
        <w:t xml:space="preserve"> </w:t>
      </w:r>
      <w:r w:rsidR="00C97C0C" w:rsidRPr="00E37BBE">
        <w:rPr>
          <w:lang w:val="fr-FR"/>
        </w:rPr>
        <w:t xml:space="preserve">où l’on compte </w:t>
      </w:r>
      <w:r w:rsidR="008124E4">
        <w:rPr>
          <w:lang w:val="fr-FR"/>
        </w:rPr>
        <w:t xml:space="preserve">une portefeuille </w:t>
      </w:r>
      <w:r w:rsidR="00C97C0C" w:rsidRPr="00E37BBE">
        <w:rPr>
          <w:lang w:val="fr-FR"/>
        </w:rPr>
        <w:t xml:space="preserve">important de microprojets et de bénéficiaires. </w:t>
      </w:r>
      <w:r>
        <w:rPr>
          <w:lang w:val="fr-FR"/>
        </w:rPr>
        <w:t>Cette réorganisation contextuelle a</w:t>
      </w:r>
      <w:r w:rsidR="00A60695">
        <w:rPr>
          <w:lang w:val="fr-FR"/>
        </w:rPr>
        <w:t xml:space="preserve"> pos</w:t>
      </w:r>
      <w:r>
        <w:rPr>
          <w:lang w:val="fr-FR"/>
        </w:rPr>
        <w:t xml:space="preserve">é les jalons </w:t>
      </w:r>
      <w:r w:rsidR="0081723B">
        <w:rPr>
          <w:lang w:val="fr-FR"/>
        </w:rPr>
        <w:t>d’une nouvelle straté</w:t>
      </w:r>
      <w:r w:rsidR="00A60695">
        <w:rPr>
          <w:lang w:val="fr-FR"/>
        </w:rPr>
        <w:t xml:space="preserve">gie de renforcement </w:t>
      </w:r>
      <w:r>
        <w:rPr>
          <w:lang w:val="fr-FR"/>
        </w:rPr>
        <w:t>de la pérenni</w:t>
      </w:r>
      <w:r w:rsidR="00A60695">
        <w:rPr>
          <w:lang w:val="fr-FR"/>
        </w:rPr>
        <w:t>sation des projets.</w:t>
      </w:r>
    </w:p>
    <w:p w:rsidR="009E0887" w:rsidRDefault="009E0887" w:rsidP="0087539E">
      <w:pPr>
        <w:pStyle w:val="BodyText"/>
        <w:spacing w:after="240" w:line="276" w:lineRule="auto"/>
        <w:jc w:val="both"/>
        <w:rPr>
          <w:rFonts w:ascii="Times New Roman" w:hAnsi="Times New Roman" w:cs="Times New Roman"/>
          <w:color w:val="000000"/>
          <w:sz w:val="24"/>
          <w:szCs w:val="24"/>
          <w:lang w:val="fr-FR"/>
        </w:rPr>
      </w:pPr>
      <w:r w:rsidRPr="00E37BBE">
        <w:rPr>
          <w:rFonts w:ascii="Times New Roman" w:hAnsi="Times New Roman" w:cs="Times New Roman"/>
          <w:color w:val="000000"/>
          <w:sz w:val="24"/>
          <w:szCs w:val="24"/>
          <w:lang w:val="fr-FR"/>
        </w:rPr>
        <w:t>Selon les spécificités de certaines zones, le suivi comp</w:t>
      </w:r>
      <w:r w:rsidR="00C61354">
        <w:rPr>
          <w:rFonts w:ascii="Times New Roman" w:hAnsi="Times New Roman" w:cs="Times New Roman"/>
          <w:color w:val="000000"/>
          <w:sz w:val="24"/>
          <w:szCs w:val="24"/>
          <w:lang w:val="fr-FR"/>
        </w:rPr>
        <w:t>lémentaire de 6 mois a été</w:t>
      </w:r>
      <w:r w:rsidRPr="00E37BBE">
        <w:rPr>
          <w:rFonts w:ascii="Times New Roman" w:hAnsi="Times New Roman" w:cs="Times New Roman"/>
          <w:color w:val="000000"/>
          <w:sz w:val="24"/>
          <w:szCs w:val="24"/>
          <w:lang w:val="fr-FR"/>
        </w:rPr>
        <w:t xml:space="preserve"> confié à des structures locales de mise en œu</w:t>
      </w:r>
      <w:r w:rsidR="00276C8A">
        <w:rPr>
          <w:rFonts w:ascii="Times New Roman" w:hAnsi="Times New Roman" w:cs="Times New Roman"/>
          <w:color w:val="000000"/>
          <w:sz w:val="24"/>
          <w:szCs w:val="24"/>
          <w:lang w:val="fr-FR"/>
        </w:rPr>
        <w:t>vre. C</w:t>
      </w:r>
      <w:r w:rsidRPr="00E37BBE">
        <w:rPr>
          <w:rFonts w:ascii="Times New Roman" w:hAnsi="Times New Roman" w:cs="Times New Roman"/>
          <w:color w:val="000000"/>
          <w:sz w:val="24"/>
          <w:szCs w:val="24"/>
          <w:lang w:val="fr-FR"/>
        </w:rPr>
        <w:t xml:space="preserve">es </w:t>
      </w:r>
      <w:r w:rsidR="008124E4">
        <w:rPr>
          <w:rFonts w:ascii="Times New Roman" w:hAnsi="Times New Roman" w:cs="Times New Roman"/>
          <w:color w:val="000000"/>
          <w:sz w:val="24"/>
          <w:szCs w:val="24"/>
          <w:lang w:val="fr-FR"/>
        </w:rPr>
        <w:t>c</w:t>
      </w:r>
      <w:r w:rsidRPr="00E37BBE">
        <w:rPr>
          <w:rFonts w:ascii="Times New Roman" w:hAnsi="Times New Roman" w:cs="Times New Roman"/>
          <w:color w:val="000000"/>
          <w:sz w:val="24"/>
          <w:szCs w:val="24"/>
          <w:lang w:val="fr-FR"/>
        </w:rPr>
        <w:t xml:space="preserve">onventions de </w:t>
      </w:r>
      <w:r w:rsidR="008124E4">
        <w:rPr>
          <w:rFonts w:ascii="Times New Roman" w:hAnsi="Times New Roman" w:cs="Times New Roman"/>
          <w:color w:val="000000"/>
          <w:sz w:val="24"/>
          <w:szCs w:val="24"/>
          <w:lang w:val="fr-FR"/>
        </w:rPr>
        <w:t>s</w:t>
      </w:r>
      <w:r w:rsidRPr="00E37BBE">
        <w:rPr>
          <w:rFonts w:ascii="Times New Roman" w:hAnsi="Times New Roman" w:cs="Times New Roman"/>
          <w:color w:val="000000"/>
          <w:sz w:val="24"/>
          <w:szCs w:val="24"/>
          <w:lang w:val="fr-FR"/>
        </w:rPr>
        <w:t xml:space="preserve">uivi sont financées directement </w:t>
      </w:r>
      <w:r w:rsidR="0087539E">
        <w:rPr>
          <w:rFonts w:ascii="Times New Roman" w:hAnsi="Times New Roman" w:cs="Times New Roman"/>
          <w:color w:val="000000"/>
          <w:sz w:val="24"/>
          <w:szCs w:val="24"/>
          <w:lang w:val="fr-FR"/>
        </w:rPr>
        <w:t xml:space="preserve">sur les fonds du PNUD </w:t>
      </w:r>
      <w:r w:rsidRPr="00E37BBE">
        <w:rPr>
          <w:rFonts w:ascii="Times New Roman" w:hAnsi="Times New Roman" w:cs="Times New Roman"/>
          <w:color w:val="000000"/>
          <w:sz w:val="24"/>
          <w:szCs w:val="24"/>
          <w:lang w:val="fr-FR"/>
        </w:rPr>
        <w:t>et démontre</w:t>
      </w:r>
      <w:r w:rsidR="0087539E">
        <w:rPr>
          <w:rFonts w:ascii="Times New Roman" w:hAnsi="Times New Roman" w:cs="Times New Roman"/>
          <w:color w:val="000000"/>
          <w:sz w:val="24"/>
          <w:szCs w:val="24"/>
          <w:lang w:val="fr-FR"/>
        </w:rPr>
        <w:t>nt</w:t>
      </w:r>
      <w:r w:rsidRPr="00E37BBE">
        <w:rPr>
          <w:rFonts w:ascii="Times New Roman" w:hAnsi="Times New Roman" w:cs="Times New Roman"/>
          <w:color w:val="000000"/>
          <w:sz w:val="24"/>
          <w:szCs w:val="24"/>
          <w:lang w:val="fr-FR"/>
        </w:rPr>
        <w:t xml:space="preserve"> ainsi de l’intérêt porté à la pérennisation des activités de réinsertion des ex-combattants et ex-miliciens en Côte d’Ivoire.</w:t>
      </w:r>
    </w:p>
    <w:p w:rsidR="00AE31A4" w:rsidRPr="003B5B2E" w:rsidRDefault="004005EA" w:rsidP="004005EA">
      <w:pPr>
        <w:numPr>
          <w:ilvl w:val="0"/>
          <w:numId w:val="19"/>
        </w:numPr>
        <w:spacing w:after="240" w:line="276" w:lineRule="auto"/>
        <w:jc w:val="both"/>
        <w:rPr>
          <w:b/>
          <w:bCs/>
          <w:i/>
          <w:iCs/>
          <w:lang w:val="fr-FR"/>
        </w:rPr>
      </w:pPr>
      <w:r>
        <w:rPr>
          <w:b/>
          <w:bCs/>
          <w:i/>
          <w:iCs/>
          <w:sz w:val="22"/>
          <w:szCs w:val="22"/>
          <w:lang w:val="fr-FR"/>
        </w:rPr>
        <w:t>Le</w:t>
      </w:r>
      <w:r w:rsidR="00AE31A4" w:rsidRPr="003B5B2E">
        <w:rPr>
          <w:b/>
          <w:bCs/>
          <w:i/>
          <w:iCs/>
          <w:sz w:val="22"/>
          <w:szCs w:val="22"/>
          <w:lang w:val="fr-FR"/>
        </w:rPr>
        <w:t xml:space="preserve"> suivi-évaluation conjoint (PNUD-ONUCI)</w:t>
      </w:r>
    </w:p>
    <w:p w:rsidR="00AB2A4D" w:rsidRDefault="00630CED" w:rsidP="00810ADE">
      <w:pPr>
        <w:pStyle w:val="BodyText"/>
        <w:spacing w:after="240" w:line="276"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Etant donné le caractère intégré du Pro</w:t>
      </w:r>
      <w:r w:rsidR="0081723B">
        <w:rPr>
          <w:rFonts w:ascii="Times New Roman" w:hAnsi="Times New Roman" w:cs="Times New Roman"/>
          <w:color w:val="000000"/>
          <w:sz w:val="24"/>
          <w:szCs w:val="24"/>
          <w:lang w:val="fr-FR"/>
        </w:rPr>
        <w:t>gramme</w:t>
      </w:r>
      <w:r>
        <w:rPr>
          <w:rFonts w:ascii="Times New Roman" w:hAnsi="Times New Roman" w:cs="Times New Roman"/>
          <w:color w:val="000000"/>
          <w:sz w:val="24"/>
          <w:szCs w:val="24"/>
          <w:lang w:val="fr-FR"/>
        </w:rPr>
        <w:t>, qui est représenté localement par l’une</w:t>
      </w:r>
      <w:r w:rsidR="00810ADE">
        <w:rPr>
          <w:rFonts w:ascii="Times New Roman" w:hAnsi="Times New Roman" w:cs="Times New Roman"/>
          <w:color w:val="000000"/>
          <w:sz w:val="24"/>
          <w:szCs w:val="24"/>
          <w:lang w:val="fr-FR"/>
        </w:rPr>
        <w:t xml:space="preserve"> et/ou</w:t>
      </w:r>
      <w:r>
        <w:rPr>
          <w:rFonts w:ascii="Times New Roman" w:hAnsi="Times New Roman" w:cs="Times New Roman"/>
          <w:color w:val="000000"/>
          <w:sz w:val="24"/>
          <w:szCs w:val="24"/>
          <w:lang w:val="fr-FR"/>
        </w:rPr>
        <w:t xml:space="preserve"> </w:t>
      </w:r>
      <w:r w:rsidR="00810ADE">
        <w:rPr>
          <w:rFonts w:ascii="Times New Roman" w:hAnsi="Times New Roman" w:cs="Times New Roman"/>
          <w:color w:val="000000"/>
          <w:sz w:val="24"/>
          <w:szCs w:val="24"/>
          <w:lang w:val="fr-FR"/>
        </w:rPr>
        <w:t xml:space="preserve">les </w:t>
      </w:r>
      <w:r>
        <w:rPr>
          <w:rFonts w:ascii="Times New Roman" w:hAnsi="Times New Roman" w:cs="Times New Roman"/>
          <w:color w:val="000000"/>
          <w:sz w:val="24"/>
          <w:szCs w:val="24"/>
          <w:lang w:val="fr-FR"/>
        </w:rPr>
        <w:t>deux parties (PN</w:t>
      </w:r>
      <w:r w:rsidR="00AB2A4D">
        <w:rPr>
          <w:rFonts w:ascii="Times New Roman" w:hAnsi="Times New Roman" w:cs="Times New Roman"/>
          <w:color w:val="000000"/>
          <w:sz w:val="24"/>
          <w:szCs w:val="24"/>
          <w:lang w:val="fr-FR"/>
        </w:rPr>
        <w:t>UD-ONUCI), il a semblé utile</w:t>
      </w:r>
      <w:r>
        <w:rPr>
          <w:rFonts w:ascii="Times New Roman" w:hAnsi="Times New Roman" w:cs="Times New Roman"/>
          <w:color w:val="000000"/>
          <w:sz w:val="24"/>
          <w:szCs w:val="24"/>
          <w:lang w:val="fr-FR"/>
        </w:rPr>
        <w:t xml:space="preserve"> de mettre en place un mécanisme de suivi-évaluation qui se fasse de façon périodique </w:t>
      </w:r>
      <w:r w:rsidR="00AB2A4D">
        <w:rPr>
          <w:rFonts w:ascii="Times New Roman" w:hAnsi="Times New Roman" w:cs="Times New Roman"/>
          <w:color w:val="000000"/>
          <w:sz w:val="24"/>
          <w:szCs w:val="24"/>
          <w:lang w:val="fr-FR"/>
        </w:rPr>
        <w:t xml:space="preserve">et régulière </w:t>
      </w:r>
      <w:r>
        <w:rPr>
          <w:rFonts w:ascii="Times New Roman" w:hAnsi="Times New Roman" w:cs="Times New Roman"/>
          <w:color w:val="000000"/>
          <w:sz w:val="24"/>
          <w:szCs w:val="24"/>
          <w:lang w:val="fr-FR"/>
        </w:rPr>
        <w:t>par une équipe mixte (PNUD-ONUCI). Cette équipe basée au siège (Abidjan) utili</w:t>
      </w:r>
      <w:r w:rsidR="00AB2A4D">
        <w:rPr>
          <w:rFonts w:ascii="Times New Roman" w:hAnsi="Times New Roman" w:cs="Times New Roman"/>
          <w:color w:val="000000"/>
          <w:sz w:val="24"/>
          <w:szCs w:val="24"/>
          <w:lang w:val="fr-FR"/>
        </w:rPr>
        <w:t>se la méthode participative et d</w:t>
      </w:r>
      <w:r>
        <w:rPr>
          <w:rFonts w:ascii="Times New Roman" w:hAnsi="Times New Roman" w:cs="Times New Roman"/>
          <w:color w:val="000000"/>
          <w:sz w:val="24"/>
          <w:szCs w:val="24"/>
          <w:lang w:val="fr-FR"/>
        </w:rPr>
        <w:t xml:space="preserve">es entretiens semi-directifs comme outils de suivi-évaluation. </w:t>
      </w:r>
      <w:r w:rsidR="00AB2A4D">
        <w:rPr>
          <w:rFonts w:ascii="Times New Roman" w:hAnsi="Times New Roman" w:cs="Times New Roman"/>
          <w:color w:val="000000"/>
          <w:sz w:val="24"/>
          <w:szCs w:val="24"/>
          <w:lang w:val="fr-FR"/>
        </w:rPr>
        <w:t xml:space="preserve">L’observation physique des œuvres permettait également d’apprécier les réalisations. </w:t>
      </w:r>
    </w:p>
    <w:p w:rsidR="00630CED" w:rsidRDefault="00630CED" w:rsidP="00810ADE">
      <w:pPr>
        <w:pStyle w:val="BodyText"/>
        <w:spacing w:after="240" w:line="276"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Chaque groupe de bénéficiaires est visité sur son site d’activité où l’équipe conjoint de suivi-évaluation entretient les bénéficiaires sur leur compréhension et impressions de leur </w:t>
      </w:r>
      <w:r w:rsidR="00810ADE">
        <w:rPr>
          <w:rFonts w:ascii="Times New Roman" w:hAnsi="Times New Roman" w:cs="Times New Roman"/>
          <w:color w:val="000000"/>
          <w:sz w:val="24"/>
          <w:szCs w:val="24"/>
          <w:lang w:val="fr-FR"/>
        </w:rPr>
        <w:t>activité</w:t>
      </w:r>
      <w:r>
        <w:rPr>
          <w:rFonts w:ascii="Times New Roman" w:hAnsi="Times New Roman" w:cs="Times New Roman"/>
          <w:color w:val="000000"/>
          <w:sz w:val="24"/>
          <w:szCs w:val="24"/>
          <w:lang w:val="fr-FR"/>
        </w:rPr>
        <w:t xml:space="preserve">, l’appui qu’ils ont reçu à travers </w:t>
      </w:r>
      <w:r w:rsidR="00810ADE">
        <w:rPr>
          <w:rFonts w:ascii="Times New Roman" w:hAnsi="Times New Roman" w:cs="Times New Roman"/>
          <w:color w:val="000000"/>
          <w:sz w:val="24"/>
          <w:szCs w:val="24"/>
          <w:lang w:val="fr-FR"/>
        </w:rPr>
        <w:t>la structure locale, leur intégration ainsi que leur revenu</w:t>
      </w:r>
      <w:r w:rsidR="00A46026">
        <w:rPr>
          <w:rFonts w:ascii="Times New Roman" w:hAnsi="Times New Roman" w:cs="Times New Roman"/>
          <w:color w:val="000000"/>
          <w:sz w:val="24"/>
          <w:szCs w:val="24"/>
          <w:lang w:val="fr-FR"/>
        </w:rPr>
        <w:t>, la rentabilité financière des projets</w:t>
      </w:r>
      <w:r w:rsidR="00810ADE">
        <w:rPr>
          <w:rFonts w:ascii="Times New Roman" w:hAnsi="Times New Roman" w:cs="Times New Roman"/>
          <w:color w:val="000000"/>
          <w:sz w:val="24"/>
          <w:szCs w:val="24"/>
          <w:lang w:val="fr-FR"/>
        </w:rPr>
        <w:t>, leurs ambitions et les mécanismes d’organisation interne du travail,</w:t>
      </w:r>
      <w:r w:rsidR="00A46026">
        <w:rPr>
          <w:rFonts w:ascii="Times New Roman" w:hAnsi="Times New Roman" w:cs="Times New Roman"/>
          <w:color w:val="000000"/>
          <w:sz w:val="24"/>
          <w:szCs w:val="24"/>
          <w:lang w:val="fr-FR"/>
        </w:rPr>
        <w:t xml:space="preserve"> les partenariats développés</w:t>
      </w:r>
      <w:r w:rsidR="00810ADE">
        <w:rPr>
          <w:rFonts w:ascii="Times New Roman" w:hAnsi="Times New Roman" w:cs="Times New Roman"/>
          <w:color w:val="000000"/>
          <w:sz w:val="24"/>
          <w:szCs w:val="24"/>
          <w:lang w:val="fr-FR"/>
        </w:rPr>
        <w:t xml:space="preserve"> les difficultés rencontrées, les solutions qu’ils développent ou comptent développer. </w:t>
      </w:r>
      <w:r w:rsidR="00362E92">
        <w:rPr>
          <w:rFonts w:ascii="Times New Roman" w:hAnsi="Times New Roman" w:cs="Times New Roman"/>
          <w:color w:val="000000"/>
          <w:sz w:val="24"/>
          <w:szCs w:val="24"/>
          <w:lang w:val="fr-FR"/>
        </w:rPr>
        <w:t xml:space="preserve">Ces entretiens sont </w:t>
      </w:r>
      <w:r w:rsidR="00362E92">
        <w:rPr>
          <w:rFonts w:ascii="Times New Roman" w:hAnsi="Times New Roman" w:cs="Times New Roman"/>
          <w:color w:val="000000"/>
          <w:sz w:val="24"/>
          <w:szCs w:val="24"/>
          <w:lang w:val="fr-FR"/>
        </w:rPr>
        <w:lastRenderedPageBreak/>
        <w:t xml:space="preserve">renforcés par </w:t>
      </w:r>
      <w:r w:rsidR="00F131BB">
        <w:rPr>
          <w:rFonts w:ascii="Times New Roman" w:hAnsi="Times New Roman" w:cs="Times New Roman"/>
          <w:color w:val="000000"/>
          <w:sz w:val="24"/>
          <w:szCs w:val="24"/>
          <w:lang w:val="fr-FR"/>
        </w:rPr>
        <w:t>les discussions</w:t>
      </w:r>
      <w:r w:rsidR="00362E92">
        <w:rPr>
          <w:rFonts w:ascii="Times New Roman" w:hAnsi="Times New Roman" w:cs="Times New Roman"/>
          <w:color w:val="000000"/>
          <w:sz w:val="24"/>
          <w:szCs w:val="24"/>
          <w:lang w:val="fr-FR"/>
        </w:rPr>
        <w:t xml:space="preserve"> que l’équipe de suivi-évaluation a avec les</w:t>
      </w:r>
      <w:r w:rsidR="00F131BB">
        <w:rPr>
          <w:rFonts w:ascii="Times New Roman" w:hAnsi="Times New Roman" w:cs="Times New Roman"/>
          <w:color w:val="000000"/>
          <w:sz w:val="24"/>
          <w:szCs w:val="24"/>
          <w:lang w:val="fr-FR"/>
        </w:rPr>
        <w:t xml:space="preserve"> autorités locales et les partenaires.</w:t>
      </w:r>
    </w:p>
    <w:p w:rsidR="00810ADE" w:rsidRDefault="00810ADE" w:rsidP="00536C5D">
      <w:pPr>
        <w:pStyle w:val="BodyText"/>
        <w:spacing w:after="240" w:line="276"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Les séances de discussion sont également l’occasion de développer certaines questions</w:t>
      </w:r>
      <w:r w:rsidR="00536C5D">
        <w:rPr>
          <w:rFonts w:ascii="Times New Roman" w:hAnsi="Times New Roman" w:cs="Times New Roman"/>
          <w:color w:val="000000"/>
          <w:sz w:val="24"/>
          <w:szCs w:val="24"/>
          <w:lang w:val="fr-FR"/>
        </w:rPr>
        <w:t xml:space="preserve"> en lien avec la cohésion (corrélative ou non) des groupes, les marchés d’écoulement des produits, les systèmes de partenariat pratique, le sens d’initiative ainsi que les arrangements fonctionnels internes</w:t>
      </w:r>
      <w:r w:rsidR="00F131BB">
        <w:rPr>
          <w:rFonts w:ascii="Times New Roman" w:hAnsi="Times New Roman" w:cs="Times New Roman"/>
          <w:color w:val="000000"/>
          <w:sz w:val="24"/>
          <w:szCs w:val="24"/>
          <w:lang w:val="fr-FR"/>
        </w:rPr>
        <w:t xml:space="preserve"> à chaque microprojet</w:t>
      </w:r>
      <w:r w:rsidR="00536C5D">
        <w:rPr>
          <w:rFonts w:ascii="Times New Roman" w:hAnsi="Times New Roman" w:cs="Times New Roman"/>
          <w:color w:val="000000"/>
          <w:sz w:val="24"/>
          <w:szCs w:val="24"/>
          <w:lang w:val="fr-FR"/>
        </w:rPr>
        <w:t>. Ces séances permettent également de faire des liens avec d’autres projets et de donner des exemples pratiques à certains bénéficiaires sur les solutions trouvées ailleurs face aux mêmes difficultés rencontrées</w:t>
      </w:r>
      <w:r w:rsidR="00F131BB">
        <w:rPr>
          <w:rFonts w:ascii="Times New Roman" w:hAnsi="Times New Roman" w:cs="Times New Roman"/>
          <w:color w:val="000000"/>
          <w:sz w:val="24"/>
          <w:szCs w:val="24"/>
          <w:lang w:val="fr-FR"/>
        </w:rPr>
        <w:t xml:space="preserve"> à leur niveau</w:t>
      </w:r>
      <w:r w:rsidR="00536C5D">
        <w:rPr>
          <w:rFonts w:ascii="Times New Roman" w:hAnsi="Times New Roman" w:cs="Times New Roman"/>
          <w:color w:val="000000"/>
          <w:sz w:val="24"/>
          <w:szCs w:val="24"/>
          <w:lang w:val="fr-FR"/>
        </w:rPr>
        <w:t xml:space="preserve">. C’est ainsi que des liens sont crées entre différents types de projet et parfois, des ententes </w:t>
      </w:r>
      <w:r w:rsidR="00362E92">
        <w:rPr>
          <w:rFonts w:ascii="Times New Roman" w:hAnsi="Times New Roman" w:cs="Times New Roman"/>
          <w:color w:val="000000"/>
          <w:sz w:val="24"/>
          <w:szCs w:val="24"/>
          <w:lang w:val="fr-FR"/>
        </w:rPr>
        <w:t xml:space="preserve">de troc et/ou des </w:t>
      </w:r>
      <w:r w:rsidR="00F131BB">
        <w:rPr>
          <w:rFonts w:ascii="Times New Roman" w:hAnsi="Times New Roman" w:cs="Times New Roman"/>
          <w:color w:val="000000"/>
          <w:sz w:val="24"/>
          <w:szCs w:val="24"/>
          <w:lang w:val="fr-FR"/>
        </w:rPr>
        <w:t xml:space="preserve">micro </w:t>
      </w:r>
      <w:r w:rsidR="00362E92">
        <w:rPr>
          <w:rFonts w:ascii="Times New Roman" w:hAnsi="Times New Roman" w:cs="Times New Roman"/>
          <w:color w:val="000000"/>
          <w:sz w:val="24"/>
          <w:szCs w:val="24"/>
          <w:lang w:val="fr-FR"/>
        </w:rPr>
        <w:t>partenariats commerc</w:t>
      </w:r>
      <w:r w:rsidR="00AB2A4D">
        <w:rPr>
          <w:rFonts w:ascii="Times New Roman" w:hAnsi="Times New Roman" w:cs="Times New Roman"/>
          <w:color w:val="000000"/>
          <w:sz w:val="24"/>
          <w:szCs w:val="24"/>
          <w:lang w:val="fr-FR"/>
        </w:rPr>
        <w:t>iaux sont crées entre</w:t>
      </w:r>
      <w:r w:rsidR="00362E92">
        <w:rPr>
          <w:rFonts w:ascii="Times New Roman" w:hAnsi="Times New Roman" w:cs="Times New Roman"/>
          <w:color w:val="000000"/>
          <w:sz w:val="24"/>
          <w:szCs w:val="24"/>
          <w:lang w:val="fr-FR"/>
        </w:rPr>
        <w:t xml:space="preserve"> groupes de bénéficiaires et/ou différents projets.</w:t>
      </w:r>
    </w:p>
    <w:p w:rsidR="00362E92" w:rsidRDefault="00362E92" w:rsidP="00F131BB">
      <w:pPr>
        <w:pStyle w:val="BodyText"/>
        <w:spacing w:after="240" w:line="276"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L’équipe conjointe de suivi-évaluation propose à la fin de chaque mission, un rapport qui relève d’un côté le contexte et l’appropriation des activités et de l’autre, les contraintes, les mesures prises ainsi que les recommandations</w:t>
      </w:r>
      <w:r w:rsidR="00F131BB">
        <w:rPr>
          <w:rFonts w:ascii="Times New Roman" w:hAnsi="Times New Roman" w:cs="Times New Roman"/>
          <w:color w:val="000000"/>
          <w:sz w:val="24"/>
          <w:szCs w:val="24"/>
          <w:lang w:val="fr-FR"/>
        </w:rPr>
        <w:t xml:space="preserve"> à appliquer</w:t>
      </w:r>
      <w:r>
        <w:rPr>
          <w:rFonts w:ascii="Times New Roman" w:hAnsi="Times New Roman" w:cs="Times New Roman"/>
          <w:color w:val="000000"/>
          <w:sz w:val="24"/>
          <w:szCs w:val="24"/>
          <w:lang w:val="fr-FR"/>
        </w:rPr>
        <w:t xml:space="preserve">. Ces rapports servent </w:t>
      </w:r>
      <w:r w:rsidR="00F131BB">
        <w:rPr>
          <w:rFonts w:ascii="Times New Roman" w:hAnsi="Times New Roman" w:cs="Times New Roman"/>
          <w:color w:val="000000"/>
          <w:sz w:val="24"/>
          <w:szCs w:val="24"/>
          <w:lang w:val="fr-FR"/>
        </w:rPr>
        <w:t>à chaque partie pour l’amélioration</w:t>
      </w:r>
      <w:r>
        <w:rPr>
          <w:rFonts w:ascii="Times New Roman" w:hAnsi="Times New Roman" w:cs="Times New Roman"/>
          <w:color w:val="000000"/>
          <w:sz w:val="24"/>
          <w:szCs w:val="24"/>
          <w:lang w:val="fr-FR"/>
        </w:rPr>
        <w:t xml:space="preserve"> de l’approche et la formulation</w:t>
      </w:r>
      <w:r w:rsidR="00F71EF2">
        <w:rPr>
          <w:rFonts w:ascii="Times New Roman" w:hAnsi="Times New Roman" w:cs="Times New Roman"/>
          <w:color w:val="000000"/>
          <w:sz w:val="24"/>
          <w:szCs w:val="24"/>
          <w:lang w:val="fr-FR"/>
        </w:rPr>
        <w:t xml:space="preserve"> de leçons apprises ainsi que les</w:t>
      </w:r>
      <w:r>
        <w:rPr>
          <w:rFonts w:ascii="Times New Roman" w:hAnsi="Times New Roman" w:cs="Times New Roman"/>
          <w:color w:val="000000"/>
          <w:sz w:val="24"/>
          <w:szCs w:val="24"/>
          <w:lang w:val="fr-FR"/>
        </w:rPr>
        <w:t xml:space="preserve"> bonnes pratiques</w:t>
      </w:r>
      <w:r w:rsidR="00F71EF2">
        <w:rPr>
          <w:rFonts w:ascii="Times New Roman" w:hAnsi="Times New Roman" w:cs="Times New Roman"/>
          <w:color w:val="000000"/>
          <w:sz w:val="24"/>
          <w:szCs w:val="24"/>
          <w:lang w:val="fr-FR"/>
        </w:rPr>
        <w:t xml:space="preserve"> à développer</w:t>
      </w:r>
      <w:r>
        <w:rPr>
          <w:rFonts w:ascii="Times New Roman" w:hAnsi="Times New Roman" w:cs="Times New Roman"/>
          <w:color w:val="000000"/>
          <w:sz w:val="24"/>
          <w:szCs w:val="24"/>
          <w:lang w:val="fr-FR"/>
        </w:rPr>
        <w:t>.</w:t>
      </w:r>
    </w:p>
    <w:p w:rsidR="004005EA" w:rsidRPr="002722B8" w:rsidRDefault="00172046" w:rsidP="00172046">
      <w:pPr>
        <w:spacing w:after="240" w:line="276" w:lineRule="auto"/>
        <w:ind w:left="720"/>
        <w:jc w:val="both"/>
        <w:rPr>
          <w:b/>
          <w:bCs/>
          <w:i/>
          <w:iCs/>
          <w:lang w:val="fr-FR"/>
        </w:rPr>
      </w:pPr>
      <w:r w:rsidRPr="002722B8">
        <w:rPr>
          <w:b/>
          <w:bCs/>
          <w:i/>
          <w:iCs/>
          <w:lang w:val="fr-FR"/>
        </w:rPr>
        <w:t xml:space="preserve">3.4. </w:t>
      </w:r>
      <w:r w:rsidR="004005EA" w:rsidRPr="002722B8">
        <w:rPr>
          <w:b/>
          <w:bCs/>
          <w:i/>
          <w:iCs/>
          <w:lang w:val="fr-FR"/>
        </w:rPr>
        <w:t>L’évaluation du programme</w:t>
      </w:r>
    </w:p>
    <w:p w:rsidR="003B5B2E" w:rsidRPr="002722B8" w:rsidRDefault="003B5B2E" w:rsidP="004005EA">
      <w:pPr>
        <w:numPr>
          <w:ilvl w:val="0"/>
          <w:numId w:val="18"/>
        </w:numPr>
        <w:spacing w:after="240" w:line="276" w:lineRule="auto"/>
        <w:jc w:val="both"/>
        <w:rPr>
          <w:b/>
          <w:bCs/>
          <w:i/>
          <w:iCs/>
          <w:lang w:val="fr-FR"/>
        </w:rPr>
      </w:pPr>
      <w:r w:rsidRPr="002722B8">
        <w:rPr>
          <w:b/>
          <w:bCs/>
          <w:i/>
          <w:iCs/>
          <w:lang w:val="fr-FR"/>
        </w:rPr>
        <w:t xml:space="preserve">L’évaluation externe des activités du </w:t>
      </w:r>
      <w:r w:rsidR="0081723B" w:rsidRPr="002722B8">
        <w:rPr>
          <w:b/>
          <w:bCs/>
          <w:i/>
          <w:iCs/>
          <w:lang w:val="fr-FR"/>
        </w:rPr>
        <w:t xml:space="preserve">programme </w:t>
      </w:r>
    </w:p>
    <w:p w:rsidR="00EF7169" w:rsidRPr="002722B8" w:rsidRDefault="00EF7169" w:rsidP="00F71EF2">
      <w:pPr>
        <w:spacing w:before="120" w:after="120" w:line="276" w:lineRule="auto"/>
        <w:jc w:val="both"/>
        <w:rPr>
          <w:lang w:val="fr-FR"/>
        </w:rPr>
      </w:pPr>
      <w:r w:rsidRPr="002722B8">
        <w:rPr>
          <w:lang w:val="fr-FR"/>
        </w:rPr>
        <w:t>En dehors du mécanisme continu de suivi-évaluation conjoint (PNUD</w:t>
      </w:r>
      <w:r w:rsidR="003B5B2E" w:rsidRPr="002722B8">
        <w:rPr>
          <w:lang w:val="fr-FR"/>
        </w:rPr>
        <w:t>-ONUCI)</w:t>
      </w:r>
      <w:r w:rsidRPr="002722B8">
        <w:rPr>
          <w:lang w:val="fr-FR"/>
        </w:rPr>
        <w:t>, le pro</w:t>
      </w:r>
      <w:r w:rsidR="0081723B" w:rsidRPr="002722B8">
        <w:rPr>
          <w:lang w:val="fr-FR"/>
        </w:rPr>
        <w:t xml:space="preserve">gramme </w:t>
      </w:r>
      <w:r w:rsidRPr="002722B8">
        <w:rPr>
          <w:lang w:val="fr-FR"/>
        </w:rPr>
        <w:t>a fait l’objet d’une double démarche d’évaluation, à savoir :</w:t>
      </w:r>
    </w:p>
    <w:p w:rsidR="00EF7169" w:rsidRPr="00F71EF2" w:rsidRDefault="00757E68" w:rsidP="00002079">
      <w:pPr>
        <w:numPr>
          <w:ilvl w:val="0"/>
          <w:numId w:val="29"/>
        </w:numPr>
        <w:spacing w:before="120" w:after="240" w:line="276" w:lineRule="auto"/>
        <w:jc w:val="both"/>
        <w:rPr>
          <w:lang w:val="fr-FR"/>
        </w:rPr>
      </w:pPr>
      <w:r w:rsidRPr="002722B8">
        <w:rPr>
          <w:lang w:val="fr-FR"/>
        </w:rPr>
        <w:t>Une revue</w:t>
      </w:r>
      <w:r w:rsidR="00EF7169" w:rsidRPr="002722B8">
        <w:rPr>
          <w:lang w:val="fr-FR"/>
        </w:rPr>
        <w:t xml:space="preserve"> interne par le biais d’une mission conjointe du siège. A cet effet, une mission conjointe regroupant des représentants du Département des Opérations de Maintien de la Paix (DOMP), du Bureau de la Prévention des Crises et du Relèvement du Programme des Nations Unies pour le Développement, et </w:t>
      </w:r>
      <w:r w:rsidR="0081723B" w:rsidRPr="002722B8">
        <w:rPr>
          <w:lang w:val="fr-FR"/>
        </w:rPr>
        <w:t>du</w:t>
      </w:r>
      <w:r w:rsidR="00EF7169" w:rsidRPr="002722B8">
        <w:rPr>
          <w:lang w:val="fr-FR"/>
        </w:rPr>
        <w:t xml:space="preserve"> Bureau d’appui à la consolidation de la paix se sont rendus en Côte d’Ivoire du 31 Août au 5 Septembre</w:t>
      </w:r>
      <w:r w:rsidR="00EF7169" w:rsidRPr="00F71EF2">
        <w:rPr>
          <w:lang w:val="fr-FR"/>
        </w:rPr>
        <w:t xml:space="preserve"> 2009 dans le but de procéder à une revue du plan prioritaire de la Côte d’Ivoire</w:t>
      </w:r>
      <w:r w:rsidR="0081723B">
        <w:rPr>
          <w:lang w:val="fr-FR"/>
        </w:rPr>
        <w:t>,</w:t>
      </w:r>
      <w:r w:rsidR="00EF7169" w:rsidRPr="00F71EF2">
        <w:rPr>
          <w:lang w:val="fr-FR"/>
        </w:rPr>
        <w:t xml:space="preserve"> en général</w:t>
      </w:r>
      <w:r w:rsidR="0081723B">
        <w:rPr>
          <w:lang w:val="fr-FR"/>
        </w:rPr>
        <w:t>,</w:t>
      </w:r>
      <w:r w:rsidR="00EF7169" w:rsidRPr="00F71EF2">
        <w:rPr>
          <w:lang w:val="fr-FR"/>
        </w:rPr>
        <w:t xml:space="preserve"> et en particulier sur les </w:t>
      </w:r>
      <w:r w:rsidR="0081723B">
        <w:rPr>
          <w:lang w:val="fr-FR"/>
        </w:rPr>
        <w:t>1000</w:t>
      </w:r>
      <w:r w:rsidR="00EF7169" w:rsidRPr="00F71EF2">
        <w:rPr>
          <w:lang w:val="fr-FR"/>
        </w:rPr>
        <w:t xml:space="preserve"> microprojets. Le but de cette mission a été d’apprécier les mécanismes de mise en œuvre des </w:t>
      </w:r>
      <w:r w:rsidR="0081723B">
        <w:rPr>
          <w:lang w:val="fr-FR"/>
        </w:rPr>
        <w:t xml:space="preserve">1000 </w:t>
      </w:r>
      <w:r w:rsidR="00EF7169" w:rsidRPr="00F71EF2">
        <w:rPr>
          <w:lang w:val="fr-FR"/>
        </w:rPr>
        <w:t>microprojets d’une part et de revoir l’assise stratégique de cette initiative dans une logique de transition de l’humanitaire vers le relèvement.</w:t>
      </w:r>
    </w:p>
    <w:p w:rsidR="00EF7169" w:rsidRPr="00F71EF2" w:rsidRDefault="00EF7169" w:rsidP="00002079">
      <w:pPr>
        <w:numPr>
          <w:ilvl w:val="0"/>
          <w:numId w:val="29"/>
        </w:numPr>
        <w:spacing w:before="120" w:after="240" w:line="276" w:lineRule="auto"/>
        <w:jc w:val="both"/>
        <w:rPr>
          <w:lang w:val="fr-FR"/>
        </w:rPr>
      </w:pPr>
      <w:r w:rsidRPr="00F71EF2">
        <w:rPr>
          <w:lang w:val="fr-FR"/>
        </w:rPr>
        <w:t xml:space="preserve">Une évaluation externe au Système des Nations Unies </w:t>
      </w:r>
      <w:r w:rsidR="00A46026">
        <w:rPr>
          <w:lang w:val="fr-FR"/>
        </w:rPr>
        <w:t xml:space="preserve">commanditée par le PNUD et l’ONUCI </w:t>
      </w:r>
      <w:r w:rsidRPr="00F71EF2">
        <w:rPr>
          <w:lang w:val="fr-FR"/>
        </w:rPr>
        <w:t>piloté</w:t>
      </w:r>
      <w:r w:rsidR="00A46026">
        <w:rPr>
          <w:lang w:val="fr-FR"/>
        </w:rPr>
        <w:t>e</w:t>
      </w:r>
      <w:r w:rsidRPr="00F71EF2">
        <w:rPr>
          <w:lang w:val="fr-FR"/>
        </w:rPr>
        <w:t xml:space="preserve"> par un Cabinet de consultants indépendants qui se sont rendus pendant </w:t>
      </w:r>
      <w:r w:rsidR="003B5B2E" w:rsidRPr="00F71EF2">
        <w:rPr>
          <w:lang w:val="fr-FR"/>
        </w:rPr>
        <w:t xml:space="preserve">plus de </w:t>
      </w:r>
      <w:r w:rsidRPr="00F71EF2">
        <w:rPr>
          <w:lang w:val="fr-FR"/>
        </w:rPr>
        <w:t xml:space="preserve">deux semaines en Côte d’Ivoire en Octobre 2009. </w:t>
      </w:r>
      <w:r w:rsidR="003B5B2E" w:rsidRPr="00F71EF2">
        <w:rPr>
          <w:lang w:val="fr-FR"/>
        </w:rPr>
        <w:t xml:space="preserve">Cette évaluation a été menée par le </w:t>
      </w:r>
      <w:r w:rsidR="000F202B">
        <w:rPr>
          <w:lang w:val="fr-FR"/>
        </w:rPr>
        <w:t>« </w:t>
      </w:r>
      <w:r w:rsidR="003B5B2E" w:rsidRPr="00F71EF2">
        <w:rPr>
          <w:b/>
          <w:bCs/>
          <w:i/>
          <w:iCs/>
          <w:lang w:val="fr-FR"/>
        </w:rPr>
        <w:t>Senter for interkulturell kommunikasjon</w:t>
      </w:r>
      <w:r w:rsidR="000F202B">
        <w:rPr>
          <w:b/>
          <w:bCs/>
          <w:i/>
          <w:iCs/>
          <w:lang w:val="fr-FR"/>
        </w:rPr>
        <w:t> »</w:t>
      </w:r>
      <w:r w:rsidR="003B5B2E" w:rsidRPr="00F71EF2">
        <w:rPr>
          <w:lang w:val="fr-FR"/>
        </w:rPr>
        <w:t xml:space="preserve"> – SIK- Norvégien. </w:t>
      </w:r>
      <w:r w:rsidRPr="00F71EF2">
        <w:rPr>
          <w:lang w:val="fr-FR"/>
        </w:rPr>
        <w:t>La méthodologie adoptée par les experts indépendants</w:t>
      </w:r>
      <w:r w:rsidR="0081723B">
        <w:rPr>
          <w:lang w:val="fr-FR"/>
        </w:rPr>
        <w:t xml:space="preserve"> </w:t>
      </w:r>
      <w:r w:rsidRPr="00F71EF2">
        <w:rPr>
          <w:lang w:val="fr-FR"/>
        </w:rPr>
        <w:t>était axée sur une approche qualitative (analyse des documents, observations, conversations informelles, interviews en groupes, interviews individuelles semi structurées, ateliers de discussion etc.). Au total 49 microprojets ont été visités et plus de 150 bénéficiaires des « 1,000 MP » ont été inter</w:t>
      </w:r>
      <w:r w:rsidR="008124E4">
        <w:rPr>
          <w:lang w:val="fr-FR"/>
        </w:rPr>
        <w:t>rog</w:t>
      </w:r>
      <w:r w:rsidRPr="00F71EF2">
        <w:rPr>
          <w:lang w:val="fr-FR"/>
        </w:rPr>
        <w:t xml:space="preserve">és. Par ailleurs, l’équipe d’évaluation a eu des conversations informelles et </w:t>
      </w:r>
      <w:r w:rsidR="008124E4">
        <w:rPr>
          <w:lang w:val="fr-FR"/>
        </w:rPr>
        <w:t xml:space="preserve">entretiens </w:t>
      </w:r>
      <w:r w:rsidRPr="00F71EF2">
        <w:rPr>
          <w:lang w:val="fr-FR"/>
        </w:rPr>
        <w:t xml:space="preserve">semi </w:t>
      </w:r>
      <w:r w:rsidR="00D0439C" w:rsidRPr="00F71EF2">
        <w:rPr>
          <w:lang w:val="fr-FR"/>
        </w:rPr>
        <w:t>structurées avec le personnel du PNUD et de l’ONUCI</w:t>
      </w:r>
      <w:r w:rsidRPr="00F71EF2">
        <w:rPr>
          <w:lang w:val="fr-FR"/>
        </w:rPr>
        <w:t xml:space="preserve">, </w:t>
      </w:r>
      <w:r w:rsidR="00D0439C" w:rsidRPr="00F71EF2">
        <w:rPr>
          <w:lang w:val="fr-FR"/>
        </w:rPr>
        <w:t xml:space="preserve">du </w:t>
      </w:r>
      <w:r w:rsidRPr="00F71EF2">
        <w:rPr>
          <w:lang w:val="fr-FR"/>
        </w:rPr>
        <w:t xml:space="preserve">PNRRC, </w:t>
      </w:r>
      <w:r w:rsidR="00D0439C" w:rsidRPr="00F71EF2">
        <w:rPr>
          <w:lang w:val="fr-FR"/>
        </w:rPr>
        <w:t xml:space="preserve">du </w:t>
      </w:r>
      <w:r w:rsidRPr="00F71EF2">
        <w:rPr>
          <w:lang w:val="fr-FR"/>
        </w:rPr>
        <w:t xml:space="preserve">PSCN, </w:t>
      </w:r>
      <w:r w:rsidR="00D0439C" w:rsidRPr="00F71EF2">
        <w:rPr>
          <w:lang w:val="fr-FR"/>
        </w:rPr>
        <w:t>de la Cellule m</w:t>
      </w:r>
      <w:r w:rsidRPr="00F71EF2">
        <w:rPr>
          <w:lang w:val="fr-FR"/>
        </w:rPr>
        <w:t xml:space="preserve">icroprojets de la Présidence, </w:t>
      </w:r>
      <w:r w:rsidR="00D0439C" w:rsidRPr="00F71EF2">
        <w:rPr>
          <w:lang w:val="fr-FR"/>
        </w:rPr>
        <w:t xml:space="preserve">des </w:t>
      </w:r>
      <w:r w:rsidRPr="00F71EF2">
        <w:rPr>
          <w:lang w:val="fr-FR"/>
        </w:rPr>
        <w:t xml:space="preserve">leaders des FAFN, </w:t>
      </w:r>
      <w:r w:rsidR="00D0439C" w:rsidRPr="00F71EF2">
        <w:rPr>
          <w:lang w:val="fr-FR"/>
        </w:rPr>
        <w:t xml:space="preserve">des </w:t>
      </w:r>
      <w:r w:rsidRPr="00F71EF2">
        <w:rPr>
          <w:lang w:val="fr-FR"/>
        </w:rPr>
        <w:lastRenderedPageBreak/>
        <w:t>autorités locales</w:t>
      </w:r>
      <w:r w:rsidR="00D0439C" w:rsidRPr="00F71EF2">
        <w:rPr>
          <w:lang w:val="fr-FR"/>
        </w:rPr>
        <w:t xml:space="preserve"> et structures de mise en œuvre. Des entretiens ont également eu lieu </w:t>
      </w:r>
      <w:r w:rsidRPr="00F71EF2">
        <w:rPr>
          <w:lang w:val="fr-FR"/>
        </w:rPr>
        <w:t>avec des représenta</w:t>
      </w:r>
      <w:r w:rsidR="00D0439C" w:rsidRPr="00F71EF2">
        <w:rPr>
          <w:lang w:val="fr-FR"/>
        </w:rPr>
        <w:t>nts de</w:t>
      </w:r>
      <w:r w:rsidRPr="00F71EF2">
        <w:rPr>
          <w:lang w:val="fr-FR"/>
        </w:rPr>
        <w:t xml:space="preserve"> la Banque Mondiale, </w:t>
      </w:r>
      <w:r w:rsidR="00D0439C" w:rsidRPr="00F71EF2">
        <w:rPr>
          <w:lang w:val="fr-FR"/>
        </w:rPr>
        <w:t xml:space="preserve">de </w:t>
      </w:r>
      <w:r w:rsidRPr="00F71EF2">
        <w:rPr>
          <w:lang w:val="fr-FR"/>
        </w:rPr>
        <w:t>l</w:t>
      </w:r>
      <w:r w:rsidR="008124E4">
        <w:rPr>
          <w:lang w:val="fr-FR"/>
        </w:rPr>
        <w:t>a Délégation de la Commission e</w:t>
      </w:r>
      <w:r w:rsidRPr="00F71EF2">
        <w:rPr>
          <w:lang w:val="fr-FR"/>
        </w:rPr>
        <w:t xml:space="preserve">uropéenne, </w:t>
      </w:r>
      <w:r w:rsidR="00D0439C" w:rsidRPr="00F71EF2">
        <w:rPr>
          <w:lang w:val="fr-FR"/>
        </w:rPr>
        <w:t xml:space="preserve">de la </w:t>
      </w:r>
      <w:r w:rsidRPr="00F71EF2">
        <w:rPr>
          <w:lang w:val="fr-FR"/>
        </w:rPr>
        <w:t xml:space="preserve">GTZ, </w:t>
      </w:r>
      <w:r w:rsidR="00D0439C" w:rsidRPr="00F71EF2">
        <w:rPr>
          <w:lang w:val="fr-FR"/>
        </w:rPr>
        <w:t xml:space="preserve">de </w:t>
      </w:r>
      <w:r w:rsidR="0081723B">
        <w:rPr>
          <w:lang w:val="fr-FR"/>
        </w:rPr>
        <w:t>l’</w:t>
      </w:r>
      <w:r w:rsidRPr="00F71EF2">
        <w:rPr>
          <w:lang w:val="fr-FR"/>
        </w:rPr>
        <w:t xml:space="preserve">OIM, </w:t>
      </w:r>
      <w:r w:rsidR="00D0439C" w:rsidRPr="00F71EF2">
        <w:rPr>
          <w:lang w:val="fr-FR"/>
        </w:rPr>
        <w:t xml:space="preserve">de </w:t>
      </w:r>
      <w:r w:rsidRPr="00F71EF2">
        <w:rPr>
          <w:lang w:val="fr-FR"/>
        </w:rPr>
        <w:t xml:space="preserve">l’Ambassade Royale de la Norvège, </w:t>
      </w:r>
      <w:r w:rsidR="00D0439C" w:rsidRPr="00F71EF2">
        <w:rPr>
          <w:lang w:val="fr-FR"/>
        </w:rPr>
        <w:t xml:space="preserve">de </w:t>
      </w:r>
      <w:r w:rsidRPr="00F71EF2">
        <w:rPr>
          <w:lang w:val="fr-FR"/>
        </w:rPr>
        <w:t xml:space="preserve">la Coopération Française et </w:t>
      </w:r>
      <w:r w:rsidR="00D0439C" w:rsidRPr="00F71EF2">
        <w:rPr>
          <w:lang w:val="fr-FR"/>
        </w:rPr>
        <w:t xml:space="preserve">des forces Françaises </w:t>
      </w:r>
      <w:r w:rsidRPr="00F71EF2">
        <w:rPr>
          <w:lang w:val="fr-FR"/>
        </w:rPr>
        <w:t>Lico</w:t>
      </w:r>
      <w:r w:rsidR="00D0439C" w:rsidRPr="00F71EF2">
        <w:rPr>
          <w:lang w:val="fr-FR"/>
        </w:rPr>
        <w:t xml:space="preserve">rne. </w:t>
      </w:r>
      <w:r w:rsidR="000F202B">
        <w:rPr>
          <w:lang w:val="fr-FR"/>
        </w:rPr>
        <w:t>Cette étude a conclu</w:t>
      </w:r>
      <w:r w:rsidRPr="00F71EF2">
        <w:rPr>
          <w:lang w:val="fr-FR"/>
        </w:rPr>
        <w:t xml:space="preserve"> que l’initiative des </w:t>
      </w:r>
      <w:r w:rsidR="000F202B">
        <w:rPr>
          <w:lang w:val="fr-FR"/>
        </w:rPr>
        <w:t>1000</w:t>
      </w:r>
      <w:r w:rsidRPr="00F71EF2">
        <w:rPr>
          <w:lang w:val="fr-FR"/>
        </w:rPr>
        <w:t xml:space="preserve"> microprojets a été un succès et a répondu largemen</w:t>
      </w:r>
      <w:r w:rsidR="00D0439C" w:rsidRPr="00F71EF2">
        <w:rPr>
          <w:lang w:val="fr-FR"/>
        </w:rPr>
        <w:t>t aux attentes et objectifs fi</w:t>
      </w:r>
      <w:r w:rsidR="0081723B">
        <w:rPr>
          <w:lang w:val="fr-FR"/>
        </w:rPr>
        <w:t>xés et elle a également formulé</w:t>
      </w:r>
      <w:r w:rsidRPr="00F71EF2">
        <w:rPr>
          <w:lang w:val="fr-FR"/>
        </w:rPr>
        <w:t xml:space="preserve"> des recommandations en terme d’approche par rapport à la problématique de stabilisation pré et </w:t>
      </w:r>
      <w:r w:rsidR="0081723B" w:rsidRPr="00F71EF2">
        <w:rPr>
          <w:lang w:val="fr-FR"/>
        </w:rPr>
        <w:t>post</w:t>
      </w:r>
      <w:r w:rsidR="0081723B">
        <w:rPr>
          <w:lang w:val="fr-FR"/>
        </w:rPr>
        <w:t>é</w:t>
      </w:r>
      <w:r w:rsidR="0081723B" w:rsidRPr="00F71EF2">
        <w:rPr>
          <w:lang w:val="fr-FR"/>
        </w:rPr>
        <w:t>lectorale</w:t>
      </w:r>
      <w:r w:rsidRPr="00F71EF2">
        <w:rPr>
          <w:lang w:val="fr-FR"/>
        </w:rPr>
        <w:t>, en terme de procédure par rapport a</w:t>
      </w:r>
      <w:r w:rsidR="00D0439C" w:rsidRPr="00F71EF2">
        <w:rPr>
          <w:lang w:val="fr-FR"/>
        </w:rPr>
        <w:t>u cycle de gestion d’un projet</w:t>
      </w:r>
      <w:r w:rsidR="0081723B">
        <w:rPr>
          <w:lang w:val="fr-FR"/>
        </w:rPr>
        <w:t>,</w:t>
      </w:r>
      <w:r w:rsidR="00D0439C" w:rsidRPr="00F71EF2">
        <w:rPr>
          <w:lang w:val="fr-FR"/>
        </w:rPr>
        <w:t xml:space="preserve"> etc. L’évaluation externe a aussi souligné</w:t>
      </w:r>
      <w:r w:rsidRPr="00F71EF2">
        <w:rPr>
          <w:lang w:val="fr-FR"/>
        </w:rPr>
        <w:t xml:space="preserve"> la nécessité d’harmoni</w:t>
      </w:r>
      <w:r w:rsidR="00D0439C" w:rsidRPr="00F71EF2">
        <w:rPr>
          <w:lang w:val="fr-FR"/>
        </w:rPr>
        <w:t>ser les approches</w:t>
      </w:r>
      <w:r w:rsidRPr="00F71EF2">
        <w:rPr>
          <w:lang w:val="fr-FR"/>
        </w:rPr>
        <w:t xml:space="preserve"> de tous les intervenants dans le domaine de la réinsertion afin de porter cette initiative des </w:t>
      </w:r>
      <w:r w:rsidR="000F202B">
        <w:rPr>
          <w:lang w:val="fr-FR"/>
        </w:rPr>
        <w:t>1000</w:t>
      </w:r>
      <w:r w:rsidRPr="00F71EF2">
        <w:rPr>
          <w:lang w:val="fr-FR"/>
        </w:rPr>
        <w:t xml:space="preserve"> microprojets à une échelle plus grande en ciblant les initiatives de réinsertion et </w:t>
      </w:r>
      <w:r w:rsidR="000F202B">
        <w:rPr>
          <w:lang w:val="fr-FR"/>
        </w:rPr>
        <w:t>de réhabilitation communautaire</w:t>
      </w:r>
      <w:r w:rsidRPr="00F71EF2">
        <w:rPr>
          <w:lang w:val="fr-FR"/>
        </w:rPr>
        <w:t>.</w:t>
      </w:r>
    </w:p>
    <w:p w:rsidR="00C97C0C" w:rsidRPr="00F71EF2" w:rsidRDefault="00D0439C" w:rsidP="0087539E">
      <w:pPr>
        <w:spacing w:line="276" w:lineRule="auto"/>
        <w:jc w:val="both"/>
        <w:rPr>
          <w:lang w:val="fr-FR"/>
        </w:rPr>
      </w:pPr>
      <w:r w:rsidRPr="00F71EF2">
        <w:rPr>
          <w:lang w:val="fr-FR"/>
        </w:rPr>
        <w:t xml:space="preserve">Les conclusions croisées de ces deux missions peuvent être résumées en </w:t>
      </w:r>
      <w:r w:rsidR="0087539E">
        <w:rPr>
          <w:lang w:val="fr-FR"/>
        </w:rPr>
        <w:t>cinq (5</w:t>
      </w:r>
      <w:r w:rsidRPr="00F71EF2">
        <w:rPr>
          <w:lang w:val="fr-FR"/>
        </w:rPr>
        <w:t>) points :</w:t>
      </w:r>
    </w:p>
    <w:p w:rsidR="00D0439C" w:rsidRPr="00F71EF2" w:rsidRDefault="00D0439C" w:rsidP="00F71EF2">
      <w:pPr>
        <w:numPr>
          <w:ilvl w:val="0"/>
          <w:numId w:val="6"/>
        </w:numPr>
        <w:spacing w:before="120" w:after="120" w:line="276" w:lineRule="auto"/>
        <w:jc w:val="both"/>
        <w:rPr>
          <w:lang w:val="fr-FR"/>
        </w:rPr>
      </w:pPr>
      <w:r w:rsidRPr="00F71EF2">
        <w:rPr>
          <w:lang w:val="fr-FR"/>
        </w:rPr>
        <w:t xml:space="preserve">Les 1000 microprojets ont démontré leur pertinence en comblant un vide lié au retard dans le démarrage effectif des projets de réinsertion financés par le budget national ou certains bailleurs de fonds internationaux.  </w:t>
      </w:r>
    </w:p>
    <w:p w:rsidR="00D0439C" w:rsidRPr="00F71EF2" w:rsidRDefault="00D0439C" w:rsidP="00F71EF2">
      <w:pPr>
        <w:numPr>
          <w:ilvl w:val="0"/>
          <w:numId w:val="6"/>
        </w:numPr>
        <w:spacing w:before="120" w:after="120" w:line="276" w:lineRule="auto"/>
        <w:jc w:val="both"/>
        <w:rPr>
          <w:lang w:val="fr-FR"/>
        </w:rPr>
      </w:pPr>
      <w:r w:rsidRPr="00F71EF2">
        <w:rPr>
          <w:lang w:val="fr-FR"/>
        </w:rPr>
        <w:t>Les 1000 microprojets ont démontré leur utilité comme plateforme de services dans le but d’assurer une sécurisation d’un processus électoral avant, pendant et après le scrutin présidentiel.</w:t>
      </w:r>
    </w:p>
    <w:p w:rsidR="00D0439C" w:rsidRPr="00F71EF2" w:rsidRDefault="00D0439C" w:rsidP="00F71EF2">
      <w:pPr>
        <w:numPr>
          <w:ilvl w:val="0"/>
          <w:numId w:val="6"/>
        </w:numPr>
        <w:spacing w:before="120" w:after="120" w:line="276" w:lineRule="auto"/>
        <w:jc w:val="both"/>
        <w:rPr>
          <w:lang w:val="fr-FR"/>
        </w:rPr>
      </w:pPr>
      <w:r w:rsidRPr="00F71EF2">
        <w:rPr>
          <w:lang w:val="fr-FR"/>
        </w:rPr>
        <w:t xml:space="preserve">Les 1000 microprojets sont complémentaires par rapport aux initiatives </w:t>
      </w:r>
      <w:r w:rsidR="00507F25">
        <w:rPr>
          <w:lang w:val="fr-FR"/>
        </w:rPr>
        <w:t>d’autres</w:t>
      </w:r>
      <w:r w:rsidR="00507F25" w:rsidRPr="00F71EF2">
        <w:rPr>
          <w:lang w:val="fr-FR"/>
        </w:rPr>
        <w:t xml:space="preserve"> </w:t>
      </w:r>
      <w:r w:rsidRPr="00F71EF2">
        <w:rPr>
          <w:lang w:val="fr-FR"/>
        </w:rPr>
        <w:t xml:space="preserve">bailleurs de fonds comme la Banque Mondiale et la Délégation de la Commission Européenne qui font de la réinsertion indirecte des jeunes à risque au moyen de formations dans des centres de formation professionnelles </w:t>
      </w:r>
      <w:r w:rsidR="00507F25">
        <w:rPr>
          <w:lang w:val="fr-FR"/>
        </w:rPr>
        <w:t>à</w:t>
      </w:r>
      <w:r w:rsidR="00507F25" w:rsidRPr="00F71EF2">
        <w:rPr>
          <w:lang w:val="fr-FR"/>
        </w:rPr>
        <w:t xml:space="preserve"> </w:t>
      </w:r>
      <w:r w:rsidRPr="00F71EF2">
        <w:rPr>
          <w:lang w:val="fr-FR"/>
        </w:rPr>
        <w:t>cycle court.</w:t>
      </w:r>
    </w:p>
    <w:p w:rsidR="00D0439C" w:rsidRPr="00F71EF2" w:rsidRDefault="00D0439C" w:rsidP="00F71EF2">
      <w:pPr>
        <w:numPr>
          <w:ilvl w:val="0"/>
          <w:numId w:val="6"/>
        </w:numPr>
        <w:spacing w:before="120" w:after="120" w:line="276" w:lineRule="auto"/>
        <w:jc w:val="both"/>
        <w:rPr>
          <w:lang w:val="fr-FR"/>
        </w:rPr>
      </w:pPr>
      <w:r w:rsidRPr="00F71EF2">
        <w:rPr>
          <w:lang w:val="fr-FR"/>
        </w:rPr>
        <w:t>Cependant, il reste que cette initiative</w:t>
      </w:r>
      <w:r w:rsidR="00583CF0" w:rsidRPr="00F71EF2">
        <w:rPr>
          <w:lang w:val="fr-FR"/>
        </w:rPr>
        <w:t>, bien que pertinente,</w:t>
      </w:r>
      <w:r w:rsidRPr="00F71EF2">
        <w:rPr>
          <w:lang w:val="fr-FR"/>
        </w:rPr>
        <w:t xml:space="preserve"> risquerait d’entrainer une plus grande pression sur l</w:t>
      </w:r>
      <w:r w:rsidR="00393873">
        <w:rPr>
          <w:lang w:val="fr-FR"/>
        </w:rPr>
        <w:t>es</w:t>
      </w:r>
      <w:r w:rsidRPr="00F71EF2">
        <w:rPr>
          <w:lang w:val="fr-FR"/>
        </w:rPr>
        <w:t xml:space="preserve"> Nations Unies </w:t>
      </w:r>
      <w:r w:rsidR="00583CF0" w:rsidRPr="00F71EF2">
        <w:rPr>
          <w:lang w:val="fr-FR"/>
        </w:rPr>
        <w:t>qui ne pourraient</w:t>
      </w:r>
      <w:r w:rsidRPr="00F71EF2">
        <w:rPr>
          <w:lang w:val="fr-FR"/>
        </w:rPr>
        <w:t xml:space="preserve"> pas faire face à elle</w:t>
      </w:r>
      <w:r w:rsidR="00583CF0" w:rsidRPr="00F71EF2">
        <w:rPr>
          <w:lang w:val="fr-FR"/>
        </w:rPr>
        <w:t>s</w:t>
      </w:r>
      <w:r w:rsidRPr="00F71EF2">
        <w:rPr>
          <w:lang w:val="fr-FR"/>
        </w:rPr>
        <w:t xml:space="preserve"> seule</w:t>
      </w:r>
      <w:r w:rsidR="00583CF0" w:rsidRPr="00F71EF2">
        <w:rPr>
          <w:lang w:val="fr-FR"/>
        </w:rPr>
        <w:t>s</w:t>
      </w:r>
      <w:r w:rsidRPr="00F71EF2">
        <w:rPr>
          <w:lang w:val="fr-FR"/>
        </w:rPr>
        <w:t xml:space="preserve"> à la demande grandissante des microprojets par rapport au financement disponible. </w:t>
      </w:r>
    </w:p>
    <w:p w:rsidR="00D0439C" w:rsidRDefault="00D0439C" w:rsidP="00F71EF2">
      <w:pPr>
        <w:numPr>
          <w:ilvl w:val="0"/>
          <w:numId w:val="6"/>
        </w:numPr>
        <w:spacing w:before="120" w:after="120" w:line="276" w:lineRule="auto"/>
        <w:jc w:val="both"/>
        <w:rPr>
          <w:lang w:val="fr-FR"/>
        </w:rPr>
      </w:pPr>
      <w:r w:rsidRPr="00F71EF2">
        <w:rPr>
          <w:lang w:val="fr-FR"/>
        </w:rPr>
        <w:t>Il faut donc que le PNUD, l’ONUCI et la partie nationale multiplie</w:t>
      </w:r>
      <w:r w:rsidR="00507F25">
        <w:rPr>
          <w:lang w:val="fr-FR"/>
        </w:rPr>
        <w:t>nt</w:t>
      </w:r>
      <w:r w:rsidRPr="00F71EF2">
        <w:rPr>
          <w:lang w:val="fr-FR"/>
        </w:rPr>
        <w:t xml:space="preserve"> les concertations avec les autres bailleurs de fonds/programme </w:t>
      </w:r>
      <w:r w:rsidR="00507F25">
        <w:rPr>
          <w:lang w:val="fr-FR"/>
        </w:rPr>
        <w:t>pour une</w:t>
      </w:r>
      <w:r w:rsidRPr="00F71EF2">
        <w:rPr>
          <w:lang w:val="fr-FR"/>
        </w:rPr>
        <w:t xml:space="preserve"> mobilisation rapide de ressources supp</w:t>
      </w:r>
      <w:r w:rsidR="00583CF0" w:rsidRPr="00F71EF2">
        <w:rPr>
          <w:lang w:val="fr-FR"/>
        </w:rPr>
        <w:t>lémentaires pour la réinsertion</w:t>
      </w:r>
      <w:r w:rsidRPr="00F71EF2">
        <w:rPr>
          <w:lang w:val="fr-FR"/>
        </w:rPr>
        <w:t xml:space="preserve"> d’un plus grand nombre d’ex-combattants et miliciens en Cote d’Ivoire.</w:t>
      </w:r>
    </w:p>
    <w:p w:rsidR="009869BF" w:rsidRPr="0045472B" w:rsidRDefault="00305BE3" w:rsidP="00D84307">
      <w:pPr>
        <w:pStyle w:val="BodyText"/>
        <w:numPr>
          <w:ilvl w:val="0"/>
          <w:numId w:val="4"/>
        </w:numPr>
        <w:spacing w:before="240" w:after="240" w:line="276" w:lineRule="auto"/>
        <w:jc w:val="both"/>
        <w:rPr>
          <w:rFonts w:ascii="Times New Roman" w:hAnsi="Times New Roman" w:cs="Times New Roman"/>
          <w:b/>
          <w:sz w:val="24"/>
          <w:szCs w:val="24"/>
          <w:lang w:val="fr-FR"/>
        </w:rPr>
      </w:pPr>
      <w:r w:rsidRPr="0045472B">
        <w:rPr>
          <w:rFonts w:ascii="Times New Roman" w:hAnsi="Times New Roman" w:cs="Times New Roman"/>
          <w:b/>
          <w:sz w:val="24"/>
          <w:szCs w:val="24"/>
          <w:lang w:val="fr-FR"/>
        </w:rPr>
        <w:t>Résultats</w:t>
      </w:r>
    </w:p>
    <w:p w:rsidR="00FB4D84" w:rsidRDefault="00BC5CBE" w:rsidP="00D84307">
      <w:pPr>
        <w:spacing w:before="240" w:after="240" w:line="276" w:lineRule="auto"/>
        <w:ind w:left="360"/>
        <w:jc w:val="both"/>
        <w:rPr>
          <w:b/>
          <w:bCs/>
          <w:i/>
          <w:iCs/>
          <w:color w:val="000000"/>
          <w:lang w:val="fr-FR"/>
        </w:rPr>
      </w:pPr>
      <w:r>
        <w:rPr>
          <w:b/>
          <w:bCs/>
          <w:i/>
          <w:iCs/>
          <w:color w:val="000000"/>
          <w:lang w:val="fr-FR"/>
        </w:rPr>
        <w:t xml:space="preserve">4.1. </w:t>
      </w:r>
      <w:r w:rsidR="00FB4D84">
        <w:rPr>
          <w:b/>
          <w:bCs/>
          <w:i/>
          <w:iCs/>
          <w:color w:val="000000"/>
          <w:lang w:val="fr-FR"/>
        </w:rPr>
        <w:t>Produits et effets</w:t>
      </w:r>
    </w:p>
    <w:p w:rsidR="009869BF" w:rsidRPr="00F71EF2" w:rsidRDefault="009869BF" w:rsidP="0045472B">
      <w:pPr>
        <w:spacing w:before="240" w:after="120" w:line="276" w:lineRule="auto"/>
        <w:jc w:val="both"/>
        <w:rPr>
          <w:b/>
          <w:color w:val="000000"/>
          <w:lang w:val="fr-FR"/>
        </w:rPr>
      </w:pPr>
      <w:r w:rsidRPr="00F71EF2">
        <w:rPr>
          <w:color w:val="000000"/>
          <w:lang w:val="fr-FR"/>
        </w:rPr>
        <w:t xml:space="preserve">Après un an et demi de mise en œuvre, les 1000 microprojets ont permis la réalisation de </w:t>
      </w:r>
      <w:r w:rsidR="0045472B">
        <w:rPr>
          <w:bCs/>
          <w:color w:val="000000"/>
          <w:lang w:val="fr-FR"/>
        </w:rPr>
        <w:t>539</w:t>
      </w:r>
      <w:r w:rsidRPr="00F71EF2">
        <w:rPr>
          <w:bCs/>
          <w:color w:val="000000"/>
          <w:lang w:val="fr-FR"/>
        </w:rPr>
        <w:t xml:space="preserve"> microprojets (MP)</w:t>
      </w:r>
      <w:r w:rsidR="0045472B">
        <w:rPr>
          <w:color w:val="000000"/>
          <w:lang w:val="fr-FR"/>
        </w:rPr>
        <w:t xml:space="preserve"> dont 530</w:t>
      </w:r>
      <w:r w:rsidRPr="00F71EF2">
        <w:rPr>
          <w:color w:val="000000"/>
          <w:lang w:val="fr-FR"/>
        </w:rPr>
        <w:t xml:space="preserve"> sont des projets de réinsertion</w:t>
      </w:r>
      <w:r w:rsidR="004167BE" w:rsidRPr="00F71EF2">
        <w:rPr>
          <w:color w:val="000000"/>
          <w:lang w:val="fr-FR"/>
        </w:rPr>
        <w:t xml:space="preserve"> </w:t>
      </w:r>
      <w:r w:rsidR="00507F25">
        <w:rPr>
          <w:color w:val="000000"/>
          <w:lang w:val="fr-FR"/>
        </w:rPr>
        <w:t xml:space="preserve">au profit de </w:t>
      </w:r>
      <w:r w:rsidR="004167BE" w:rsidRPr="00F71EF2">
        <w:rPr>
          <w:color w:val="000000"/>
          <w:lang w:val="fr-FR"/>
        </w:rPr>
        <w:t>2</w:t>
      </w:r>
      <w:r w:rsidR="0045472B">
        <w:rPr>
          <w:color w:val="000000"/>
          <w:lang w:val="fr-FR"/>
        </w:rPr>
        <w:t>847</w:t>
      </w:r>
      <w:r w:rsidR="004167BE" w:rsidRPr="00F71EF2">
        <w:rPr>
          <w:color w:val="000000"/>
          <w:lang w:val="fr-FR"/>
        </w:rPr>
        <w:t xml:space="preserve"> bénéficiaires</w:t>
      </w:r>
      <w:r w:rsidR="0045472B">
        <w:rPr>
          <w:color w:val="000000"/>
          <w:lang w:val="fr-FR"/>
        </w:rPr>
        <w:t xml:space="preserve"> et 9</w:t>
      </w:r>
      <w:r w:rsidRPr="00F71EF2">
        <w:rPr>
          <w:color w:val="000000"/>
          <w:lang w:val="fr-FR"/>
        </w:rPr>
        <w:t xml:space="preserve"> sont des projets de réhabilitation communautaire</w:t>
      </w:r>
      <w:r w:rsidR="004167BE" w:rsidRPr="00F71EF2">
        <w:rPr>
          <w:color w:val="000000"/>
          <w:lang w:val="fr-FR"/>
        </w:rPr>
        <w:t xml:space="preserve"> </w:t>
      </w:r>
      <w:r w:rsidR="00507F25">
        <w:rPr>
          <w:color w:val="000000"/>
          <w:lang w:val="fr-FR"/>
        </w:rPr>
        <w:t xml:space="preserve">au bénéfice de </w:t>
      </w:r>
      <w:r w:rsidR="0045472B">
        <w:rPr>
          <w:color w:val="000000"/>
          <w:lang w:val="fr-FR"/>
        </w:rPr>
        <w:t>873</w:t>
      </w:r>
      <w:r w:rsidR="004167BE" w:rsidRPr="00F71EF2">
        <w:rPr>
          <w:color w:val="000000"/>
          <w:lang w:val="fr-FR"/>
        </w:rPr>
        <w:t xml:space="preserve"> bénéficiaires</w:t>
      </w:r>
      <w:r w:rsidRPr="00F71EF2">
        <w:rPr>
          <w:color w:val="000000"/>
          <w:lang w:val="fr-FR"/>
        </w:rPr>
        <w:t>. Ainsi</w:t>
      </w:r>
      <w:r w:rsidR="00686889">
        <w:rPr>
          <w:color w:val="000000"/>
          <w:lang w:val="fr-FR"/>
        </w:rPr>
        <w:t>, le projet  a soutenu au total</w:t>
      </w:r>
      <w:r w:rsidRPr="00F71EF2">
        <w:rPr>
          <w:color w:val="000000"/>
          <w:lang w:val="fr-FR"/>
        </w:rPr>
        <w:t xml:space="preserve"> </w:t>
      </w:r>
      <w:r w:rsidR="0045472B">
        <w:rPr>
          <w:bCs/>
          <w:color w:val="000000"/>
          <w:lang w:val="fr-FR"/>
        </w:rPr>
        <w:t>3720</w:t>
      </w:r>
      <w:r w:rsidRPr="00F71EF2">
        <w:rPr>
          <w:bCs/>
          <w:color w:val="000000"/>
          <w:lang w:val="fr-FR"/>
        </w:rPr>
        <w:t xml:space="preserve"> bénéficiaires.</w:t>
      </w:r>
      <w:r w:rsidR="00D241F6" w:rsidRPr="00D241F6">
        <w:rPr>
          <w:lang w:val="fr-FR"/>
        </w:rPr>
        <w:t xml:space="preserve"> </w:t>
      </w:r>
      <w:r w:rsidR="00D241F6">
        <w:rPr>
          <w:lang w:val="fr-FR"/>
        </w:rPr>
        <w:t>Les statistiques sexo</w:t>
      </w:r>
      <w:r w:rsidR="009F456F">
        <w:rPr>
          <w:lang w:val="fr-FR"/>
        </w:rPr>
        <w:t>-</w:t>
      </w:r>
      <w:r w:rsidR="00D241F6">
        <w:rPr>
          <w:lang w:val="fr-FR"/>
        </w:rPr>
        <w:t>sp</w:t>
      </w:r>
      <w:r w:rsidR="009314E5">
        <w:rPr>
          <w:lang w:val="fr-FR"/>
        </w:rPr>
        <w:t>é</w:t>
      </w:r>
      <w:r w:rsidR="00D241F6">
        <w:rPr>
          <w:lang w:val="fr-FR"/>
        </w:rPr>
        <w:t>cifiques font état de 877 femmes et 2843 hommes, soit environ 24% de femmes pour l’ensemble des bénéficiaires du programme</w:t>
      </w:r>
      <w:r w:rsidR="00BC655F">
        <w:rPr>
          <w:lang w:val="fr-FR"/>
        </w:rPr>
        <w:t xml:space="preserve"> y compr</w:t>
      </w:r>
      <w:r w:rsidR="009314E5">
        <w:rPr>
          <w:lang w:val="fr-FR"/>
        </w:rPr>
        <w:t>is les projets communautaires.</w:t>
      </w:r>
    </w:p>
    <w:p w:rsidR="00F37FAF" w:rsidRPr="00F71EF2" w:rsidRDefault="0045472B" w:rsidP="00D241F6">
      <w:pPr>
        <w:spacing w:before="60" w:after="240" w:line="276" w:lineRule="auto"/>
        <w:jc w:val="both"/>
        <w:rPr>
          <w:lang w:val="fr-FR"/>
        </w:rPr>
      </w:pPr>
      <w:r>
        <w:rPr>
          <w:lang w:val="fr-FR"/>
        </w:rPr>
        <w:lastRenderedPageBreak/>
        <w:t>Les 3720</w:t>
      </w:r>
      <w:r w:rsidR="00F37FAF" w:rsidRPr="00F71EF2">
        <w:rPr>
          <w:lang w:val="fr-FR"/>
        </w:rPr>
        <w:t xml:space="preserve"> bénéficiaires sont encadrés sur le terrain par </w:t>
      </w:r>
      <w:r w:rsidR="00F37FAF" w:rsidRPr="00F71EF2">
        <w:rPr>
          <w:bCs/>
          <w:lang w:val="fr-FR"/>
        </w:rPr>
        <w:t>23 structures</w:t>
      </w:r>
      <w:r w:rsidR="00F37FAF" w:rsidRPr="00F71EF2">
        <w:rPr>
          <w:lang w:val="fr-FR"/>
        </w:rPr>
        <w:t xml:space="preserve"> dont 22 n</w:t>
      </w:r>
      <w:r w:rsidR="00686889">
        <w:rPr>
          <w:lang w:val="fr-FR"/>
        </w:rPr>
        <w:t>ationales et une internationale</w:t>
      </w:r>
      <w:r w:rsidR="00F37FAF" w:rsidRPr="00F71EF2">
        <w:rPr>
          <w:lang w:val="fr-FR"/>
        </w:rPr>
        <w:t xml:space="preserve"> (O</w:t>
      </w:r>
      <w:r w:rsidR="00AE31A4" w:rsidRPr="00F71EF2">
        <w:rPr>
          <w:lang w:val="fr-FR"/>
        </w:rPr>
        <w:t>IM</w:t>
      </w:r>
      <w:r w:rsidR="00F37FAF" w:rsidRPr="00F71EF2">
        <w:rPr>
          <w:lang w:val="fr-FR"/>
        </w:rPr>
        <w:t>).</w:t>
      </w:r>
      <w:r w:rsidR="00D241F6">
        <w:rPr>
          <w:lang w:val="fr-FR"/>
        </w:rPr>
        <w:t xml:space="preserve"> </w:t>
      </w:r>
    </w:p>
    <w:p w:rsidR="009869BF" w:rsidRPr="00F71EF2" w:rsidRDefault="00AE31A4" w:rsidP="00F71EF2">
      <w:pPr>
        <w:spacing w:after="240" w:line="276" w:lineRule="auto"/>
        <w:jc w:val="both"/>
        <w:rPr>
          <w:color w:val="000000"/>
          <w:lang w:val="fr-FR"/>
        </w:rPr>
      </w:pPr>
      <w:r w:rsidRPr="00F71EF2">
        <w:rPr>
          <w:color w:val="000000"/>
          <w:lang w:val="fr-FR"/>
        </w:rPr>
        <w:t xml:space="preserve">En répartissant par domaine d’activités génératrices de revenu, les </w:t>
      </w:r>
      <w:r w:rsidR="009869BF" w:rsidRPr="00F71EF2">
        <w:rPr>
          <w:color w:val="000000"/>
          <w:lang w:val="fr-FR"/>
        </w:rPr>
        <w:t>526 microprojets (MP) sont repartis comme</w:t>
      </w:r>
      <w:r w:rsidRPr="00F71EF2">
        <w:rPr>
          <w:color w:val="000000"/>
          <w:lang w:val="fr-FR"/>
        </w:rPr>
        <w:t xml:space="preserve"> suit</w:t>
      </w:r>
      <w:r w:rsidR="009869BF" w:rsidRPr="00F71EF2">
        <w:rPr>
          <w:color w:val="000000"/>
          <w:lang w:val="fr-FR"/>
        </w:rPr>
        <w:t>:</w:t>
      </w:r>
    </w:p>
    <w:p w:rsidR="00AE31A4" w:rsidRPr="00F71EF2" w:rsidRDefault="009869BF" w:rsidP="00F71EF2">
      <w:pPr>
        <w:numPr>
          <w:ilvl w:val="0"/>
          <w:numId w:val="10"/>
        </w:numPr>
        <w:spacing w:before="60" w:after="60" w:line="276" w:lineRule="auto"/>
        <w:jc w:val="both"/>
        <w:rPr>
          <w:color w:val="000000"/>
          <w:lang w:val="fr-FR"/>
        </w:rPr>
      </w:pPr>
      <w:r w:rsidRPr="00F71EF2">
        <w:rPr>
          <w:b/>
          <w:i/>
          <w:iCs/>
          <w:color w:val="000000"/>
          <w:u w:val="single"/>
          <w:lang w:val="fr-FR"/>
        </w:rPr>
        <w:t>Secteur primaire</w:t>
      </w:r>
      <w:r w:rsidRPr="00F71EF2">
        <w:rPr>
          <w:b/>
          <w:color w:val="000000"/>
          <w:lang w:val="fr-FR"/>
        </w:rPr>
        <w:t> :</w:t>
      </w:r>
      <w:r w:rsidR="00D241F6">
        <w:rPr>
          <w:color w:val="000000"/>
          <w:lang w:val="fr-FR"/>
        </w:rPr>
        <w:t xml:space="preserve"> 28 MP agricoles pour 554</w:t>
      </w:r>
      <w:r w:rsidRPr="00F71EF2">
        <w:rPr>
          <w:color w:val="000000"/>
          <w:lang w:val="fr-FR"/>
        </w:rPr>
        <w:t xml:space="preserve"> bénéficiaires</w:t>
      </w:r>
      <w:r w:rsidR="000039E9" w:rsidRPr="00F71EF2">
        <w:rPr>
          <w:color w:val="000000"/>
          <w:lang w:val="fr-FR"/>
        </w:rPr>
        <w:t xml:space="preserve">. </w:t>
      </w:r>
      <w:r w:rsidR="00D241F6">
        <w:rPr>
          <w:color w:val="000000"/>
          <w:lang w:val="fr-FR"/>
        </w:rPr>
        <w:t>98</w:t>
      </w:r>
      <w:r w:rsidRPr="00F71EF2">
        <w:rPr>
          <w:color w:val="000000"/>
          <w:lang w:val="fr-FR"/>
        </w:rPr>
        <w:t xml:space="preserve"> MP d’élevage</w:t>
      </w:r>
      <w:r w:rsidR="00C167D1" w:rsidRPr="00F71EF2">
        <w:rPr>
          <w:color w:val="000000"/>
          <w:lang w:val="fr-FR"/>
        </w:rPr>
        <w:t xml:space="preserve"> (aviculture, porciculture, ovins</w:t>
      </w:r>
      <w:r w:rsidRPr="00F71EF2">
        <w:rPr>
          <w:color w:val="000000"/>
          <w:lang w:val="fr-FR"/>
        </w:rPr>
        <w:t xml:space="preserve">, </w:t>
      </w:r>
      <w:r w:rsidR="00C167D1" w:rsidRPr="00F71EF2">
        <w:rPr>
          <w:color w:val="000000"/>
          <w:lang w:val="fr-FR"/>
        </w:rPr>
        <w:t xml:space="preserve">pisciculture, </w:t>
      </w:r>
      <w:r w:rsidR="00507F25">
        <w:rPr>
          <w:color w:val="000000"/>
          <w:lang w:val="fr-FR"/>
        </w:rPr>
        <w:t>au</w:t>
      </w:r>
      <w:r w:rsidR="00C167D1" w:rsidRPr="00F71EF2">
        <w:rPr>
          <w:color w:val="000000"/>
          <w:lang w:val="fr-FR"/>
        </w:rPr>
        <w:t>lacodiculture, cuniculture</w:t>
      </w:r>
      <w:r w:rsidR="00D241F6">
        <w:rPr>
          <w:color w:val="000000"/>
          <w:lang w:val="fr-FR"/>
        </w:rPr>
        <w:t>, etc.) pour 1010 bénéficiaires</w:t>
      </w:r>
      <w:r w:rsidR="0027342F" w:rsidRPr="00F71EF2">
        <w:rPr>
          <w:color w:val="000000"/>
          <w:lang w:val="fr-FR"/>
        </w:rPr>
        <w:t xml:space="preserve">, </w:t>
      </w:r>
      <w:r w:rsidR="000039E9" w:rsidRPr="00F71EF2">
        <w:rPr>
          <w:color w:val="000000"/>
          <w:lang w:val="fr-FR"/>
        </w:rPr>
        <w:t xml:space="preserve">2 </w:t>
      </w:r>
      <w:r w:rsidR="00C167D1" w:rsidRPr="00F71EF2">
        <w:rPr>
          <w:color w:val="000000"/>
          <w:lang w:val="fr-FR"/>
        </w:rPr>
        <w:t>MP</w:t>
      </w:r>
      <w:r w:rsidRPr="00F71EF2">
        <w:rPr>
          <w:color w:val="000000"/>
          <w:lang w:val="fr-FR"/>
        </w:rPr>
        <w:t xml:space="preserve"> </w:t>
      </w:r>
      <w:r w:rsidR="00AE31A4" w:rsidRPr="00F71EF2">
        <w:rPr>
          <w:color w:val="000000"/>
          <w:lang w:val="fr-FR"/>
        </w:rPr>
        <w:t xml:space="preserve">de </w:t>
      </w:r>
      <w:r w:rsidR="00C167D1" w:rsidRPr="00F71EF2">
        <w:rPr>
          <w:color w:val="000000"/>
          <w:lang w:val="fr-FR"/>
        </w:rPr>
        <w:t xml:space="preserve">développement d’activités de </w:t>
      </w:r>
      <w:r w:rsidR="00AE31A4" w:rsidRPr="00F71EF2">
        <w:rPr>
          <w:color w:val="000000"/>
          <w:lang w:val="fr-FR"/>
        </w:rPr>
        <w:t>pêche pour 43 bénéficiaires ;</w:t>
      </w:r>
    </w:p>
    <w:p w:rsidR="00AE31A4" w:rsidRPr="00F71EF2" w:rsidRDefault="009869BF" w:rsidP="00F71EF2">
      <w:pPr>
        <w:numPr>
          <w:ilvl w:val="0"/>
          <w:numId w:val="10"/>
        </w:numPr>
        <w:spacing w:before="60" w:after="60" w:line="276" w:lineRule="auto"/>
        <w:jc w:val="both"/>
        <w:rPr>
          <w:color w:val="000000"/>
          <w:lang w:val="fr-FR"/>
        </w:rPr>
      </w:pPr>
      <w:r w:rsidRPr="00F71EF2">
        <w:rPr>
          <w:b/>
          <w:i/>
          <w:iCs/>
          <w:color w:val="000000"/>
          <w:u w:val="single"/>
          <w:lang w:val="fr-FR"/>
        </w:rPr>
        <w:t>Secteur secondaire</w:t>
      </w:r>
      <w:r w:rsidRPr="00F71EF2">
        <w:rPr>
          <w:b/>
          <w:color w:val="000000"/>
          <w:lang w:val="fr-FR"/>
        </w:rPr>
        <w:t> :</w:t>
      </w:r>
      <w:r w:rsidR="00D241F6">
        <w:rPr>
          <w:color w:val="000000"/>
          <w:lang w:val="fr-FR"/>
        </w:rPr>
        <w:t xml:space="preserve"> 58</w:t>
      </w:r>
      <w:r w:rsidRPr="00F71EF2">
        <w:rPr>
          <w:color w:val="000000"/>
          <w:lang w:val="fr-FR"/>
        </w:rPr>
        <w:t xml:space="preserve"> MP industriels ou artisanaux (fabrication d’attiéké, de savons kabakourou, bijouterie, pêche artisanale, etc.) pour 1</w:t>
      </w:r>
      <w:r w:rsidR="00D241F6">
        <w:rPr>
          <w:color w:val="000000"/>
          <w:lang w:val="fr-FR"/>
        </w:rPr>
        <w:t>38</w:t>
      </w:r>
      <w:r w:rsidR="00AE31A4" w:rsidRPr="00F71EF2">
        <w:rPr>
          <w:color w:val="000000"/>
          <w:lang w:val="fr-FR"/>
        </w:rPr>
        <w:t xml:space="preserve"> bénéficiaires dont 31 femmes ;</w:t>
      </w:r>
    </w:p>
    <w:p w:rsidR="00AE31A4" w:rsidRPr="00F71EF2" w:rsidRDefault="009869BF" w:rsidP="00D241F6">
      <w:pPr>
        <w:numPr>
          <w:ilvl w:val="0"/>
          <w:numId w:val="10"/>
        </w:numPr>
        <w:spacing w:before="60" w:after="60" w:line="276" w:lineRule="auto"/>
        <w:jc w:val="both"/>
        <w:rPr>
          <w:color w:val="000000"/>
          <w:lang w:val="fr-FR"/>
        </w:rPr>
      </w:pPr>
      <w:r w:rsidRPr="00F71EF2">
        <w:rPr>
          <w:b/>
          <w:i/>
          <w:iCs/>
          <w:color w:val="000000"/>
          <w:u w:val="single"/>
          <w:lang w:val="fr-FR"/>
        </w:rPr>
        <w:t>Secteur tertiaire</w:t>
      </w:r>
      <w:r w:rsidRPr="00F71EF2">
        <w:rPr>
          <w:b/>
          <w:color w:val="000000"/>
          <w:lang w:val="fr-FR"/>
        </w:rPr>
        <w:t> :</w:t>
      </w:r>
      <w:r w:rsidR="00D241F6">
        <w:rPr>
          <w:color w:val="000000"/>
          <w:lang w:val="fr-FR"/>
        </w:rPr>
        <w:t xml:space="preserve"> 128 MP de commerce pour 566</w:t>
      </w:r>
      <w:r w:rsidRPr="00F71EF2">
        <w:rPr>
          <w:color w:val="000000"/>
          <w:lang w:val="fr-FR"/>
        </w:rPr>
        <w:t xml:space="preserve"> </w:t>
      </w:r>
      <w:r w:rsidR="007631C6" w:rsidRPr="00F71EF2">
        <w:rPr>
          <w:color w:val="000000"/>
          <w:lang w:val="fr-FR"/>
        </w:rPr>
        <w:t xml:space="preserve">bénéficiaires dont 121 femmes, </w:t>
      </w:r>
      <w:r w:rsidR="00D241F6">
        <w:rPr>
          <w:color w:val="000000"/>
          <w:lang w:val="fr-FR"/>
        </w:rPr>
        <w:t>215</w:t>
      </w:r>
      <w:r w:rsidRPr="00F71EF2">
        <w:rPr>
          <w:color w:val="000000"/>
          <w:lang w:val="fr-FR"/>
        </w:rPr>
        <w:t xml:space="preserve"> MP de service (plomberie, couture, électronique, électricité, mécanique auto, cabine téléphonique, station de lavage-auto, etc.) pour </w:t>
      </w:r>
      <w:r w:rsidR="00D241F6">
        <w:rPr>
          <w:color w:val="000000"/>
          <w:lang w:val="fr-FR"/>
        </w:rPr>
        <w:t>601 bénéficiaires dont 12</w:t>
      </w:r>
      <w:r w:rsidR="003C1F28">
        <w:rPr>
          <w:color w:val="000000"/>
          <w:lang w:val="fr-FR"/>
        </w:rPr>
        <w:t>6 femmes ;</w:t>
      </w:r>
    </w:p>
    <w:p w:rsidR="009869BF" w:rsidRPr="00F71EF2" w:rsidRDefault="00AE31A4" w:rsidP="00F71EF2">
      <w:pPr>
        <w:numPr>
          <w:ilvl w:val="0"/>
          <w:numId w:val="10"/>
        </w:numPr>
        <w:spacing w:before="60" w:line="276" w:lineRule="auto"/>
        <w:jc w:val="both"/>
        <w:rPr>
          <w:color w:val="000000"/>
          <w:lang w:val="fr-FR"/>
        </w:rPr>
      </w:pPr>
      <w:r w:rsidRPr="00F71EF2">
        <w:rPr>
          <w:b/>
          <w:bCs/>
          <w:i/>
          <w:iCs/>
          <w:color w:val="000000"/>
          <w:u w:val="single"/>
          <w:lang w:val="fr-FR"/>
        </w:rPr>
        <w:t>Domaine multisectoriel</w:t>
      </w:r>
      <w:r w:rsidRPr="00F71EF2">
        <w:rPr>
          <w:color w:val="000000"/>
          <w:lang w:val="fr-FR"/>
        </w:rPr>
        <w:t> :</w:t>
      </w:r>
      <w:r w:rsidR="00FB4D84">
        <w:rPr>
          <w:bCs/>
          <w:color w:val="000000"/>
          <w:lang w:val="fr-FR"/>
        </w:rPr>
        <w:t xml:space="preserve"> I</w:t>
      </w:r>
      <w:r w:rsidRPr="00F71EF2">
        <w:rPr>
          <w:bCs/>
          <w:color w:val="000000"/>
          <w:lang w:val="fr-FR"/>
        </w:rPr>
        <w:t xml:space="preserve">l s’agit de </w:t>
      </w:r>
      <w:r w:rsidR="00D241F6">
        <w:rPr>
          <w:color w:val="000000"/>
          <w:lang w:val="fr-FR"/>
        </w:rPr>
        <w:t>6</w:t>
      </w:r>
      <w:r w:rsidR="009869BF" w:rsidRPr="00F71EF2">
        <w:rPr>
          <w:color w:val="000000"/>
          <w:lang w:val="fr-FR"/>
        </w:rPr>
        <w:t xml:space="preserve"> MP relatifs à la fois à plus d’</w:t>
      </w:r>
      <w:r w:rsidR="00D241F6">
        <w:rPr>
          <w:color w:val="000000"/>
          <w:lang w:val="fr-FR"/>
        </w:rPr>
        <w:t>un secteur. Ces MP concernent 149 bénéficiaires dont 74</w:t>
      </w:r>
      <w:r w:rsidR="003C1F28">
        <w:rPr>
          <w:color w:val="000000"/>
          <w:lang w:val="fr-FR"/>
        </w:rPr>
        <w:t xml:space="preserve"> femmes ;</w:t>
      </w:r>
    </w:p>
    <w:p w:rsidR="00AE31A4" w:rsidRPr="00F71EF2" w:rsidRDefault="00AE31A4" w:rsidP="00F71EF2">
      <w:pPr>
        <w:numPr>
          <w:ilvl w:val="0"/>
          <w:numId w:val="10"/>
        </w:numPr>
        <w:spacing w:before="60" w:after="240" w:line="276" w:lineRule="auto"/>
        <w:jc w:val="both"/>
        <w:rPr>
          <w:color w:val="000000"/>
          <w:lang w:val="fr-FR"/>
        </w:rPr>
      </w:pPr>
      <w:r w:rsidRPr="00F71EF2">
        <w:rPr>
          <w:b/>
          <w:bCs/>
          <w:i/>
          <w:iCs/>
          <w:color w:val="000000"/>
          <w:u w:val="single"/>
          <w:lang w:val="fr-FR"/>
        </w:rPr>
        <w:t>Appui communautaire</w:t>
      </w:r>
      <w:r w:rsidRPr="00F71EF2">
        <w:rPr>
          <w:color w:val="000000"/>
          <w:lang w:val="fr-FR"/>
        </w:rPr>
        <w:t> :</w:t>
      </w:r>
      <w:r w:rsidR="00C167D1" w:rsidRPr="00F71EF2">
        <w:rPr>
          <w:color w:val="000000"/>
          <w:lang w:val="fr-FR"/>
        </w:rPr>
        <w:t xml:space="preserve"> </w:t>
      </w:r>
      <w:r w:rsidR="00D61329" w:rsidRPr="00F71EF2">
        <w:rPr>
          <w:color w:val="000000"/>
          <w:lang w:val="fr-FR"/>
        </w:rPr>
        <w:t xml:space="preserve">Afin de faciliter l’intégration des bénéficiaires dans les communautés d’accueil, </w:t>
      </w:r>
      <w:r w:rsidR="007E3FE2">
        <w:rPr>
          <w:color w:val="000000"/>
          <w:lang w:val="fr-FR"/>
        </w:rPr>
        <w:t>4</w:t>
      </w:r>
      <w:r w:rsidRPr="00F71EF2">
        <w:rPr>
          <w:color w:val="000000"/>
          <w:lang w:val="fr-FR"/>
        </w:rPr>
        <w:t xml:space="preserve"> MP de réhabilitation d’</w:t>
      </w:r>
      <w:r w:rsidR="007E3FE2">
        <w:rPr>
          <w:color w:val="000000"/>
          <w:lang w:val="fr-FR"/>
        </w:rPr>
        <w:t>infrastructures sociales pour 659 bénéficiaires dont 269</w:t>
      </w:r>
      <w:r w:rsidR="00D61329" w:rsidRPr="00F71EF2">
        <w:rPr>
          <w:color w:val="000000"/>
          <w:lang w:val="fr-FR"/>
        </w:rPr>
        <w:t xml:space="preserve"> femmes ont été réalisés.</w:t>
      </w:r>
    </w:p>
    <w:p w:rsidR="009869BF" w:rsidRPr="009314E5" w:rsidRDefault="009314E5" w:rsidP="00D241F6">
      <w:pPr>
        <w:spacing w:before="60" w:after="240" w:line="276" w:lineRule="auto"/>
        <w:jc w:val="both"/>
        <w:rPr>
          <w:lang w:val="fr-FR"/>
        </w:rPr>
      </w:pPr>
      <w:r w:rsidRPr="009314E5">
        <w:rPr>
          <w:lang w:val="fr-FR"/>
        </w:rPr>
        <w:t xml:space="preserve">Parmi les 3720 bénéficiaires directs des projets, on compte </w:t>
      </w:r>
      <w:r w:rsidRPr="009314E5">
        <w:rPr>
          <w:b/>
          <w:lang w:val="fr-FR"/>
        </w:rPr>
        <w:t xml:space="preserve">1152 ex-combattants </w:t>
      </w:r>
      <w:r w:rsidRPr="00B95FF0">
        <w:rPr>
          <w:lang w:val="fr-FR"/>
        </w:rPr>
        <w:t>(31%),</w:t>
      </w:r>
      <w:r w:rsidRPr="009314E5">
        <w:rPr>
          <w:lang w:val="fr-FR"/>
        </w:rPr>
        <w:t xml:space="preserve"> </w:t>
      </w:r>
      <w:r w:rsidRPr="009314E5">
        <w:rPr>
          <w:b/>
          <w:lang w:val="fr-FR"/>
        </w:rPr>
        <w:t>817 ex-membres des Groupes d’Auto-Défense</w:t>
      </w:r>
      <w:r w:rsidR="00ED24EC">
        <w:rPr>
          <w:b/>
          <w:lang w:val="fr-FR"/>
        </w:rPr>
        <w:t xml:space="preserve"> </w:t>
      </w:r>
      <w:r w:rsidRPr="009314E5">
        <w:rPr>
          <w:lang w:val="fr-FR"/>
        </w:rPr>
        <w:t xml:space="preserve">(22%), </w:t>
      </w:r>
      <w:r w:rsidRPr="009314E5">
        <w:rPr>
          <w:b/>
          <w:lang w:val="fr-FR"/>
        </w:rPr>
        <w:t xml:space="preserve">878 Jeunes à Risque </w:t>
      </w:r>
      <w:r w:rsidRPr="009314E5">
        <w:rPr>
          <w:lang w:val="fr-FR"/>
        </w:rPr>
        <w:t xml:space="preserve">(24%) et 873 membres de communautés (23%). </w:t>
      </w:r>
    </w:p>
    <w:p w:rsidR="00F82DB0" w:rsidRPr="002722B8" w:rsidRDefault="009869BF" w:rsidP="00F82DB0">
      <w:pPr>
        <w:spacing w:before="60" w:after="240" w:line="276" w:lineRule="auto"/>
        <w:jc w:val="both"/>
        <w:rPr>
          <w:color w:val="FF0000"/>
          <w:lang w:val="fr-FR"/>
        </w:rPr>
      </w:pPr>
      <w:r w:rsidRPr="00F71EF2">
        <w:rPr>
          <w:color w:val="000000"/>
          <w:lang w:val="fr-FR"/>
        </w:rPr>
        <w:t xml:space="preserve">Au 31 décembre 2009, </w:t>
      </w:r>
      <w:r w:rsidRPr="009C346B">
        <w:rPr>
          <w:b/>
          <w:bCs/>
          <w:color w:val="000000"/>
          <w:lang w:val="fr-FR"/>
        </w:rPr>
        <w:t xml:space="preserve">432 </w:t>
      </w:r>
      <w:r w:rsidRPr="009C346B">
        <w:rPr>
          <w:b/>
          <w:color w:val="000000"/>
          <w:lang w:val="fr-FR"/>
        </w:rPr>
        <w:t xml:space="preserve">microprojets ont </w:t>
      </w:r>
      <w:r w:rsidR="00BC655F" w:rsidRPr="009C346B">
        <w:rPr>
          <w:b/>
          <w:color w:val="000000"/>
          <w:lang w:val="fr-FR"/>
        </w:rPr>
        <w:t>atteint les trois mois d’ex</w:t>
      </w:r>
      <w:r w:rsidR="00512F20" w:rsidRPr="009C346B">
        <w:rPr>
          <w:b/>
          <w:color w:val="000000"/>
          <w:lang w:val="fr-FR"/>
        </w:rPr>
        <w:t>é</w:t>
      </w:r>
      <w:r w:rsidR="00BC655F" w:rsidRPr="009C346B">
        <w:rPr>
          <w:b/>
          <w:color w:val="000000"/>
          <w:lang w:val="fr-FR"/>
        </w:rPr>
        <w:t xml:space="preserve">cution </w:t>
      </w:r>
      <w:r w:rsidR="00512F20" w:rsidRPr="009C346B">
        <w:rPr>
          <w:b/>
          <w:color w:val="000000"/>
          <w:lang w:val="fr-FR"/>
        </w:rPr>
        <w:t>prévus</w:t>
      </w:r>
      <w:r w:rsidR="00BC655F" w:rsidRPr="00512F20">
        <w:rPr>
          <w:color w:val="000000"/>
          <w:lang w:val="fr-FR"/>
        </w:rPr>
        <w:t xml:space="preserve"> mais continuent </w:t>
      </w:r>
      <w:r w:rsidR="00BC655F" w:rsidRPr="002722B8">
        <w:rPr>
          <w:color w:val="000000"/>
          <w:lang w:val="fr-FR"/>
        </w:rPr>
        <w:t>d’</w:t>
      </w:r>
      <w:r w:rsidR="00512F20" w:rsidRPr="002722B8">
        <w:rPr>
          <w:color w:val="000000"/>
          <w:lang w:val="fr-FR"/>
        </w:rPr>
        <w:t>ê</w:t>
      </w:r>
      <w:r w:rsidR="00BC655F" w:rsidRPr="002722B8">
        <w:rPr>
          <w:color w:val="000000"/>
          <w:lang w:val="fr-FR"/>
        </w:rPr>
        <w:t>tre suivis dans le cadre de la p</w:t>
      </w:r>
      <w:r w:rsidR="00512F20" w:rsidRPr="002722B8">
        <w:rPr>
          <w:color w:val="000000"/>
          <w:lang w:val="fr-FR"/>
        </w:rPr>
        <w:t>é</w:t>
      </w:r>
      <w:r w:rsidR="00BC655F" w:rsidRPr="002722B8">
        <w:rPr>
          <w:color w:val="000000"/>
          <w:lang w:val="fr-FR"/>
        </w:rPr>
        <w:t xml:space="preserve">rennisation. </w:t>
      </w:r>
      <w:r w:rsidRPr="002722B8">
        <w:rPr>
          <w:b/>
          <w:bCs/>
          <w:color w:val="000000"/>
          <w:lang w:val="fr-FR"/>
        </w:rPr>
        <w:t>94</w:t>
      </w:r>
      <w:r w:rsidR="007631C6" w:rsidRPr="002722B8">
        <w:rPr>
          <w:b/>
          <w:bCs/>
          <w:color w:val="000000"/>
          <w:lang w:val="fr-FR"/>
        </w:rPr>
        <w:t xml:space="preserve"> projets </w:t>
      </w:r>
      <w:r w:rsidRPr="002722B8">
        <w:rPr>
          <w:b/>
          <w:bCs/>
          <w:color w:val="000000"/>
          <w:lang w:val="fr-FR"/>
        </w:rPr>
        <w:t xml:space="preserve"> </w:t>
      </w:r>
      <w:r w:rsidRPr="002722B8">
        <w:rPr>
          <w:b/>
          <w:color w:val="000000"/>
          <w:lang w:val="fr-FR"/>
        </w:rPr>
        <w:t xml:space="preserve">sont en </w:t>
      </w:r>
      <w:r w:rsidR="00BC655F" w:rsidRPr="002722B8">
        <w:rPr>
          <w:b/>
          <w:color w:val="000000"/>
          <w:lang w:val="fr-FR"/>
        </w:rPr>
        <w:t xml:space="preserve">cours </w:t>
      </w:r>
      <w:r w:rsidRPr="002722B8">
        <w:rPr>
          <w:b/>
          <w:color w:val="000000"/>
          <w:lang w:val="fr-FR"/>
        </w:rPr>
        <w:t>d’exécution</w:t>
      </w:r>
      <w:r w:rsidRPr="002722B8">
        <w:rPr>
          <w:color w:val="000000"/>
          <w:lang w:val="fr-FR"/>
        </w:rPr>
        <w:t xml:space="preserve">. </w:t>
      </w:r>
    </w:p>
    <w:p w:rsidR="009A5A1D" w:rsidRPr="001E2C85" w:rsidRDefault="003C1F28" w:rsidP="003C1F28">
      <w:pPr>
        <w:spacing w:after="240" w:line="276" w:lineRule="auto"/>
        <w:jc w:val="both"/>
        <w:rPr>
          <w:color w:val="000000"/>
          <w:lang w:val="fr-FR"/>
        </w:rPr>
      </w:pPr>
      <w:r w:rsidRPr="001E2C85">
        <w:rPr>
          <w:color w:val="000000"/>
          <w:lang w:val="fr-FR"/>
        </w:rPr>
        <w:t xml:space="preserve">Dans le cadre du renforcement des capacités nationales, le programme a contribué au développement de plusieurs partenariats stratégiques et opérationnels. C’est ainsi qu’en contractant avec 22 structures nationales, le programme a permis de renforcer les capacités à la base. </w:t>
      </w:r>
      <w:r w:rsidR="009A5A1D" w:rsidRPr="001E2C85">
        <w:rPr>
          <w:color w:val="000000"/>
          <w:lang w:val="fr-FR"/>
        </w:rPr>
        <w:t xml:space="preserve">Géographiquement, les </w:t>
      </w:r>
      <w:r w:rsidR="009A5A1D" w:rsidRPr="001E2C85">
        <w:rPr>
          <w:bCs/>
          <w:color w:val="000000"/>
          <w:lang w:val="fr-FR"/>
        </w:rPr>
        <w:t>22 structures nationales</w:t>
      </w:r>
      <w:r w:rsidR="009A5A1D" w:rsidRPr="001E2C85">
        <w:rPr>
          <w:color w:val="000000"/>
          <w:lang w:val="fr-FR"/>
        </w:rPr>
        <w:t xml:space="preserve"> de mise en œuvre sont : </w:t>
      </w:r>
    </w:p>
    <w:p w:rsidR="009A5A1D" w:rsidRPr="00B95FF0" w:rsidRDefault="009A5A1D" w:rsidP="009A5A1D">
      <w:pPr>
        <w:numPr>
          <w:ilvl w:val="0"/>
          <w:numId w:val="16"/>
        </w:numPr>
        <w:spacing w:line="276" w:lineRule="auto"/>
        <w:jc w:val="both"/>
        <w:rPr>
          <w:lang w:val="fr-FR"/>
        </w:rPr>
      </w:pPr>
      <w:r w:rsidRPr="00B95FF0">
        <w:rPr>
          <w:color w:val="000000"/>
          <w:lang w:val="fr-FR"/>
        </w:rPr>
        <w:t>Opportunities Industrialisation Center/ Section Côte d’Ivoire (OIC-CI) à Bouaké</w:t>
      </w:r>
      <w:r w:rsidR="00172046" w:rsidRPr="00B95FF0">
        <w:rPr>
          <w:color w:val="000000"/>
          <w:lang w:val="fr-FR"/>
        </w:rPr>
        <w:t> ;</w:t>
      </w:r>
      <w:r w:rsidRPr="00B95FF0">
        <w:rPr>
          <w:color w:val="000000"/>
          <w:lang w:val="fr-FR"/>
        </w:rPr>
        <w:t xml:space="preserve"> </w:t>
      </w:r>
    </w:p>
    <w:p w:rsidR="009A5A1D" w:rsidRPr="00B95FF0" w:rsidRDefault="009A5A1D" w:rsidP="009A5A1D">
      <w:pPr>
        <w:numPr>
          <w:ilvl w:val="0"/>
          <w:numId w:val="16"/>
        </w:numPr>
        <w:spacing w:line="276" w:lineRule="auto"/>
        <w:jc w:val="both"/>
        <w:rPr>
          <w:lang w:val="fr-FR"/>
        </w:rPr>
      </w:pPr>
      <w:r w:rsidRPr="00B95FF0">
        <w:rPr>
          <w:color w:val="000000"/>
          <w:lang w:val="fr-FR"/>
        </w:rPr>
        <w:t>Le Programme National de Réinsertion et de Réhabilitation Communautaire (PNRRC)</w:t>
      </w:r>
      <w:r w:rsidR="00172046" w:rsidRPr="00B95FF0">
        <w:rPr>
          <w:color w:val="000000"/>
          <w:lang w:val="fr-FR"/>
        </w:rPr>
        <w:t> ;</w:t>
      </w:r>
    </w:p>
    <w:p w:rsidR="009A5A1D" w:rsidRPr="00B95FF0" w:rsidRDefault="009A5A1D" w:rsidP="009A5A1D">
      <w:pPr>
        <w:numPr>
          <w:ilvl w:val="0"/>
          <w:numId w:val="16"/>
        </w:numPr>
        <w:spacing w:line="276" w:lineRule="auto"/>
        <w:jc w:val="both"/>
        <w:rPr>
          <w:lang w:val="fr-FR"/>
        </w:rPr>
      </w:pPr>
      <w:r w:rsidRPr="00B95FF0">
        <w:rPr>
          <w:color w:val="000000"/>
          <w:lang w:val="fr-FR"/>
        </w:rPr>
        <w:t>L’Agence Nationale d’Appui au Développement Rural-Zone de Bouaké (ANADER Bouaké)</w:t>
      </w:r>
      <w:r w:rsidR="00172046" w:rsidRPr="00B95FF0">
        <w:rPr>
          <w:color w:val="000000"/>
          <w:lang w:val="fr-FR"/>
        </w:rPr>
        <w:t> ;</w:t>
      </w:r>
      <w:r w:rsidRPr="00B95FF0">
        <w:rPr>
          <w:color w:val="000000"/>
          <w:lang w:val="fr-FR"/>
        </w:rPr>
        <w:t xml:space="preserve"> </w:t>
      </w:r>
    </w:p>
    <w:p w:rsidR="00172046" w:rsidRPr="00B95FF0" w:rsidRDefault="009A5A1D" w:rsidP="009A5A1D">
      <w:pPr>
        <w:numPr>
          <w:ilvl w:val="0"/>
          <w:numId w:val="16"/>
        </w:numPr>
        <w:spacing w:line="276" w:lineRule="auto"/>
        <w:jc w:val="both"/>
        <w:rPr>
          <w:lang w:val="fr-FR"/>
        </w:rPr>
      </w:pPr>
      <w:r w:rsidRPr="00B95FF0">
        <w:rPr>
          <w:color w:val="000000"/>
          <w:lang w:val="fr-FR"/>
        </w:rPr>
        <w:t>L’Institut des Actions Culturelles de Côte d’Ivoire (ICA-CI)</w:t>
      </w:r>
      <w:r w:rsidR="00172046" w:rsidRPr="00B95FF0">
        <w:rPr>
          <w:color w:val="000000"/>
          <w:lang w:val="fr-FR"/>
        </w:rPr>
        <w:t> ;</w:t>
      </w:r>
    </w:p>
    <w:p w:rsidR="009A5A1D" w:rsidRPr="00B95FF0" w:rsidRDefault="009A5A1D" w:rsidP="009A5A1D">
      <w:pPr>
        <w:numPr>
          <w:ilvl w:val="0"/>
          <w:numId w:val="16"/>
        </w:numPr>
        <w:spacing w:line="276" w:lineRule="auto"/>
        <w:jc w:val="both"/>
        <w:rPr>
          <w:lang w:val="fr-FR"/>
        </w:rPr>
      </w:pPr>
      <w:r w:rsidRPr="00B95FF0">
        <w:rPr>
          <w:color w:val="000000"/>
          <w:lang w:val="fr-FR"/>
        </w:rPr>
        <w:t xml:space="preserve">Cabinet NASSAIB à Bouaké ; </w:t>
      </w:r>
    </w:p>
    <w:p w:rsidR="009A5A1D" w:rsidRPr="00B95FF0" w:rsidRDefault="009A5A1D" w:rsidP="009A5A1D">
      <w:pPr>
        <w:numPr>
          <w:ilvl w:val="0"/>
          <w:numId w:val="16"/>
        </w:numPr>
        <w:spacing w:line="276" w:lineRule="auto"/>
        <w:jc w:val="both"/>
        <w:rPr>
          <w:lang w:val="fr-FR"/>
        </w:rPr>
      </w:pPr>
      <w:r w:rsidRPr="00B95FF0">
        <w:rPr>
          <w:color w:val="000000"/>
          <w:lang w:val="fr-FR"/>
        </w:rPr>
        <w:t>La Coopérative Worodougouka de Séguéla (CWS) à Séguéla</w:t>
      </w:r>
      <w:r w:rsidR="00172046" w:rsidRPr="00B95FF0">
        <w:rPr>
          <w:color w:val="000000"/>
          <w:lang w:val="fr-FR"/>
        </w:rPr>
        <w:t> ;</w:t>
      </w:r>
      <w:r w:rsidRPr="00B95FF0">
        <w:rPr>
          <w:color w:val="000000"/>
          <w:lang w:val="fr-FR"/>
        </w:rPr>
        <w:t xml:space="preserve"> </w:t>
      </w:r>
    </w:p>
    <w:p w:rsidR="009A5A1D" w:rsidRPr="00B95FF0" w:rsidRDefault="009A5A1D" w:rsidP="009A5A1D">
      <w:pPr>
        <w:numPr>
          <w:ilvl w:val="0"/>
          <w:numId w:val="16"/>
        </w:numPr>
        <w:spacing w:line="276" w:lineRule="auto"/>
        <w:jc w:val="both"/>
        <w:rPr>
          <w:lang w:val="fr-FR"/>
        </w:rPr>
      </w:pPr>
      <w:r w:rsidRPr="00B95FF0">
        <w:rPr>
          <w:color w:val="000000"/>
          <w:lang w:val="fr-FR"/>
        </w:rPr>
        <w:t>L’Association pour le Développement et la Renaissance (ADR) à Guiglo</w:t>
      </w:r>
      <w:r w:rsidR="00172046" w:rsidRPr="00B95FF0">
        <w:rPr>
          <w:color w:val="000000"/>
          <w:lang w:val="fr-FR"/>
        </w:rPr>
        <w:t> ;</w:t>
      </w:r>
      <w:r w:rsidRPr="00B95FF0">
        <w:rPr>
          <w:color w:val="000000"/>
          <w:lang w:val="fr-FR"/>
        </w:rPr>
        <w:t xml:space="preserve"> </w:t>
      </w:r>
    </w:p>
    <w:p w:rsidR="009A5A1D" w:rsidRPr="00B95FF0" w:rsidRDefault="009A5A1D" w:rsidP="009A5A1D">
      <w:pPr>
        <w:numPr>
          <w:ilvl w:val="0"/>
          <w:numId w:val="16"/>
        </w:numPr>
        <w:spacing w:line="276" w:lineRule="auto"/>
        <w:jc w:val="both"/>
        <w:rPr>
          <w:lang w:val="fr-FR"/>
        </w:rPr>
      </w:pPr>
      <w:r w:rsidRPr="00B95FF0">
        <w:rPr>
          <w:color w:val="000000"/>
          <w:lang w:val="fr-FR"/>
        </w:rPr>
        <w:t>Cabinet KS Consultant à San Pedro</w:t>
      </w:r>
      <w:r w:rsidR="00172046" w:rsidRPr="00B95FF0">
        <w:rPr>
          <w:color w:val="000000"/>
          <w:lang w:val="fr-FR"/>
        </w:rPr>
        <w:t> ;</w:t>
      </w:r>
      <w:r w:rsidRPr="00B95FF0">
        <w:rPr>
          <w:color w:val="000000"/>
          <w:lang w:val="fr-FR"/>
        </w:rPr>
        <w:t xml:space="preserve"> </w:t>
      </w:r>
    </w:p>
    <w:p w:rsidR="009A5A1D" w:rsidRPr="00B95FF0" w:rsidRDefault="009A5A1D" w:rsidP="009A5A1D">
      <w:pPr>
        <w:numPr>
          <w:ilvl w:val="0"/>
          <w:numId w:val="16"/>
        </w:numPr>
        <w:spacing w:line="276" w:lineRule="auto"/>
        <w:jc w:val="both"/>
        <w:rPr>
          <w:lang w:val="fr-FR"/>
        </w:rPr>
      </w:pPr>
      <w:r w:rsidRPr="00B95FF0">
        <w:rPr>
          <w:color w:val="000000"/>
          <w:lang w:val="fr-FR"/>
        </w:rPr>
        <w:t xml:space="preserve">Afrique Secours et Assistance (ASA), et l’ONG CALAO ESPOIR à Tabou ; </w:t>
      </w:r>
    </w:p>
    <w:p w:rsidR="009A5A1D" w:rsidRPr="00B95FF0" w:rsidRDefault="009A5A1D" w:rsidP="009A5A1D">
      <w:pPr>
        <w:numPr>
          <w:ilvl w:val="0"/>
          <w:numId w:val="16"/>
        </w:numPr>
        <w:spacing w:line="276" w:lineRule="auto"/>
        <w:jc w:val="both"/>
        <w:rPr>
          <w:lang w:val="fr-FR"/>
        </w:rPr>
      </w:pPr>
      <w:r w:rsidRPr="00B95FF0">
        <w:rPr>
          <w:color w:val="000000"/>
          <w:lang w:val="fr-FR"/>
        </w:rPr>
        <w:t>L’Agence Nationale de la Formation Professionnelle (AGEFOP) à Abidjan</w:t>
      </w:r>
      <w:r w:rsidR="00172046" w:rsidRPr="00B95FF0">
        <w:rPr>
          <w:color w:val="000000"/>
          <w:lang w:val="fr-FR"/>
        </w:rPr>
        <w:t> ;</w:t>
      </w:r>
      <w:r w:rsidRPr="00B95FF0">
        <w:rPr>
          <w:color w:val="000000"/>
          <w:lang w:val="fr-FR"/>
        </w:rPr>
        <w:t xml:space="preserve"> </w:t>
      </w:r>
    </w:p>
    <w:p w:rsidR="009A5A1D" w:rsidRPr="00B95FF0" w:rsidRDefault="009A5A1D" w:rsidP="009A5A1D">
      <w:pPr>
        <w:numPr>
          <w:ilvl w:val="0"/>
          <w:numId w:val="16"/>
        </w:numPr>
        <w:spacing w:line="276" w:lineRule="auto"/>
        <w:jc w:val="both"/>
        <w:rPr>
          <w:lang w:val="fr-FR"/>
        </w:rPr>
      </w:pPr>
      <w:r w:rsidRPr="00B95FF0">
        <w:rPr>
          <w:color w:val="000000"/>
          <w:lang w:val="fr-FR"/>
        </w:rPr>
        <w:lastRenderedPageBreak/>
        <w:t>La Coopérative de Vivriers de Daloa (COCOVIDA)</w:t>
      </w:r>
      <w:r w:rsidR="00172046" w:rsidRPr="00B95FF0">
        <w:rPr>
          <w:color w:val="000000"/>
          <w:lang w:val="fr-FR"/>
        </w:rPr>
        <w:t xml:space="preserve"> à Daloa ;</w:t>
      </w:r>
      <w:r w:rsidRPr="00B95FF0">
        <w:rPr>
          <w:color w:val="000000"/>
          <w:lang w:val="fr-FR"/>
        </w:rPr>
        <w:t xml:space="preserve"> </w:t>
      </w:r>
    </w:p>
    <w:p w:rsidR="00172046" w:rsidRPr="00B95FF0" w:rsidRDefault="00172046" w:rsidP="009A5A1D">
      <w:pPr>
        <w:numPr>
          <w:ilvl w:val="0"/>
          <w:numId w:val="16"/>
        </w:numPr>
        <w:spacing w:line="276" w:lineRule="auto"/>
        <w:jc w:val="both"/>
        <w:rPr>
          <w:lang w:val="fr-FR"/>
        </w:rPr>
      </w:pPr>
      <w:r w:rsidRPr="00B95FF0">
        <w:rPr>
          <w:color w:val="000000"/>
          <w:lang w:val="fr-FR"/>
        </w:rPr>
        <w:t>L’Office de Commercialisation des Produits Vivriers (OCPV) à Daloa ;</w:t>
      </w:r>
    </w:p>
    <w:p w:rsidR="009A5A1D" w:rsidRPr="00B95FF0" w:rsidRDefault="009A5A1D" w:rsidP="009A5A1D">
      <w:pPr>
        <w:numPr>
          <w:ilvl w:val="0"/>
          <w:numId w:val="16"/>
        </w:numPr>
        <w:spacing w:line="276" w:lineRule="auto"/>
        <w:jc w:val="both"/>
        <w:rPr>
          <w:lang w:val="fr-FR"/>
        </w:rPr>
      </w:pPr>
      <w:r w:rsidRPr="00B95FF0">
        <w:rPr>
          <w:color w:val="000000"/>
          <w:lang w:val="fr-FR"/>
        </w:rPr>
        <w:t>ANADER Daloa</w:t>
      </w:r>
      <w:r w:rsidR="00172046" w:rsidRPr="00B95FF0">
        <w:rPr>
          <w:color w:val="000000"/>
          <w:lang w:val="fr-FR"/>
        </w:rPr>
        <w:t> ;</w:t>
      </w:r>
    </w:p>
    <w:p w:rsidR="009A5A1D" w:rsidRPr="00B95FF0" w:rsidRDefault="009A5A1D" w:rsidP="009A5A1D">
      <w:pPr>
        <w:numPr>
          <w:ilvl w:val="0"/>
          <w:numId w:val="16"/>
        </w:numPr>
        <w:spacing w:line="276" w:lineRule="auto"/>
        <w:jc w:val="both"/>
        <w:rPr>
          <w:lang w:val="fr-FR"/>
        </w:rPr>
      </w:pPr>
      <w:r w:rsidRPr="00B95FF0">
        <w:rPr>
          <w:color w:val="000000"/>
          <w:lang w:val="fr-FR"/>
        </w:rPr>
        <w:t xml:space="preserve">ANADER Issia ; </w:t>
      </w:r>
    </w:p>
    <w:p w:rsidR="00172046" w:rsidRPr="00B95FF0" w:rsidRDefault="00172046" w:rsidP="00172046">
      <w:pPr>
        <w:numPr>
          <w:ilvl w:val="0"/>
          <w:numId w:val="16"/>
        </w:numPr>
        <w:spacing w:line="276" w:lineRule="auto"/>
        <w:jc w:val="both"/>
        <w:rPr>
          <w:lang w:val="fr-FR"/>
        </w:rPr>
      </w:pPr>
      <w:r w:rsidRPr="00B95FF0">
        <w:rPr>
          <w:color w:val="000000"/>
          <w:lang w:val="fr-FR"/>
        </w:rPr>
        <w:t xml:space="preserve">ANADER Bouaké ; </w:t>
      </w:r>
    </w:p>
    <w:p w:rsidR="00172046" w:rsidRPr="00B95FF0" w:rsidRDefault="00172046" w:rsidP="00172046">
      <w:pPr>
        <w:numPr>
          <w:ilvl w:val="0"/>
          <w:numId w:val="16"/>
        </w:numPr>
        <w:spacing w:line="276" w:lineRule="auto"/>
        <w:jc w:val="both"/>
        <w:rPr>
          <w:lang w:val="fr-FR"/>
        </w:rPr>
      </w:pPr>
      <w:r w:rsidRPr="00B95FF0">
        <w:rPr>
          <w:color w:val="000000"/>
          <w:lang w:val="fr-FR"/>
        </w:rPr>
        <w:t>ANADER Lakota ;</w:t>
      </w:r>
    </w:p>
    <w:p w:rsidR="00172046" w:rsidRPr="00B95FF0" w:rsidRDefault="00172046" w:rsidP="009A5A1D">
      <w:pPr>
        <w:numPr>
          <w:ilvl w:val="0"/>
          <w:numId w:val="16"/>
        </w:numPr>
        <w:spacing w:line="276" w:lineRule="auto"/>
        <w:jc w:val="both"/>
        <w:rPr>
          <w:lang w:val="fr-FR"/>
        </w:rPr>
      </w:pPr>
      <w:r w:rsidRPr="00B95FF0">
        <w:rPr>
          <w:color w:val="000000"/>
          <w:lang w:val="fr-FR"/>
        </w:rPr>
        <w:t xml:space="preserve">ANADER Bondoukou ; </w:t>
      </w:r>
    </w:p>
    <w:p w:rsidR="009A5A1D" w:rsidRPr="00E5213F" w:rsidRDefault="009A5A1D" w:rsidP="009A5A1D">
      <w:pPr>
        <w:numPr>
          <w:ilvl w:val="0"/>
          <w:numId w:val="16"/>
        </w:numPr>
        <w:spacing w:line="276" w:lineRule="auto"/>
        <w:jc w:val="both"/>
        <w:rPr>
          <w:lang w:val="fr-FR"/>
        </w:rPr>
      </w:pPr>
      <w:r>
        <w:rPr>
          <w:color w:val="000000"/>
          <w:lang w:val="fr-FR"/>
        </w:rPr>
        <w:t>L</w:t>
      </w:r>
      <w:r w:rsidRPr="00E5213F">
        <w:rPr>
          <w:color w:val="000000"/>
          <w:lang w:val="fr-FR"/>
        </w:rPr>
        <w:t xml:space="preserve">a </w:t>
      </w:r>
      <w:r w:rsidRPr="00E5213F">
        <w:rPr>
          <w:lang w:val="fr-FR"/>
        </w:rPr>
        <w:t>Société de Commerce en Agriculture et Marchandises diverses (SCAM)</w:t>
      </w:r>
      <w:r w:rsidRPr="00E5213F">
        <w:rPr>
          <w:color w:val="000000"/>
          <w:lang w:val="fr-FR"/>
        </w:rPr>
        <w:t xml:space="preserve"> à Danané ;  </w:t>
      </w:r>
    </w:p>
    <w:p w:rsidR="009A5A1D" w:rsidRPr="00172046" w:rsidRDefault="009A5A1D" w:rsidP="00172046">
      <w:pPr>
        <w:numPr>
          <w:ilvl w:val="0"/>
          <w:numId w:val="16"/>
        </w:numPr>
        <w:spacing w:line="276" w:lineRule="auto"/>
        <w:jc w:val="both"/>
        <w:rPr>
          <w:lang w:val="fr-FR"/>
        </w:rPr>
      </w:pPr>
      <w:r w:rsidRPr="00172046">
        <w:rPr>
          <w:color w:val="000000"/>
          <w:lang w:val="fr-FR"/>
        </w:rPr>
        <w:t xml:space="preserve">L’ONG International Friendship Services (IFS) à Man ; </w:t>
      </w:r>
    </w:p>
    <w:p w:rsidR="009A5A1D" w:rsidRPr="00E5213F" w:rsidRDefault="009A5A1D" w:rsidP="009A5A1D">
      <w:pPr>
        <w:numPr>
          <w:ilvl w:val="0"/>
          <w:numId w:val="16"/>
        </w:numPr>
        <w:spacing w:line="276" w:lineRule="auto"/>
        <w:jc w:val="both"/>
        <w:rPr>
          <w:lang w:val="fr-FR"/>
        </w:rPr>
      </w:pPr>
      <w:r>
        <w:rPr>
          <w:color w:val="000000"/>
          <w:lang w:val="fr-FR"/>
        </w:rPr>
        <w:t>L</w:t>
      </w:r>
      <w:r w:rsidRPr="00E5213F">
        <w:rPr>
          <w:color w:val="000000"/>
          <w:lang w:val="fr-FR"/>
        </w:rPr>
        <w:t xml:space="preserve">’ONG AGIR à Ferkessédougou ; </w:t>
      </w:r>
    </w:p>
    <w:p w:rsidR="009A5A1D" w:rsidRPr="00E5213F" w:rsidRDefault="009A5A1D" w:rsidP="009A5A1D">
      <w:pPr>
        <w:numPr>
          <w:ilvl w:val="0"/>
          <w:numId w:val="16"/>
        </w:numPr>
        <w:spacing w:line="276" w:lineRule="auto"/>
        <w:jc w:val="both"/>
        <w:rPr>
          <w:lang w:val="fr-FR"/>
        </w:rPr>
      </w:pPr>
      <w:r w:rsidRPr="00E5213F">
        <w:rPr>
          <w:lang w:val="fr-FR"/>
        </w:rPr>
        <w:t>AGRI-AMENAGISTE à</w:t>
      </w:r>
      <w:r w:rsidRPr="00E5213F">
        <w:rPr>
          <w:color w:val="000000"/>
          <w:lang w:val="fr-FR"/>
        </w:rPr>
        <w:t xml:space="preserve"> Korhogo et </w:t>
      </w:r>
    </w:p>
    <w:p w:rsidR="009A5A1D" w:rsidRPr="00E5213F" w:rsidRDefault="009A5A1D" w:rsidP="009A5A1D">
      <w:pPr>
        <w:numPr>
          <w:ilvl w:val="0"/>
          <w:numId w:val="16"/>
        </w:numPr>
        <w:spacing w:after="240" w:line="276" w:lineRule="auto"/>
        <w:jc w:val="both"/>
        <w:rPr>
          <w:lang w:val="fr-FR"/>
        </w:rPr>
      </w:pPr>
      <w:r>
        <w:rPr>
          <w:color w:val="000000"/>
          <w:lang w:val="fr-FR"/>
        </w:rPr>
        <w:t>L</w:t>
      </w:r>
      <w:r w:rsidRPr="00E5213F">
        <w:rPr>
          <w:lang w:val="fr-FR"/>
        </w:rPr>
        <w:t xml:space="preserve">’Organisation Communautaire pour l’Appui au Développement en Côte d’Ivoire (OCAD-CI) </w:t>
      </w:r>
      <w:r w:rsidRPr="00E5213F">
        <w:rPr>
          <w:color w:val="000000"/>
          <w:lang w:val="fr-FR"/>
        </w:rPr>
        <w:t>à Odienné</w:t>
      </w:r>
      <w:r w:rsidR="00172046">
        <w:rPr>
          <w:color w:val="000000"/>
          <w:lang w:val="fr-FR"/>
        </w:rPr>
        <w:t>.</w:t>
      </w:r>
      <w:r w:rsidRPr="00E5213F">
        <w:rPr>
          <w:lang w:val="fr-FR"/>
        </w:rPr>
        <w:t xml:space="preserve"> </w:t>
      </w:r>
    </w:p>
    <w:p w:rsidR="009A5A1D" w:rsidRDefault="009A5A1D" w:rsidP="009A5A1D">
      <w:pPr>
        <w:spacing w:after="240" w:line="276" w:lineRule="auto"/>
        <w:jc w:val="both"/>
        <w:rPr>
          <w:lang w:val="fr-FR"/>
        </w:rPr>
      </w:pPr>
      <w:r>
        <w:rPr>
          <w:color w:val="000000"/>
          <w:lang w:val="fr-FR"/>
        </w:rPr>
        <w:t>Le partenariat s’est aussi renforcé entre l</w:t>
      </w:r>
      <w:r w:rsidRPr="00E37BBE">
        <w:rPr>
          <w:color w:val="000000"/>
          <w:lang w:val="fr-FR"/>
        </w:rPr>
        <w:t xml:space="preserve">es structures internationales </w:t>
      </w:r>
      <w:r>
        <w:rPr>
          <w:color w:val="000000"/>
          <w:lang w:val="fr-FR"/>
        </w:rPr>
        <w:t xml:space="preserve">impliquées dans la mise en œuvre. Il s’agit du </w:t>
      </w:r>
      <w:r w:rsidRPr="00E37BBE">
        <w:rPr>
          <w:color w:val="000000"/>
          <w:lang w:val="fr-FR"/>
        </w:rPr>
        <w:t xml:space="preserve">PNUD, </w:t>
      </w:r>
      <w:r>
        <w:rPr>
          <w:color w:val="000000"/>
          <w:lang w:val="fr-FR"/>
        </w:rPr>
        <w:t xml:space="preserve">de </w:t>
      </w:r>
      <w:r w:rsidRPr="00E37BBE">
        <w:rPr>
          <w:color w:val="000000"/>
          <w:lang w:val="fr-FR"/>
        </w:rPr>
        <w:t xml:space="preserve">l’ONUCI et </w:t>
      </w:r>
      <w:r>
        <w:rPr>
          <w:color w:val="000000"/>
          <w:lang w:val="fr-FR"/>
        </w:rPr>
        <w:t xml:space="preserve">de </w:t>
      </w:r>
      <w:r w:rsidRPr="00E37BBE">
        <w:rPr>
          <w:color w:val="000000"/>
          <w:lang w:val="fr-FR"/>
        </w:rPr>
        <w:t>l’</w:t>
      </w:r>
      <w:r w:rsidRPr="00251C11">
        <w:rPr>
          <w:bCs/>
          <w:lang w:val="fr-FR"/>
        </w:rPr>
        <w:t>O</w:t>
      </w:r>
      <w:r w:rsidRPr="00251C11">
        <w:rPr>
          <w:lang w:val="fr-FR"/>
        </w:rPr>
        <w:t xml:space="preserve">rganisation </w:t>
      </w:r>
      <w:r w:rsidRPr="00251C11">
        <w:rPr>
          <w:bCs/>
          <w:lang w:val="fr-FR"/>
        </w:rPr>
        <w:t>I</w:t>
      </w:r>
      <w:r w:rsidRPr="00251C11">
        <w:rPr>
          <w:lang w:val="fr-FR"/>
        </w:rPr>
        <w:t xml:space="preserve">nternationale des </w:t>
      </w:r>
      <w:r w:rsidRPr="00251C11">
        <w:rPr>
          <w:bCs/>
          <w:lang w:val="fr-FR"/>
        </w:rPr>
        <w:t>M</w:t>
      </w:r>
      <w:r w:rsidRPr="00251C11">
        <w:rPr>
          <w:lang w:val="fr-FR"/>
        </w:rPr>
        <w:t>igrations</w:t>
      </w:r>
      <w:r w:rsidR="00251C11" w:rsidRPr="00251C11">
        <w:rPr>
          <w:color w:val="000000"/>
          <w:lang w:val="fr-FR"/>
        </w:rPr>
        <w:t xml:space="preserve"> </w:t>
      </w:r>
      <w:r w:rsidR="00251C11">
        <w:rPr>
          <w:color w:val="000000"/>
          <w:lang w:val="fr-FR"/>
        </w:rPr>
        <w:t>(</w:t>
      </w:r>
      <w:r w:rsidR="00251C11" w:rsidRPr="00E37BBE">
        <w:rPr>
          <w:color w:val="000000"/>
          <w:lang w:val="fr-FR"/>
        </w:rPr>
        <w:t>OIM</w:t>
      </w:r>
      <w:r>
        <w:rPr>
          <w:lang w:val="fr-FR"/>
        </w:rPr>
        <w:t>)</w:t>
      </w:r>
      <w:r w:rsidRPr="00E37BBE">
        <w:rPr>
          <w:lang w:val="fr-FR"/>
        </w:rPr>
        <w:t xml:space="preserve">. </w:t>
      </w:r>
      <w:r>
        <w:rPr>
          <w:lang w:val="fr-FR"/>
        </w:rPr>
        <w:t xml:space="preserve">Dans le même esprit de renforcement des capacités pour une meilleure appropriation, l’OIM a des partenariats avec plusieurs structures nationales qui sont : </w:t>
      </w:r>
      <w:r w:rsidRPr="00E37BBE">
        <w:rPr>
          <w:lang w:val="fr-FR"/>
        </w:rPr>
        <w:t>l’ONG Terre d’Espérance</w:t>
      </w:r>
      <w:r>
        <w:rPr>
          <w:lang w:val="fr-FR"/>
        </w:rPr>
        <w:t xml:space="preserve"> et </w:t>
      </w:r>
      <w:r w:rsidRPr="00E37BBE">
        <w:rPr>
          <w:lang w:val="fr-FR"/>
        </w:rPr>
        <w:t>le Groupement d’Appui au Développement de l’Hévéaculture à l’Ouest (GADHO)</w:t>
      </w:r>
      <w:r>
        <w:rPr>
          <w:lang w:val="fr-FR"/>
        </w:rPr>
        <w:t xml:space="preserve"> à Guiglo ; l</w:t>
      </w:r>
      <w:r w:rsidRPr="00E37BBE">
        <w:rPr>
          <w:lang w:val="fr-FR"/>
        </w:rPr>
        <w:t>’ONG Eveil Développement Réinsertion Economique des Ex-Combattants et Jeunes Artisans (EDREDECJA) et</w:t>
      </w:r>
      <w:r>
        <w:rPr>
          <w:lang w:val="fr-FR"/>
        </w:rPr>
        <w:t xml:space="preserve"> le Cabinet SINAÏ à Yamoussoukro, l’ONG Notre enfance à Bouaké, Ets ADL </w:t>
      </w:r>
      <w:r w:rsidR="00FB4D84">
        <w:rPr>
          <w:lang w:val="fr-FR"/>
        </w:rPr>
        <w:t>à Gagnoa et l’ONG Action pour l</w:t>
      </w:r>
      <w:r>
        <w:rPr>
          <w:lang w:val="fr-FR"/>
        </w:rPr>
        <w:t>a Santé, l’Education et le Développement (ASED) à Ferkessédougou.</w:t>
      </w:r>
    </w:p>
    <w:p w:rsidR="00FB4D84" w:rsidRPr="00FB4D84" w:rsidRDefault="00BC5CBE" w:rsidP="00BC5CBE">
      <w:pPr>
        <w:spacing w:after="240" w:line="276" w:lineRule="auto"/>
        <w:ind w:left="360"/>
        <w:jc w:val="both"/>
        <w:rPr>
          <w:b/>
          <w:bCs/>
          <w:i/>
          <w:iCs/>
          <w:lang w:val="fr-FR"/>
        </w:rPr>
      </w:pPr>
      <w:r>
        <w:rPr>
          <w:b/>
          <w:bCs/>
          <w:i/>
          <w:iCs/>
          <w:lang w:val="fr-FR"/>
        </w:rPr>
        <w:t xml:space="preserve">4.2. </w:t>
      </w:r>
      <w:r w:rsidR="00FB4D84">
        <w:rPr>
          <w:b/>
          <w:bCs/>
          <w:i/>
          <w:iCs/>
          <w:lang w:val="fr-FR"/>
        </w:rPr>
        <w:t>Leçons apprises</w:t>
      </w:r>
    </w:p>
    <w:p w:rsidR="00CB6E43" w:rsidRPr="00ED24EC" w:rsidRDefault="00CB6E43" w:rsidP="00871AD5">
      <w:pPr>
        <w:spacing w:after="240" w:line="276" w:lineRule="auto"/>
        <w:jc w:val="both"/>
        <w:rPr>
          <w:b/>
          <w:bCs/>
          <w:i/>
          <w:lang w:val="fr-FR"/>
        </w:rPr>
      </w:pPr>
      <w:r w:rsidRPr="00ED24EC">
        <w:rPr>
          <w:b/>
          <w:bCs/>
          <w:i/>
          <w:lang w:val="fr-FR"/>
        </w:rPr>
        <w:t>Au niveau de l’organisation et de la coordination</w:t>
      </w:r>
    </w:p>
    <w:p w:rsidR="00CB6E43" w:rsidRPr="00E019AB" w:rsidRDefault="00CB6E43" w:rsidP="00871AD5">
      <w:pPr>
        <w:pStyle w:val="Paragraphedeliste"/>
        <w:numPr>
          <w:ilvl w:val="0"/>
          <w:numId w:val="25"/>
        </w:numPr>
        <w:spacing w:after="240" w:line="276" w:lineRule="auto"/>
        <w:jc w:val="both"/>
        <w:rPr>
          <w:lang w:val="fr-FR"/>
        </w:rPr>
      </w:pPr>
      <w:r w:rsidRPr="00CB6E43">
        <w:rPr>
          <w:lang w:val="fr-FR"/>
        </w:rPr>
        <w:t>L</w:t>
      </w:r>
      <w:r w:rsidRPr="00E019AB">
        <w:rPr>
          <w:lang w:val="fr-FR"/>
        </w:rPr>
        <w:t>’approche p</w:t>
      </w:r>
      <w:r w:rsidRPr="00CB6E43">
        <w:rPr>
          <w:lang w:val="fr-FR"/>
        </w:rPr>
        <w:t>a</w:t>
      </w:r>
      <w:r w:rsidRPr="00E019AB">
        <w:rPr>
          <w:lang w:val="fr-FR"/>
        </w:rPr>
        <w:t>rt</w:t>
      </w:r>
      <w:r w:rsidRPr="00CB6E43">
        <w:rPr>
          <w:lang w:val="fr-FR"/>
        </w:rPr>
        <w:t>i</w:t>
      </w:r>
      <w:r w:rsidRPr="00E019AB">
        <w:rPr>
          <w:lang w:val="fr-FR"/>
        </w:rPr>
        <w:t>cipative adoptée par les ‘1000 microprojets</w:t>
      </w:r>
      <w:r w:rsidRPr="00CB6E43">
        <w:rPr>
          <w:lang w:val="fr-FR"/>
        </w:rPr>
        <w:t>’ a permis de favoriser l’appropriation du programme à différents niveaux (national et local), ce qui est un facteur important de réussite.</w:t>
      </w:r>
    </w:p>
    <w:p w:rsidR="00871AD5" w:rsidRPr="00ED24EC" w:rsidRDefault="00871AD5" w:rsidP="00871AD5">
      <w:pPr>
        <w:spacing w:after="240" w:line="276" w:lineRule="auto"/>
        <w:jc w:val="both"/>
        <w:rPr>
          <w:b/>
          <w:bCs/>
          <w:i/>
          <w:lang w:val="fr-FR"/>
        </w:rPr>
      </w:pPr>
      <w:r w:rsidRPr="00ED24EC">
        <w:rPr>
          <w:b/>
          <w:bCs/>
          <w:i/>
          <w:lang w:val="fr-FR"/>
        </w:rPr>
        <w:t>Au niveau de l’impact du programme</w:t>
      </w:r>
    </w:p>
    <w:p w:rsidR="00871AD5" w:rsidRPr="00871AD5" w:rsidRDefault="00871AD5" w:rsidP="00871AD5">
      <w:pPr>
        <w:pStyle w:val="Paragraphedeliste"/>
        <w:numPr>
          <w:ilvl w:val="0"/>
          <w:numId w:val="25"/>
        </w:numPr>
        <w:spacing w:after="240" w:line="276" w:lineRule="auto"/>
        <w:jc w:val="both"/>
        <w:rPr>
          <w:lang w:val="fr-FR"/>
        </w:rPr>
      </w:pPr>
      <w:r w:rsidRPr="00E019AB">
        <w:rPr>
          <w:lang w:val="fr-FR"/>
        </w:rPr>
        <w:t>L’approche des ‘1000 microprojets’, orientée vers une solution rapide à une situation d’</w:t>
      </w:r>
      <w:r w:rsidRPr="00871AD5">
        <w:rPr>
          <w:lang w:val="fr-FR"/>
        </w:rPr>
        <w:t>urgence, a amélioré</w:t>
      </w:r>
      <w:r w:rsidRPr="00E019AB">
        <w:rPr>
          <w:lang w:val="fr-FR"/>
        </w:rPr>
        <w:t xml:space="preserve"> </w:t>
      </w:r>
      <w:r w:rsidRPr="00871AD5">
        <w:rPr>
          <w:lang w:val="fr-FR"/>
        </w:rPr>
        <w:t xml:space="preserve">la qualité de vie </w:t>
      </w:r>
      <w:r w:rsidRPr="00E019AB">
        <w:rPr>
          <w:lang w:val="fr-FR"/>
        </w:rPr>
        <w:t xml:space="preserve">des </w:t>
      </w:r>
      <w:r w:rsidRPr="00871AD5">
        <w:rPr>
          <w:lang w:val="fr-FR"/>
        </w:rPr>
        <w:t>bénéficiaires</w:t>
      </w:r>
      <w:r w:rsidRPr="00E019AB">
        <w:rPr>
          <w:lang w:val="fr-FR"/>
        </w:rPr>
        <w:t xml:space="preserve"> </w:t>
      </w:r>
      <w:r w:rsidRPr="00871AD5">
        <w:rPr>
          <w:lang w:val="fr-FR"/>
        </w:rPr>
        <w:t xml:space="preserve">et des communautés. Elle </w:t>
      </w:r>
      <w:r w:rsidRPr="00E019AB">
        <w:rPr>
          <w:lang w:val="fr-FR"/>
        </w:rPr>
        <w:t xml:space="preserve">a </w:t>
      </w:r>
      <w:r w:rsidRPr="00871AD5">
        <w:rPr>
          <w:lang w:val="fr-FR"/>
        </w:rPr>
        <w:t>également contribué à la pacification de l’environnement en Côte d’Ivoire ;</w:t>
      </w:r>
    </w:p>
    <w:p w:rsidR="00871AD5" w:rsidRPr="00871AD5" w:rsidRDefault="00871AD5" w:rsidP="00871AD5">
      <w:pPr>
        <w:pStyle w:val="Paragraphedeliste"/>
        <w:numPr>
          <w:ilvl w:val="0"/>
          <w:numId w:val="25"/>
        </w:numPr>
        <w:spacing w:after="200" w:line="276" w:lineRule="auto"/>
        <w:jc w:val="both"/>
        <w:rPr>
          <w:lang w:val="fr-FR"/>
        </w:rPr>
      </w:pPr>
      <w:r w:rsidRPr="00871AD5">
        <w:rPr>
          <w:lang w:val="fr-FR"/>
        </w:rPr>
        <w:t>L’engagement des bénéficiaires dans des activités légales, génératrices de revenu, a</w:t>
      </w:r>
      <w:r>
        <w:rPr>
          <w:lang w:val="fr-FR"/>
        </w:rPr>
        <w:t xml:space="preserve"> eu</w:t>
      </w:r>
      <w:r w:rsidRPr="00871AD5">
        <w:rPr>
          <w:lang w:val="fr-FR"/>
        </w:rPr>
        <w:t xml:space="preserve"> un impact positif dans la perception des communautés à leur égard. Le programme a contribué à la restauration de leur estime de soi, de leur dignité et leur a permis d’envisager autrement leur futur ;</w:t>
      </w:r>
    </w:p>
    <w:p w:rsidR="00871AD5" w:rsidRPr="00871AD5" w:rsidRDefault="00871AD5" w:rsidP="00871AD5">
      <w:pPr>
        <w:pStyle w:val="Paragraphedeliste"/>
        <w:numPr>
          <w:ilvl w:val="0"/>
          <w:numId w:val="25"/>
        </w:numPr>
        <w:spacing w:after="200" w:line="276" w:lineRule="auto"/>
        <w:jc w:val="both"/>
        <w:rPr>
          <w:lang w:val="fr-FR"/>
        </w:rPr>
      </w:pPr>
      <w:r w:rsidRPr="00871AD5">
        <w:rPr>
          <w:lang w:val="fr-FR"/>
        </w:rPr>
        <w:lastRenderedPageBreak/>
        <w:t>Le programme a crée du lien social entre les bénéficiaires eux-mêmes et entre ces derniers et les différents groupes. Cela a perm</w:t>
      </w:r>
      <w:r>
        <w:rPr>
          <w:lang w:val="fr-FR"/>
        </w:rPr>
        <w:t>is de créer</w:t>
      </w:r>
      <w:r w:rsidRPr="00871AD5">
        <w:rPr>
          <w:lang w:val="fr-FR"/>
        </w:rPr>
        <w:t xml:space="preserve"> des interdépendances, vecteurs de cohésion sociale et d’acceptation mutuelle ;</w:t>
      </w:r>
    </w:p>
    <w:p w:rsidR="00871AD5" w:rsidRPr="00871AD5" w:rsidRDefault="00871AD5" w:rsidP="00871AD5">
      <w:pPr>
        <w:pStyle w:val="Paragraphedeliste"/>
        <w:numPr>
          <w:ilvl w:val="0"/>
          <w:numId w:val="25"/>
        </w:numPr>
        <w:spacing w:after="200" w:line="276" w:lineRule="auto"/>
        <w:jc w:val="both"/>
        <w:rPr>
          <w:lang w:val="fr-FR"/>
        </w:rPr>
      </w:pPr>
      <w:r w:rsidRPr="00871AD5">
        <w:rPr>
          <w:lang w:val="fr-FR"/>
        </w:rPr>
        <w:t>L’approche consistant à recourir aux ONG locales et à mettre à leur disposition une assistance technique a permis de renfor</w:t>
      </w:r>
      <w:r w:rsidRPr="004A7C9F">
        <w:rPr>
          <w:lang w:val="fr-FR"/>
        </w:rPr>
        <w:t>c</w:t>
      </w:r>
      <w:r w:rsidRPr="00871AD5">
        <w:rPr>
          <w:lang w:val="fr-FR"/>
        </w:rPr>
        <w:t xml:space="preserve">er leurs capacités. </w:t>
      </w:r>
    </w:p>
    <w:p w:rsidR="00871AD5" w:rsidRPr="004A7C9F" w:rsidRDefault="00871AD5" w:rsidP="00871AD5">
      <w:pPr>
        <w:spacing w:after="240" w:line="276" w:lineRule="auto"/>
        <w:jc w:val="both"/>
        <w:rPr>
          <w:b/>
          <w:bCs/>
          <w:i/>
          <w:lang w:val="fr-FR"/>
        </w:rPr>
      </w:pPr>
      <w:r w:rsidRPr="004A7C9F">
        <w:rPr>
          <w:b/>
          <w:bCs/>
          <w:i/>
          <w:lang w:val="fr-FR"/>
        </w:rPr>
        <w:t>Au niveau de la mise en œuvre du programme</w:t>
      </w:r>
      <w:r w:rsidR="002C5895" w:rsidRPr="004A7C9F">
        <w:rPr>
          <w:b/>
          <w:bCs/>
          <w:i/>
          <w:lang w:val="fr-FR"/>
        </w:rPr>
        <w:t xml:space="preserve"> et de l’approche</w:t>
      </w:r>
    </w:p>
    <w:p w:rsidR="00871AD5" w:rsidRPr="004A7C9F" w:rsidRDefault="00871AD5" w:rsidP="00871AD5">
      <w:pPr>
        <w:pStyle w:val="Paragraphedeliste"/>
        <w:numPr>
          <w:ilvl w:val="0"/>
          <w:numId w:val="26"/>
        </w:numPr>
        <w:spacing w:after="240" w:line="276" w:lineRule="auto"/>
        <w:jc w:val="both"/>
        <w:rPr>
          <w:lang w:val="fr-FR"/>
        </w:rPr>
      </w:pPr>
      <w:r w:rsidRPr="004A7C9F">
        <w:rPr>
          <w:lang w:val="fr-FR"/>
        </w:rPr>
        <w:t>La flexibilité du programme et sa capacité à s’</w:t>
      </w:r>
      <w:r w:rsidR="0045472B" w:rsidRPr="004A7C9F">
        <w:rPr>
          <w:lang w:val="fr-FR"/>
        </w:rPr>
        <w:t>adapter tout au long de s</w:t>
      </w:r>
      <w:r w:rsidRPr="004A7C9F">
        <w:rPr>
          <w:lang w:val="fr-FR"/>
        </w:rPr>
        <w:t>a mise en œuvre a permis de fournir des réponses appropriées à des problèmes spécifiques rencontrés ;</w:t>
      </w:r>
    </w:p>
    <w:p w:rsidR="00871AD5" w:rsidRPr="004A7C9F" w:rsidRDefault="00871AD5" w:rsidP="00871AD5">
      <w:pPr>
        <w:pStyle w:val="Paragraphedeliste"/>
        <w:numPr>
          <w:ilvl w:val="0"/>
          <w:numId w:val="26"/>
        </w:numPr>
        <w:spacing w:after="200" w:line="276" w:lineRule="auto"/>
        <w:jc w:val="both"/>
        <w:rPr>
          <w:lang w:val="fr-FR"/>
        </w:rPr>
      </w:pPr>
      <w:r w:rsidRPr="004A7C9F">
        <w:rPr>
          <w:lang w:val="fr-FR"/>
        </w:rPr>
        <w:t xml:space="preserve">Allier formation et </w:t>
      </w:r>
      <w:r w:rsidR="00474772" w:rsidRPr="004A7C9F">
        <w:rPr>
          <w:lang w:val="fr-FR"/>
        </w:rPr>
        <w:t xml:space="preserve">assistance </w:t>
      </w:r>
      <w:r w:rsidR="004A7C9F" w:rsidRPr="004A7C9F">
        <w:rPr>
          <w:lang w:val="fr-FR"/>
        </w:rPr>
        <w:t>financière</w:t>
      </w:r>
      <w:r w:rsidRPr="004A7C9F">
        <w:rPr>
          <w:lang w:val="fr-FR"/>
        </w:rPr>
        <w:t xml:space="preserve"> a permis d’apporter une réponse aux inquiétudes des bénéficiaires qui sont motivés par le gain immédiat de ressources financières.</w:t>
      </w:r>
    </w:p>
    <w:p w:rsidR="00871AD5" w:rsidRPr="00871AD5" w:rsidRDefault="00871AD5" w:rsidP="00871AD5">
      <w:pPr>
        <w:pStyle w:val="Paragraphedeliste"/>
        <w:numPr>
          <w:ilvl w:val="0"/>
          <w:numId w:val="26"/>
        </w:numPr>
        <w:spacing w:after="200" w:line="276" w:lineRule="auto"/>
        <w:jc w:val="both"/>
        <w:rPr>
          <w:lang w:val="fr-FR"/>
        </w:rPr>
      </w:pPr>
      <w:r w:rsidRPr="004A7C9F">
        <w:rPr>
          <w:lang w:val="fr-FR"/>
        </w:rPr>
        <w:t>Travailler en groupe a favorisé le partage d’opinion</w:t>
      </w:r>
      <w:r w:rsidR="0045472B" w:rsidRPr="004A7C9F">
        <w:rPr>
          <w:lang w:val="fr-FR"/>
        </w:rPr>
        <w:t>s</w:t>
      </w:r>
      <w:r w:rsidRPr="004A7C9F">
        <w:rPr>
          <w:lang w:val="fr-FR"/>
        </w:rPr>
        <w:t xml:space="preserve"> et de</w:t>
      </w:r>
      <w:r w:rsidRPr="00871AD5">
        <w:rPr>
          <w:lang w:val="fr-FR"/>
        </w:rPr>
        <w:t xml:space="preserve"> valeurs ainsi que la considération de l’intérêt des autres membres du groupe ;</w:t>
      </w:r>
    </w:p>
    <w:p w:rsidR="00871AD5" w:rsidRDefault="00871AD5" w:rsidP="00871AD5">
      <w:pPr>
        <w:pStyle w:val="Paragraphedeliste"/>
        <w:numPr>
          <w:ilvl w:val="0"/>
          <w:numId w:val="26"/>
        </w:numPr>
        <w:spacing w:after="200" w:line="276" w:lineRule="auto"/>
        <w:jc w:val="both"/>
        <w:rPr>
          <w:lang w:val="fr-FR"/>
        </w:rPr>
      </w:pPr>
      <w:r w:rsidRPr="00871AD5">
        <w:rPr>
          <w:lang w:val="fr-FR"/>
        </w:rPr>
        <w:t>La période de suivi des microprojets, prévue contractuellement pour trois (3) mois, devrait être prolongée afin de maximiser les chances de réussite.</w:t>
      </w:r>
    </w:p>
    <w:p w:rsidR="00181C49" w:rsidRPr="000F202B" w:rsidRDefault="00F71EF2" w:rsidP="003C1F28">
      <w:pPr>
        <w:pStyle w:val="BodyText"/>
        <w:numPr>
          <w:ilvl w:val="0"/>
          <w:numId w:val="4"/>
        </w:numPr>
        <w:spacing w:before="240" w:after="240" w:line="276" w:lineRule="auto"/>
        <w:jc w:val="both"/>
        <w:rPr>
          <w:rFonts w:ascii="Times New Roman" w:hAnsi="Times New Roman" w:cs="Times New Roman"/>
          <w:b/>
          <w:bCs/>
          <w:sz w:val="24"/>
          <w:szCs w:val="24"/>
          <w:lang w:val="fr-FR"/>
        </w:rPr>
      </w:pPr>
      <w:r w:rsidRPr="009E44FA">
        <w:rPr>
          <w:rFonts w:ascii="Times New Roman" w:hAnsi="Times New Roman" w:cs="Times New Roman"/>
          <w:b/>
          <w:bCs/>
          <w:sz w:val="24"/>
          <w:szCs w:val="24"/>
          <w:lang w:val="fr-FR"/>
        </w:rPr>
        <w:t xml:space="preserve"> </w:t>
      </w:r>
      <w:r w:rsidR="0045472B">
        <w:rPr>
          <w:rFonts w:ascii="Times New Roman" w:hAnsi="Times New Roman" w:cs="Times New Roman"/>
          <w:b/>
          <w:bCs/>
          <w:sz w:val="24"/>
          <w:szCs w:val="24"/>
          <w:lang w:val="fr-FR"/>
        </w:rPr>
        <w:t>Futur</w:t>
      </w:r>
      <w:r w:rsidR="000F202B">
        <w:rPr>
          <w:rFonts w:ascii="Times New Roman" w:hAnsi="Times New Roman" w:cs="Times New Roman"/>
          <w:b/>
          <w:bCs/>
          <w:sz w:val="24"/>
          <w:szCs w:val="24"/>
          <w:lang w:val="fr-FR"/>
        </w:rPr>
        <w:t xml:space="preserve"> plan de travail</w:t>
      </w:r>
    </w:p>
    <w:p w:rsidR="00F71EF2" w:rsidRDefault="00536F01" w:rsidP="003C1F28">
      <w:pPr>
        <w:spacing w:before="240" w:after="240" w:line="276" w:lineRule="auto"/>
        <w:jc w:val="both"/>
        <w:rPr>
          <w:bCs/>
          <w:lang w:val="fr-FR"/>
        </w:rPr>
      </w:pPr>
      <w:r w:rsidRPr="00F71EF2">
        <w:rPr>
          <w:bCs/>
          <w:lang w:val="fr-FR"/>
        </w:rPr>
        <w:t xml:space="preserve">Depuis le lancement officiel </w:t>
      </w:r>
      <w:r w:rsidR="00686889">
        <w:rPr>
          <w:bCs/>
          <w:lang w:val="fr-FR"/>
        </w:rPr>
        <w:t>du Projet en Aoû</w:t>
      </w:r>
      <w:r w:rsidR="008850E3" w:rsidRPr="00F71EF2">
        <w:rPr>
          <w:bCs/>
          <w:lang w:val="fr-FR"/>
        </w:rPr>
        <w:t>t</w:t>
      </w:r>
      <w:r w:rsidR="00F71EF2">
        <w:rPr>
          <w:bCs/>
          <w:lang w:val="fr-FR"/>
        </w:rPr>
        <w:t xml:space="preserve"> 2008 et un an et demi après le développement des activités et l’investissement des fonds alloués, nous pourrons considérer qu’une première phase est achevée. Cette première phase </w:t>
      </w:r>
      <w:r w:rsidR="00686889">
        <w:rPr>
          <w:bCs/>
          <w:lang w:val="fr-FR"/>
        </w:rPr>
        <w:t>a servi de base pour l’organisation de la thématique de réinsertion des ex-combattants et ex m</w:t>
      </w:r>
      <w:r w:rsidR="008124E4">
        <w:rPr>
          <w:bCs/>
          <w:lang w:val="fr-FR"/>
        </w:rPr>
        <w:t xml:space="preserve">iliciens </w:t>
      </w:r>
      <w:r w:rsidR="00686889">
        <w:rPr>
          <w:bCs/>
          <w:lang w:val="fr-FR"/>
        </w:rPr>
        <w:t xml:space="preserve">en Côte d’Ivoire. </w:t>
      </w:r>
    </w:p>
    <w:p w:rsidR="00642FE1" w:rsidRDefault="00F71EF2" w:rsidP="00642FE1">
      <w:pPr>
        <w:spacing w:after="240" w:line="276" w:lineRule="auto"/>
        <w:jc w:val="both"/>
        <w:rPr>
          <w:bCs/>
          <w:lang w:val="fr-FR"/>
        </w:rPr>
      </w:pPr>
      <w:r>
        <w:rPr>
          <w:bCs/>
          <w:lang w:val="fr-FR"/>
        </w:rPr>
        <w:t xml:space="preserve">Dans le cadre d’une seconde phase, un investissement d’un million de Dollars </w:t>
      </w:r>
      <w:r w:rsidR="00686889">
        <w:rPr>
          <w:bCs/>
          <w:lang w:val="fr-FR"/>
        </w:rPr>
        <w:t xml:space="preserve">(1.000.000$) </w:t>
      </w:r>
      <w:r w:rsidR="008124E4">
        <w:rPr>
          <w:bCs/>
          <w:lang w:val="fr-FR"/>
        </w:rPr>
        <w:t>est attendu du F</w:t>
      </w:r>
      <w:r>
        <w:rPr>
          <w:bCs/>
          <w:lang w:val="fr-FR"/>
        </w:rPr>
        <w:t>onds de la consolidation de la paix</w:t>
      </w:r>
      <w:r w:rsidR="008124E4">
        <w:rPr>
          <w:bCs/>
          <w:lang w:val="fr-FR"/>
        </w:rPr>
        <w:t xml:space="preserve"> de l’Organisation des Nations Unies</w:t>
      </w:r>
      <w:r>
        <w:rPr>
          <w:bCs/>
          <w:lang w:val="fr-FR"/>
        </w:rPr>
        <w:t>. Cette seconde phase serait axée sur (i) le renforcement du partenariat avec la partie nationale en vue d’une appropriation nationale accentuée, (ii) le renforcement de certains microprojets existants</w:t>
      </w:r>
      <w:r w:rsidR="00686889">
        <w:rPr>
          <w:bCs/>
          <w:lang w:val="fr-FR"/>
        </w:rPr>
        <w:t xml:space="preserve"> (à développer, relancer </w:t>
      </w:r>
      <w:r w:rsidR="00757E68">
        <w:rPr>
          <w:bCs/>
          <w:lang w:val="fr-FR"/>
        </w:rPr>
        <w:t>etc.) et, (iii) la continuation du programme</w:t>
      </w:r>
      <w:r w:rsidR="00686889">
        <w:rPr>
          <w:bCs/>
          <w:lang w:val="fr-FR"/>
        </w:rPr>
        <w:t xml:space="preserve"> sur tout le territoire national.</w:t>
      </w:r>
    </w:p>
    <w:p w:rsidR="00B85FAA" w:rsidRPr="00F71EF2" w:rsidRDefault="00B85FAA" w:rsidP="00642FE1">
      <w:pPr>
        <w:spacing w:after="240" w:line="276" w:lineRule="auto"/>
        <w:jc w:val="both"/>
        <w:rPr>
          <w:bCs/>
          <w:lang w:val="fr-FR"/>
        </w:rPr>
      </w:pPr>
      <w:r>
        <w:rPr>
          <w:bCs/>
          <w:lang w:val="fr-FR"/>
        </w:rPr>
        <w:br w:type="page"/>
      </w:r>
    </w:p>
    <w:p w:rsidR="007D0AD3" w:rsidRPr="0082700E" w:rsidRDefault="00F30AA5" w:rsidP="00B85FAA">
      <w:pPr>
        <w:pStyle w:val="BodyText"/>
        <w:numPr>
          <w:ilvl w:val="0"/>
          <w:numId w:val="4"/>
        </w:numPr>
        <w:spacing w:after="240" w:line="276" w:lineRule="auto"/>
        <w:jc w:val="both"/>
        <w:rPr>
          <w:rFonts w:ascii="Times New Roman" w:hAnsi="Times New Roman" w:cs="Times New Roman"/>
          <w:b/>
          <w:sz w:val="24"/>
          <w:szCs w:val="24"/>
          <w:lang w:val="fr-FR"/>
        </w:rPr>
      </w:pPr>
      <w:r w:rsidRPr="0082700E">
        <w:rPr>
          <w:rFonts w:ascii="Times New Roman" w:hAnsi="Times New Roman" w:cs="Times New Roman"/>
          <w:b/>
          <w:bCs/>
          <w:sz w:val="24"/>
          <w:szCs w:val="24"/>
          <w:lang w:val="fr-FR"/>
        </w:rPr>
        <w:t xml:space="preserve"> </w:t>
      </w:r>
      <w:r w:rsidR="000F202B">
        <w:rPr>
          <w:rFonts w:ascii="Times New Roman" w:hAnsi="Times New Roman" w:cs="Times New Roman"/>
          <w:b/>
          <w:sz w:val="24"/>
          <w:szCs w:val="24"/>
          <w:lang w:val="fr-FR"/>
        </w:rPr>
        <w:t>Abrév</w:t>
      </w:r>
      <w:r w:rsidR="000F202B" w:rsidRPr="0082700E">
        <w:rPr>
          <w:rFonts w:ascii="Times New Roman" w:hAnsi="Times New Roman" w:cs="Times New Roman"/>
          <w:b/>
          <w:sz w:val="24"/>
          <w:szCs w:val="24"/>
          <w:lang w:val="fr-FR"/>
        </w:rPr>
        <w:t>iations</w:t>
      </w:r>
      <w:r w:rsidR="000F202B">
        <w:rPr>
          <w:rFonts w:ascii="Times New Roman" w:hAnsi="Times New Roman" w:cs="Times New Roman"/>
          <w:b/>
          <w:sz w:val="24"/>
          <w:szCs w:val="24"/>
          <w:lang w:val="fr-FR"/>
        </w:rPr>
        <w:t xml:space="preserve"> et acronymes</w:t>
      </w:r>
      <w:r w:rsidR="007D0AD3" w:rsidRPr="0082700E">
        <w:rPr>
          <w:rFonts w:ascii="Times New Roman" w:hAnsi="Times New Roman" w:cs="Times New Roman"/>
          <w:b/>
          <w:sz w:val="24"/>
          <w:szCs w:val="24"/>
          <w:lang w:val="fr-FR"/>
        </w:rPr>
        <w:t xml:space="preserve"> </w:t>
      </w:r>
    </w:p>
    <w:tbl>
      <w:tblPr>
        <w:tblW w:w="0" w:type="auto"/>
        <w:jc w:val="center"/>
        <w:tblInd w:w="219" w:type="dxa"/>
        <w:tblLook w:val="01E0"/>
      </w:tblPr>
      <w:tblGrid>
        <w:gridCol w:w="1017"/>
        <w:gridCol w:w="8322"/>
      </w:tblGrid>
      <w:tr w:rsidR="009E0887" w:rsidRPr="00F71EF2">
        <w:trPr>
          <w:trHeight w:val="274"/>
          <w:jc w:val="center"/>
        </w:trPr>
        <w:tc>
          <w:tcPr>
            <w:tcW w:w="1017" w:type="dxa"/>
          </w:tcPr>
          <w:p w:rsidR="009E0887" w:rsidRPr="00F71EF2" w:rsidRDefault="009E0887" w:rsidP="00F71EF2">
            <w:pPr>
              <w:spacing w:line="276" w:lineRule="auto"/>
              <w:rPr>
                <w:lang w:val="fr-FR"/>
              </w:rPr>
            </w:pPr>
            <w:r w:rsidRPr="00F71EF2">
              <w:rPr>
                <w:b/>
                <w:lang w:val="fr-FR"/>
              </w:rPr>
              <w:t>APO</w:t>
            </w:r>
          </w:p>
        </w:tc>
        <w:tc>
          <w:tcPr>
            <w:tcW w:w="8322" w:type="dxa"/>
          </w:tcPr>
          <w:p w:rsidR="009E0887" w:rsidRPr="00F71EF2" w:rsidRDefault="009E0887" w:rsidP="00F71EF2">
            <w:pPr>
              <w:spacing w:line="276" w:lineRule="auto"/>
              <w:rPr>
                <w:lang w:val="fr-FR"/>
              </w:rPr>
            </w:pPr>
            <w:r w:rsidRPr="00F71EF2">
              <w:rPr>
                <w:lang w:val="fr-FR"/>
              </w:rPr>
              <w:t>Accord Politique de Ouagadougou</w:t>
            </w:r>
          </w:p>
        </w:tc>
      </w:tr>
      <w:tr w:rsidR="009E0887" w:rsidRPr="00F71EF2">
        <w:trPr>
          <w:trHeight w:val="274"/>
          <w:jc w:val="center"/>
        </w:trPr>
        <w:tc>
          <w:tcPr>
            <w:tcW w:w="1017" w:type="dxa"/>
          </w:tcPr>
          <w:p w:rsidR="009E0887" w:rsidRPr="00F71EF2" w:rsidRDefault="009E0887" w:rsidP="00F71EF2">
            <w:pPr>
              <w:spacing w:line="276" w:lineRule="auto"/>
              <w:rPr>
                <w:lang w:val="fr-FR"/>
              </w:rPr>
            </w:pPr>
            <w:r w:rsidRPr="00F71EF2">
              <w:rPr>
                <w:b/>
                <w:lang w:val="fr-FR"/>
              </w:rPr>
              <w:t>BCPR</w:t>
            </w:r>
          </w:p>
        </w:tc>
        <w:tc>
          <w:tcPr>
            <w:tcW w:w="8322" w:type="dxa"/>
          </w:tcPr>
          <w:p w:rsidR="009E0887" w:rsidRPr="00F71EF2" w:rsidRDefault="009E0887" w:rsidP="00F71EF2">
            <w:pPr>
              <w:spacing w:line="276" w:lineRule="auto"/>
              <w:rPr>
                <w:lang w:val="fr-FR"/>
              </w:rPr>
            </w:pPr>
            <w:r w:rsidRPr="00F71EF2">
              <w:rPr>
                <w:lang w:val="fr-FR"/>
              </w:rPr>
              <w:t>Bureau de Prévention des Crises et de Relèvement</w:t>
            </w:r>
          </w:p>
        </w:tc>
      </w:tr>
      <w:tr w:rsidR="009E0887" w:rsidRPr="00F71EF2">
        <w:trPr>
          <w:trHeight w:val="274"/>
          <w:jc w:val="center"/>
        </w:trPr>
        <w:tc>
          <w:tcPr>
            <w:tcW w:w="1017" w:type="dxa"/>
          </w:tcPr>
          <w:p w:rsidR="009E0887" w:rsidRPr="00F71EF2" w:rsidRDefault="009E0887" w:rsidP="00F71EF2">
            <w:pPr>
              <w:spacing w:line="276" w:lineRule="auto"/>
              <w:rPr>
                <w:b/>
              </w:rPr>
            </w:pPr>
            <w:r w:rsidRPr="00F71EF2">
              <w:rPr>
                <w:b/>
              </w:rPr>
              <w:t>BGD</w:t>
            </w:r>
          </w:p>
        </w:tc>
        <w:tc>
          <w:tcPr>
            <w:tcW w:w="8322" w:type="dxa"/>
          </w:tcPr>
          <w:p w:rsidR="009E0887" w:rsidRPr="00F71EF2" w:rsidRDefault="009E0887" w:rsidP="00F71EF2">
            <w:pPr>
              <w:spacing w:line="276" w:lineRule="auto"/>
              <w:rPr>
                <w:lang w:val="fr-FR"/>
              </w:rPr>
            </w:pPr>
            <w:r w:rsidRPr="00F71EF2">
              <w:rPr>
                <w:lang w:val="fr-FR"/>
              </w:rPr>
              <w:t>Bureau de Gestion des Démobilisés</w:t>
            </w:r>
          </w:p>
        </w:tc>
      </w:tr>
      <w:tr w:rsidR="009E0887" w:rsidRPr="00F71EF2">
        <w:trPr>
          <w:trHeight w:val="274"/>
          <w:jc w:val="center"/>
        </w:trPr>
        <w:tc>
          <w:tcPr>
            <w:tcW w:w="1017" w:type="dxa"/>
          </w:tcPr>
          <w:p w:rsidR="009E0887" w:rsidRPr="00F71EF2" w:rsidRDefault="009E0887" w:rsidP="00F71EF2">
            <w:pPr>
              <w:spacing w:line="276" w:lineRule="auto"/>
              <w:rPr>
                <w:lang w:val="fr-FR"/>
              </w:rPr>
            </w:pPr>
            <w:r w:rsidRPr="00F71EF2">
              <w:rPr>
                <w:b/>
              </w:rPr>
              <w:t>CAP</w:t>
            </w:r>
          </w:p>
        </w:tc>
        <w:tc>
          <w:tcPr>
            <w:tcW w:w="8322" w:type="dxa"/>
          </w:tcPr>
          <w:p w:rsidR="009E0887" w:rsidRPr="00F71EF2" w:rsidRDefault="009E0887" w:rsidP="00F71EF2">
            <w:pPr>
              <w:spacing w:line="276" w:lineRule="auto"/>
            </w:pPr>
            <w:r w:rsidRPr="00F71EF2">
              <w:rPr>
                <w:lang w:val="fr-FR"/>
              </w:rPr>
              <w:t>Comité</w:t>
            </w:r>
            <w:r w:rsidRPr="00F71EF2">
              <w:t xml:space="preserve"> </w:t>
            </w:r>
            <w:r w:rsidRPr="00F71EF2">
              <w:rPr>
                <w:lang w:val="fr-FR"/>
              </w:rPr>
              <w:t>d’Approbation</w:t>
            </w:r>
            <w:r w:rsidRPr="00F71EF2">
              <w:t xml:space="preserve"> des </w:t>
            </w:r>
            <w:r w:rsidRPr="00F71EF2">
              <w:rPr>
                <w:lang w:val="fr-FR"/>
              </w:rPr>
              <w:t>Projets</w:t>
            </w:r>
          </w:p>
        </w:tc>
      </w:tr>
      <w:tr w:rsidR="009E0887" w:rsidRPr="00F71EF2">
        <w:trPr>
          <w:trHeight w:val="274"/>
          <w:jc w:val="center"/>
        </w:trPr>
        <w:tc>
          <w:tcPr>
            <w:tcW w:w="1017" w:type="dxa"/>
          </w:tcPr>
          <w:p w:rsidR="009E0887" w:rsidRPr="00F71EF2" w:rsidRDefault="009E0887" w:rsidP="00F71EF2">
            <w:pPr>
              <w:spacing w:line="276" w:lineRule="auto"/>
              <w:rPr>
                <w:lang w:val="fr-FR"/>
              </w:rPr>
            </w:pPr>
            <w:r w:rsidRPr="00F71EF2">
              <w:rPr>
                <w:b/>
              </w:rPr>
              <w:t>CCI</w:t>
            </w:r>
          </w:p>
        </w:tc>
        <w:tc>
          <w:tcPr>
            <w:tcW w:w="8322" w:type="dxa"/>
          </w:tcPr>
          <w:p w:rsidR="009E0887" w:rsidRPr="00F71EF2" w:rsidRDefault="009E0887" w:rsidP="00F71EF2">
            <w:pPr>
              <w:spacing w:line="276" w:lineRule="auto"/>
            </w:pPr>
            <w:r w:rsidRPr="00F71EF2">
              <w:t xml:space="preserve">Centre de </w:t>
            </w:r>
            <w:r w:rsidRPr="00F71EF2">
              <w:rPr>
                <w:lang w:val="fr-FR"/>
              </w:rPr>
              <w:t>Commandement</w:t>
            </w:r>
            <w:r w:rsidRPr="00F71EF2">
              <w:t xml:space="preserve"> </w:t>
            </w:r>
            <w:r w:rsidRPr="00F71EF2">
              <w:rPr>
                <w:lang w:val="fr-FR"/>
              </w:rPr>
              <w:t>Intégré</w:t>
            </w:r>
          </w:p>
        </w:tc>
      </w:tr>
      <w:tr w:rsidR="009E0887" w:rsidRPr="00F71EF2">
        <w:trPr>
          <w:trHeight w:val="274"/>
          <w:jc w:val="center"/>
        </w:trPr>
        <w:tc>
          <w:tcPr>
            <w:tcW w:w="1017" w:type="dxa"/>
          </w:tcPr>
          <w:p w:rsidR="009E0887" w:rsidRPr="00F71EF2" w:rsidRDefault="009E0887" w:rsidP="00F71EF2">
            <w:pPr>
              <w:spacing w:line="276" w:lineRule="auto"/>
              <w:rPr>
                <w:lang w:val="fr-FR"/>
              </w:rPr>
            </w:pPr>
            <w:r w:rsidRPr="00F71EF2">
              <w:rPr>
                <w:b/>
              </w:rPr>
              <w:t>DDM</w:t>
            </w:r>
          </w:p>
        </w:tc>
        <w:tc>
          <w:tcPr>
            <w:tcW w:w="8322" w:type="dxa"/>
          </w:tcPr>
          <w:p w:rsidR="009E0887" w:rsidRPr="00F71EF2" w:rsidRDefault="009E0887" w:rsidP="00F71EF2">
            <w:pPr>
              <w:spacing w:line="276" w:lineRule="auto"/>
              <w:rPr>
                <w:lang w:val="fr-FR"/>
              </w:rPr>
            </w:pPr>
            <w:r w:rsidRPr="00F71EF2">
              <w:rPr>
                <w:lang w:val="fr-FR"/>
              </w:rPr>
              <w:t>Désarmement et Démantèlement des Milices</w:t>
            </w:r>
          </w:p>
        </w:tc>
      </w:tr>
      <w:tr w:rsidR="009E0887" w:rsidRPr="00F71EF2">
        <w:trPr>
          <w:trHeight w:val="274"/>
          <w:jc w:val="center"/>
        </w:trPr>
        <w:tc>
          <w:tcPr>
            <w:tcW w:w="1017" w:type="dxa"/>
          </w:tcPr>
          <w:p w:rsidR="009E0887" w:rsidRPr="00F71EF2" w:rsidRDefault="009E0887" w:rsidP="00F71EF2">
            <w:pPr>
              <w:spacing w:line="276" w:lineRule="auto"/>
              <w:rPr>
                <w:lang w:val="fr-FR"/>
              </w:rPr>
            </w:pPr>
            <w:r w:rsidRPr="00F71EF2">
              <w:rPr>
                <w:b/>
              </w:rPr>
              <w:t>DDR</w:t>
            </w:r>
          </w:p>
        </w:tc>
        <w:tc>
          <w:tcPr>
            <w:tcW w:w="8322" w:type="dxa"/>
          </w:tcPr>
          <w:p w:rsidR="009E0887" w:rsidRPr="00F71EF2" w:rsidRDefault="009E0887" w:rsidP="00F71EF2">
            <w:pPr>
              <w:spacing w:line="276" w:lineRule="auto"/>
            </w:pPr>
            <w:r w:rsidRPr="00F71EF2">
              <w:rPr>
                <w:lang w:val="fr-FR"/>
              </w:rPr>
              <w:t>Désarmement</w:t>
            </w:r>
            <w:r w:rsidRPr="00F71EF2">
              <w:t xml:space="preserve"> </w:t>
            </w:r>
            <w:r w:rsidRPr="00F71EF2">
              <w:rPr>
                <w:lang w:val="fr-FR"/>
              </w:rPr>
              <w:t>Démobilisation</w:t>
            </w:r>
            <w:r w:rsidRPr="00F71EF2">
              <w:t xml:space="preserve"> et </w:t>
            </w:r>
            <w:r w:rsidRPr="00F71EF2">
              <w:rPr>
                <w:lang w:val="fr-FR"/>
              </w:rPr>
              <w:t>Réinsertion</w:t>
            </w:r>
          </w:p>
        </w:tc>
      </w:tr>
      <w:tr w:rsidR="009E0887" w:rsidRPr="00F71EF2">
        <w:trPr>
          <w:trHeight w:val="54"/>
          <w:jc w:val="center"/>
        </w:trPr>
        <w:tc>
          <w:tcPr>
            <w:tcW w:w="1017" w:type="dxa"/>
          </w:tcPr>
          <w:p w:rsidR="009E0887" w:rsidRPr="00F71EF2" w:rsidRDefault="009E0887" w:rsidP="00F71EF2">
            <w:pPr>
              <w:spacing w:line="276" w:lineRule="auto"/>
              <w:rPr>
                <w:lang w:val="fr-FR"/>
              </w:rPr>
            </w:pPr>
            <w:r w:rsidRPr="00F71EF2">
              <w:rPr>
                <w:b/>
              </w:rPr>
              <w:t>DPKO</w:t>
            </w:r>
          </w:p>
        </w:tc>
        <w:tc>
          <w:tcPr>
            <w:tcW w:w="8322" w:type="dxa"/>
          </w:tcPr>
          <w:p w:rsidR="009E0887" w:rsidRPr="00F71EF2" w:rsidRDefault="009E0887" w:rsidP="00F71EF2">
            <w:pPr>
              <w:spacing w:line="276" w:lineRule="auto"/>
              <w:rPr>
                <w:lang w:val="fr-FR"/>
              </w:rPr>
            </w:pPr>
            <w:r w:rsidRPr="00F71EF2">
              <w:rPr>
                <w:lang w:val="fr-FR"/>
              </w:rPr>
              <w:t xml:space="preserve">Département des Opérations de Maintien de la Paix </w:t>
            </w:r>
          </w:p>
        </w:tc>
      </w:tr>
      <w:tr w:rsidR="009E0887" w:rsidRPr="00F71EF2">
        <w:trPr>
          <w:trHeight w:val="54"/>
          <w:jc w:val="center"/>
        </w:trPr>
        <w:tc>
          <w:tcPr>
            <w:tcW w:w="1017" w:type="dxa"/>
          </w:tcPr>
          <w:p w:rsidR="009E0887" w:rsidRPr="00F71EF2" w:rsidRDefault="009E0887" w:rsidP="00F71EF2">
            <w:pPr>
              <w:spacing w:line="276" w:lineRule="auto"/>
              <w:rPr>
                <w:b/>
              </w:rPr>
            </w:pPr>
            <w:r w:rsidRPr="00F71EF2">
              <w:rPr>
                <w:b/>
              </w:rPr>
              <w:t>FAFN</w:t>
            </w:r>
          </w:p>
        </w:tc>
        <w:tc>
          <w:tcPr>
            <w:tcW w:w="8322" w:type="dxa"/>
          </w:tcPr>
          <w:p w:rsidR="009E0887" w:rsidRPr="00F71EF2" w:rsidRDefault="009E0887" w:rsidP="00F71EF2">
            <w:pPr>
              <w:spacing w:line="276" w:lineRule="auto"/>
              <w:rPr>
                <w:lang w:val="fr-FR"/>
              </w:rPr>
            </w:pPr>
            <w:r w:rsidRPr="00F71EF2">
              <w:rPr>
                <w:lang w:val="fr-FR"/>
              </w:rPr>
              <w:t>Forces Armées des Forces Nouvelles</w:t>
            </w:r>
          </w:p>
        </w:tc>
      </w:tr>
      <w:tr w:rsidR="009E0887" w:rsidRPr="00F71EF2">
        <w:trPr>
          <w:trHeight w:val="54"/>
          <w:jc w:val="center"/>
        </w:trPr>
        <w:tc>
          <w:tcPr>
            <w:tcW w:w="1017" w:type="dxa"/>
          </w:tcPr>
          <w:p w:rsidR="009E0887" w:rsidRPr="00F71EF2" w:rsidRDefault="009E0887" w:rsidP="00F71EF2">
            <w:pPr>
              <w:spacing w:line="276" w:lineRule="auto"/>
              <w:rPr>
                <w:b/>
                <w:highlight w:val="yellow"/>
              </w:rPr>
            </w:pPr>
            <w:r w:rsidRPr="00F71EF2">
              <w:rPr>
                <w:b/>
              </w:rPr>
              <w:t>FCFA</w:t>
            </w:r>
          </w:p>
        </w:tc>
        <w:tc>
          <w:tcPr>
            <w:tcW w:w="8322" w:type="dxa"/>
          </w:tcPr>
          <w:p w:rsidR="009E0887" w:rsidRPr="00F71EF2" w:rsidRDefault="009E0887" w:rsidP="00F71EF2">
            <w:pPr>
              <w:spacing w:line="276" w:lineRule="auto"/>
              <w:rPr>
                <w:lang w:val="fr-FR"/>
              </w:rPr>
            </w:pPr>
            <w:r w:rsidRPr="00F71EF2">
              <w:rPr>
                <w:lang w:val="fr-FR"/>
              </w:rPr>
              <w:t>Francs de la Communauté Financière Africaine</w:t>
            </w:r>
          </w:p>
        </w:tc>
      </w:tr>
      <w:tr w:rsidR="009E0887" w:rsidRPr="00F71EF2">
        <w:trPr>
          <w:trHeight w:val="54"/>
          <w:jc w:val="center"/>
        </w:trPr>
        <w:tc>
          <w:tcPr>
            <w:tcW w:w="1017" w:type="dxa"/>
          </w:tcPr>
          <w:p w:rsidR="009E0887" w:rsidRPr="00F71EF2" w:rsidRDefault="009E0887" w:rsidP="00F71EF2">
            <w:pPr>
              <w:spacing w:line="276" w:lineRule="auto"/>
              <w:rPr>
                <w:b/>
              </w:rPr>
            </w:pPr>
            <w:r w:rsidRPr="00F71EF2">
              <w:rPr>
                <w:b/>
              </w:rPr>
              <w:t>FCP</w:t>
            </w:r>
          </w:p>
        </w:tc>
        <w:tc>
          <w:tcPr>
            <w:tcW w:w="8322" w:type="dxa"/>
          </w:tcPr>
          <w:p w:rsidR="009E0887" w:rsidRPr="00F71EF2" w:rsidRDefault="009E0887" w:rsidP="00F71EF2">
            <w:pPr>
              <w:spacing w:line="276" w:lineRule="auto"/>
              <w:rPr>
                <w:lang w:val="fr-FR"/>
              </w:rPr>
            </w:pPr>
            <w:r w:rsidRPr="00F71EF2">
              <w:rPr>
                <w:lang w:val="fr-FR"/>
              </w:rPr>
              <w:t>Fonds de Consolidation de la Paix</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FDFP</w:t>
            </w:r>
          </w:p>
        </w:tc>
        <w:tc>
          <w:tcPr>
            <w:tcW w:w="8322" w:type="dxa"/>
          </w:tcPr>
          <w:p w:rsidR="009E0887" w:rsidRPr="00F71EF2" w:rsidRDefault="009E0887" w:rsidP="00F71EF2">
            <w:pPr>
              <w:spacing w:line="276" w:lineRule="auto"/>
              <w:rPr>
                <w:lang w:val="fr-FR"/>
              </w:rPr>
            </w:pPr>
            <w:r w:rsidRPr="00F71EF2">
              <w:rPr>
                <w:lang w:val="fr-FR"/>
              </w:rPr>
              <w:t>Fonds de Développement de la Formation Professionnelle</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JR</w:t>
            </w:r>
          </w:p>
        </w:tc>
        <w:tc>
          <w:tcPr>
            <w:tcW w:w="8322" w:type="dxa"/>
          </w:tcPr>
          <w:p w:rsidR="009E0887" w:rsidRPr="00F71EF2" w:rsidRDefault="009E0887" w:rsidP="00F71EF2">
            <w:pPr>
              <w:spacing w:line="276" w:lineRule="auto"/>
            </w:pPr>
            <w:r w:rsidRPr="00F71EF2">
              <w:rPr>
                <w:lang w:val="fr-FR"/>
              </w:rPr>
              <w:t>Jeunes</w:t>
            </w:r>
            <w:r w:rsidRPr="00F71EF2">
              <w:t xml:space="preserve"> à </w:t>
            </w:r>
            <w:r w:rsidRPr="00F71EF2">
              <w:rPr>
                <w:lang w:val="fr-FR"/>
              </w:rPr>
              <w:t>Risque</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MP</w:t>
            </w:r>
          </w:p>
        </w:tc>
        <w:tc>
          <w:tcPr>
            <w:tcW w:w="8322" w:type="dxa"/>
          </w:tcPr>
          <w:p w:rsidR="009E0887" w:rsidRPr="00F71EF2" w:rsidRDefault="009E0887" w:rsidP="00F71EF2">
            <w:pPr>
              <w:spacing w:line="276" w:lineRule="auto"/>
            </w:pPr>
            <w:r w:rsidRPr="00F71EF2">
              <w:rPr>
                <w:lang w:val="fr-FR"/>
              </w:rPr>
              <w:t>Microprojets</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ONUCI</w:t>
            </w:r>
          </w:p>
        </w:tc>
        <w:tc>
          <w:tcPr>
            <w:tcW w:w="8322" w:type="dxa"/>
          </w:tcPr>
          <w:p w:rsidR="009E0887" w:rsidRPr="00F71EF2" w:rsidRDefault="009E0887" w:rsidP="00F71EF2">
            <w:pPr>
              <w:spacing w:line="276" w:lineRule="auto"/>
              <w:rPr>
                <w:lang w:val="fr-FR"/>
              </w:rPr>
            </w:pPr>
            <w:r w:rsidRPr="00F71EF2">
              <w:rPr>
                <w:lang w:val="fr-FR"/>
              </w:rPr>
              <w:t>Opération des Nations Unies en Côte d’Ivoire</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PBF</w:t>
            </w:r>
          </w:p>
        </w:tc>
        <w:tc>
          <w:tcPr>
            <w:tcW w:w="8322" w:type="dxa"/>
          </w:tcPr>
          <w:p w:rsidR="009E0887" w:rsidRPr="00F71EF2" w:rsidRDefault="009E0887" w:rsidP="00F71EF2">
            <w:pPr>
              <w:spacing w:line="276" w:lineRule="auto"/>
            </w:pPr>
            <w:smartTag w:uri="urn:schemas-microsoft-com:office:smarttags" w:element="place">
              <w:smartTag w:uri="urn:schemas-microsoft-com:office:smarttags" w:element="PlaceName">
                <w:r w:rsidRPr="00F71EF2">
                  <w:t>Peace</w:t>
                </w:r>
              </w:smartTag>
              <w:r w:rsidRPr="00F71EF2">
                <w:t xml:space="preserve"> </w:t>
              </w:r>
              <w:smartTag w:uri="urn:schemas-microsoft-com:office:smarttags" w:element="PlaceType">
                <w:r w:rsidRPr="00F71EF2">
                  <w:t>Building</w:t>
                </w:r>
              </w:smartTag>
            </w:smartTag>
            <w:r w:rsidRPr="00F71EF2">
              <w:t xml:space="preserve"> Fund</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PBSO</w:t>
            </w:r>
          </w:p>
        </w:tc>
        <w:tc>
          <w:tcPr>
            <w:tcW w:w="8322" w:type="dxa"/>
          </w:tcPr>
          <w:p w:rsidR="009E0887" w:rsidRPr="00F71EF2" w:rsidRDefault="009E0887" w:rsidP="00F71EF2">
            <w:pPr>
              <w:spacing w:line="276" w:lineRule="auto"/>
              <w:rPr>
                <w:lang w:val="fr-FR"/>
              </w:rPr>
            </w:pPr>
            <w:r w:rsidRPr="00F71EF2">
              <w:rPr>
                <w:lang w:val="fr-FR"/>
              </w:rPr>
              <w:t>Bureau d’Appui à la Consolidation de la Paix</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PNUD</w:t>
            </w:r>
          </w:p>
        </w:tc>
        <w:tc>
          <w:tcPr>
            <w:tcW w:w="8322" w:type="dxa"/>
          </w:tcPr>
          <w:p w:rsidR="009E0887" w:rsidRPr="00F71EF2" w:rsidRDefault="009E0887" w:rsidP="00F71EF2">
            <w:pPr>
              <w:spacing w:line="276" w:lineRule="auto"/>
              <w:rPr>
                <w:lang w:val="fr-FR"/>
              </w:rPr>
            </w:pPr>
            <w:r w:rsidRPr="00F71EF2">
              <w:rPr>
                <w:lang w:val="fr-FR"/>
              </w:rPr>
              <w:t>Programme des Nations Unies pour le Développement</w:t>
            </w:r>
          </w:p>
        </w:tc>
      </w:tr>
      <w:tr w:rsidR="009E0887" w:rsidRPr="00F71EF2">
        <w:trPr>
          <w:trHeight w:val="27"/>
          <w:jc w:val="center"/>
        </w:trPr>
        <w:tc>
          <w:tcPr>
            <w:tcW w:w="1017" w:type="dxa"/>
          </w:tcPr>
          <w:p w:rsidR="009E0887" w:rsidRPr="00F71EF2" w:rsidRDefault="009E0887" w:rsidP="00F71EF2">
            <w:pPr>
              <w:spacing w:line="276" w:lineRule="auto"/>
              <w:rPr>
                <w:b/>
                <w:highlight w:val="yellow"/>
              </w:rPr>
            </w:pPr>
            <w:r w:rsidRPr="00F71EF2">
              <w:rPr>
                <w:b/>
              </w:rPr>
              <w:t>QIPs</w:t>
            </w:r>
          </w:p>
        </w:tc>
        <w:tc>
          <w:tcPr>
            <w:tcW w:w="8322" w:type="dxa"/>
          </w:tcPr>
          <w:p w:rsidR="009E0887" w:rsidRPr="00F71EF2" w:rsidRDefault="009E0887" w:rsidP="00F71EF2">
            <w:pPr>
              <w:spacing w:line="276" w:lineRule="auto"/>
            </w:pPr>
            <w:r w:rsidRPr="00F71EF2">
              <w:t>Quick Impact Projects</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SIK</w:t>
            </w:r>
          </w:p>
        </w:tc>
        <w:tc>
          <w:tcPr>
            <w:tcW w:w="8322" w:type="dxa"/>
          </w:tcPr>
          <w:p w:rsidR="009E0887" w:rsidRPr="00F71EF2" w:rsidRDefault="009E0887" w:rsidP="00F71EF2">
            <w:pPr>
              <w:spacing w:line="276" w:lineRule="auto"/>
              <w:rPr>
                <w:lang w:val="fr-FR"/>
              </w:rPr>
            </w:pPr>
            <w:r w:rsidRPr="00F71EF2">
              <w:rPr>
                <w:lang w:val="fr-FR"/>
              </w:rPr>
              <w:t>Centre pour la Communication Internationale (Senter For Interkulturell Kommunikasjon)</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UPC</w:t>
            </w:r>
          </w:p>
        </w:tc>
        <w:tc>
          <w:tcPr>
            <w:tcW w:w="8322" w:type="dxa"/>
          </w:tcPr>
          <w:p w:rsidR="009E0887" w:rsidRPr="00F71EF2" w:rsidRDefault="009E0887" w:rsidP="00F71EF2">
            <w:pPr>
              <w:spacing w:line="276" w:lineRule="auto"/>
            </w:pPr>
            <w:r w:rsidRPr="00F71EF2">
              <w:rPr>
                <w:lang w:val="fr-FR"/>
              </w:rPr>
              <w:t>Unité</w:t>
            </w:r>
            <w:r w:rsidRPr="00F71EF2">
              <w:t xml:space="preserve"> Post-</w:t>
            </w:r>
            <w:r w:rsidRPr="00F71EF2">
              <w:rPr>
                <w:lang w:val="fr-FR"/>
              </w:rPr>
              <w:t>Crise</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XC</w:t>
            </w:r>
          </w:p>
        </w:tc>
        <w:tc>
          <w:tcPr>
            <w:tcW w:w="8322" w:type="dxa"/>
          </w:tcPr>
          <w:p w:rsidR="009E0887" w:rsidRPr="00F71EF2" w:rsidRDefault="009E0887" w:rsidP="00F71EF2">
            <w:pPr>
              <w:spacing w:line="276" w:lineRule="auto"/>
            </w:pPr>
            <w:r w:rsidRPr="00F71EF2">
              <w:t>Ex-</w:t>
            </w:r>
            <w:r w:rsidRPr="00F71EF2">
              <w:rPr>
                <w:lang w:val="fr-FR"/>
              </w:rPr>
              <w:t>Combattants</w:t>
            </w:r>
          </w:p>
        </w:tc>
      </w:tr>
      <w:tr w:rsidR="009E0887" w:rsidRPr="00F71EF2">
        <w:trPr>
          <w:trHeight w:val="27"/>
          <w:jc w:val="center"/>
        </w:trPr>
        <w:tc>
          <w:tcPr>
            <w:tcW w:w="1017" w:type="dxa"/>
          </w:tcPr>
          <w:p w:rsidR="009E0887" w:rsidRPr="00F71EF2" w:rsidRDefault="009E0887" w:rsidP="00F71EF2">
            <w:pPr>
              <w:spacing w:line="276" w:lineRule="auto"/>
              <w:rPr>
                <w:b/>
              </w:rPr>
            </w:pPr>
            <w:r w:rsidRPr="00F71EF2">
              <w:rPr>
                <w:b/>
              </w:rPr>
              <w:t>XGAD</w:t>
            </w:r>
          </w:p>
        </w:tc>
        <w:tc>
          <w:tcPr>
            <w:tcW w:w="8322" w:type="dxa"/>
          </w:tcPr>
          <w:p w:rsidR="009E0887" w:rsidRPr="00F71EF2" w:rsidRDefault="009E0887" w:rsidP="00F71EF2">
            <w:pPr>
              <w:spacing w:line="276" w:lineRule="auto"/>
              <w:rPr>
                <w:lang w:val="fr-FR"/>
              </w:rPr>
            </w:pPr>
            <w:r w:rsidRPr="00F71EF2">
              <w:rPr>
                <w:lang w:val="fr-FR"/>
              </w:rPr>
              <w:t>Ex-membres des Groupes d’Auto-défense</w:t>
            </w:r>
          </w:p>
        </w:tc>
      </w:tr>
    </w:tbl>
    <w:p w:rsidR="00F03093" w:rsidRPr="00F71EF2" w:rsidRDefault="00F03093" w:rsidP="00757E68">
      <w:pPr>
        <w:pStyle w:val="Heading1"/>
        <w:tabs>
          <w:tab w:val="left" w:pos="360"/>
        </w:tabs>
        <w:spacing w:line="276" w:lineRule="auto"/>
        <w:ind w:left="0"/>
        <w:rPr>
          <w:rFonts w:ascii="Times New Roman" w:hAnsi="Times New Roman" w:cs="Times New Roman"/>
          <w:sz w:val="24"/>
          <w:szCs w:val="24"/>
          <w:u w:val="single"/>
        </w:rPr>
      </w:pPr>
    </w:p>
    <w:sectPr w:rsidR="00F03093" w:rsidRPr="00F71EF2">
      <w:footerReference w:type="default" r:id="rId8"/>
      <w:footerReference w:type="first" r:id="rId9"/>
      <w:pgSz w:w="12240" w:h="15840" w:code="1"/>
      <w:pgMar w:top="1152" w:right="135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5E" w:rsidRDefault="008C635E">
      <w:r>
        <w:separator/>
      </w:r>
    </w:p>
  </w:endnote>
  <w:endnote w:type="continuationSeparator" w:id="0">
    <w:p w:rsidR="008C635E" w:rsidRDefault="008C6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80" w:rsidRDefault="006A3780">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E6F4A">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4E6F4A" w:rsidRPr="004E6F4A">
        <w:rPr>
          <w:rFonts w:ascii="Arial" w:hAnsi="Arial" w:cs="Arial"/>
          <w:noProof/>
          <w:sz w:val="18"/>
          <w:szCs w:val="18"/>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80" w:rsidRDefault="006A3780">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006E49C2" w:rsidRPr="006E49C2">
        <w:rPr>
          <w:rFonts w:ascii="Arial" w:hAnsi="Arial" w:cs="Arial"/>
          <w:noProof/>
          <w:sz w:val="18"/>
          <w:szCs w:val="18"/>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5E" w:rsidRDefault="008C635E">
      <w:r>
        <w:separator/>
      </w:r>
    </w:p>
  </w:footnote>
  <w:footnote w:type="continuationSeparator" w:id="0">
    <w:p w:rsidR="008C635E" w:rsidRDefault="008C635E">
      <w:r>
        <w:continuationSeparator/>
      </w:r>
    </w:p>
  </w:footnote>
  <w:footnote w:id="1">
    <w:p w:rsidR="006A3780" w:rsidRPr="00F83DC8" w:rsidRDefault="006A3780" w:rsidP="00CF2EDD">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6A3780" w:rsidRDefault="006A3780" w:rsidP="00CF2EDD">
      <w:pPr>
        <w:pStyle w:val="FootnoteText"/>
        <w:jc w:val="both"/>
      </w:pPr>
      <w:r>
        <w:rPr>
          <w:rStyle w:val="FootnoteReference"/>
        </w:rPr>
        <w:footnoteRef/>
      </w:r>
      <w:r>
        <w:t xml:space="preserve"> E.g. Priority Area for the</w:t>
      </w:r>
      <w:r w:rsidRPr="002A3031">
        <w:t xml:space="preserve"> </w:t>
      </w:r>
      <w:r>
        <w:t>Peacebuilding Fund; Thematic Window for the Millennium Development Goals Fund (</w:t>
      </w:r>
      <w:smartTag w:uri="urn:schemas-microsoft-com:office:smarttags" w:element="stockticker">
        <w:r>
          <w:t>MDG</w:t>
        </w:r>
      </w:smartTag>
      <w:r>
        <w:t xml:space="preserve">-F); etc. </w:t>
      </w:r>
    </w:p>
  </w:footnote>
  <w:footnote w:id="3">
    <w:p w:rsidR="006A3780" w:rsidRPr="005E010F" w:rsidRDefault="006A3780" w:rsidP="005E010F">
      <w:pPr>
        <w:pStyle w:val="FootnoteText"/>
        <w:jc w:val="both"/>
        <w:rPr>
          <w:lang w:val="en-GB"/>
        </w:rPr>
      </w:pPr>
      <w:r>
        <w:rPr>
          <w:rStyle w:val="FootnoteReference"/>
        </w:rPr>
        <w:footnoteRef/>
      </w:r>
      <w:r w:rsidRPr="005E010F">
        <w:t xml:space="preserve"> </w:t>
      </w:r>
      <w:r>
        <w:t>The start date is the date of the first transfer of funds from the MDTF Office as Administrative Agent.</w:t>
      </w:r>
    </w:p>
  </w:footnote>
  <w:footnote w:id="4">
    <w:p w:rsidR="006A3780" w:rsidRPr="005E010F" w:rsidRDefault="006A3780" w:rsidP="005E010F">
      <w:pPr>
        <w:pStyle w:val="FootnoteText"/>
        <w:jc w:val="both"/>
        <w:rPr>
          <w:lang w:val="fr-FR"/>
        </w:rPr>
      </w:pPr>
      <w:r>
        <w:rPr>
          <w:rStyle w:val="FootnoteReference"/>
        </w:rPr>
        <w:footnoteRef/>
      </w:r>
      <w:r w:rsidRPr="005E010F">
        <w:t xml:space="preserve"> </w:t>
      </w:r>
      <w:r>
        <w:t xml:space="preserve">All activities for which a Participating Organization is responsible under an approved MDTF programme have been completed. </w:t>
      </w:r>
      <w:r w:rsidRPr="000A5646">
        <w:rPr>
          <w:lang w:val="fr-FR"/>
        </w:rPr>
        <w:t>Agencies to advise the MDTF Office.</w:t>
      </w:r>
    </w:p>
  </w:footnote>
  <w:footnote w:id="5">
    <w:p w:rsidR="006A3780" w:rsidRPr="00127C5E" w:rsidRDefault="006A3780" w:rsidP="001B6F11">
      <w:pPr>
        <w:pStyle w:val="FootnoteText"/>
        <w:rPr>
          <w:lang w:val="fr-FR"/>
        </w:rPr>
      </w:pPr>
      <w:r>
        <w:rPr>
          <w:rStyle w:val="FootnoteReference"/>
        </w:rPr>
        <w:footnoteRef/>
      </w:r>
      <w:r w:rsidRPr="000A5646">
        <w:rPr>
          <w:lang w:val="fr-FR"/>
        </w:rPr>
        <w:t xml:space="preserve"> </w:t>
      </w:r>
      <w:r>
        <w:rPr>
          <w:lang w:val="fr-FR"/>
        </w:rPr>
        <w:t>Le taux de conversion rete</w:t>
      </w:r>
      <w:r w:rsidR="00FE51A7">
        <w:rPr>
          <w:lang w:val="fr-FR"/>
        </w:rPr>
        <w:t>nu pour ce calcul est celui de m</w:t>
      </w:r>
      <w:r>
        <w:rPr>
          <w:lang w:val="fr-FR"/>
        </w:rPr>
        <w:t>ars 2010.</w:t>
      </w:r>
      <w:r w:rsidRPr="000A5646">
        <w:rPr>
          <w:lang w:val="fr-FR"/>
        </w:rPr>
        <w:t xml:space="preserve"> 1USD = 486,064 FCFA.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5591A"/>
    <w:multiLevelType w:val="hybridMultilevel"/>
    <w:tmpl w:val="DAFA5E9E"/>
    <w:lvl w:ilvl="0" w:tplc="905E08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EF31BA"/>
    <w:multiLevelType w:val="hybridMultilevel"/>
    <w:tmpl w:val="D2047804"/>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4A50A3"/>
    <w:multiLevelType w:val="hybridMultilevel"/>
    <w:tmpl w:val="212CFE90"/>
    <w:lvl w:ilvl="0" w:tplc="90D012CE">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DA287F"/>
    <w:multiLevelType w:val="hybridMultilevel"/>
    <w:tmpl w:val="9D788BE8"/>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CB609D"/>
    <w:multiLevelType w:val="hybridMultilevel"/>
    <w:tmpl w:val="2A985FF6"/>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612227"/>
    <w:multiLevelType w:val="hybridMultilevel"/>
    <w:tmpl w:val="5C92D1E8"/>
    <w:lvl w:ilvl="0" w:tplc="113C931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5819DA"/>
    <w:multiLevelType w:val="hybridMultilevel"/>
    <w:tmpl w:val="F650036E"/>
    <w:lvl w:ilvl="0" w:tplc="040C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6075B"/>
    <w:multiLevelType w:val="hybridMultilevel"/>
    <w:tmpl w:val="A9F00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5E31A7"/>
    <w:multiLevelType w:val="hybridMultilevel"/>
    <w:tmpl w:val="B1EE9CE8"/>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6308DC"/>
    <w:multiLevelType w:val="multilevel"/>
    <w:tmpl w:val="18C80D1E"/>
    <w:lvl w:ilvl="0">
      <w:start w:val="1"/>
      <w:numFmt w:val="upperRoman"/>
      <w:lvlText w:val="%1."/>
      <w:lvlJc w:val="righ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6316B4"/>
    <w:multiLevelType w:val="hybridMultilevel"/>
    <w:tmpl w:val="62F85384"/>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450BF6"/>
    <w:multiLevelType w:val="hybridMultilevel"/>
    <w:tmpl w:val="333AC290"/>
    <w:lvl w:ilvl="0" w:tplc="04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A40638"/>
    <w:multiLevelType w:val="hybridMultilevel"/>
    <w:tmpl w:val="E6A00F12"/>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244C14"/>
    <w:multiLevelType w:val="hybridMultilevel"/>
    <w:tmpl w:val="D30860FE"/>
    <w:lvl w:ilvl="0" w:tplc="B2D04E1A">
      <w:start w:val="1"/>
      <w:numFmt w:val="lowerRoman"/>
      <w:lvlText w:val="(%1)"/>
      <w:lvlJc w:val="left"/>
      <w:pPr>
        <w:ind w:left="108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1F4737"/>
    <w:multiLevelType w:val="hybridMultilevel"/>
    <w:tmpl w:val="7AE28BEE"/>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81532B"/>
    <w:multiLevelType w:val="hybridMultilevel"/>
    <w:tmpl w:val="C5446DC0"/>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AA5AFE"/>
    <w:multiLevelType w:val="hybridMultilevel"/>
    <w:tmpl w:val="7C180CD4"/>
    <w:lvl w:ilvl="0" w:tplc="04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D9428E"/>
    <w:multiLevelType w:val="hybridMultilevel"/>
    <w:tmpl w:val="FA58BCDC"/>
    <w:lvl w:ilvl="0" w:tplc="04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A24A48"/>
    <w:multiLevelType w:val="hybridMultilevel"/>
    <w:tmpl w:val="DAD26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413C2C"/>
    <w:multiLevelType w:val="hybridMultilevel"/>
    <w:tmpl w:val="37B6D20E"/>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6A2419"/>
    <w:multiLevelType w:val="hybridMultilevel"/>
    <w:tmpl w:val="56E85E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1630DE"/>
    <w:multiLevelType w:val="hybridMultilevel"/>
    <w:tmpl w:val="D6BC6E2A"/>
    <w:lvl w:ilvl="0" w:tplc="B77A4BB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3D5045"/>
    <w:multiLevelType w:val="hybridMultilevel"/>
    <w:tmpl w:val="42926312"/>
    <w:lvl w:ilvl="0" w:tplc="B77A4BB2">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602CC3"/>
    <w:multiLevelType w:val="multilevel"/>
    <w:tmpl w:val="1226C12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C04896"/>
    <w:multiLevelType w:val="multilevel"/>
    <w:tmpl w:val="C7CEB6D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B54344"/>
    <w:multiLevelType w:val="hybridMultilevel"/>
    <w:tmpl w:val="C4FE0198"/>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DBF673B"/>
    <w:multiLevelType w:val="multilevel"/>
    <w:tmpl w:val="1A94011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19"/>
  </w:num>
  <w:num w:numId="4">
    <w:abstractNumId w:val="11"/>
  </w:num>
  <w:num w:numId="5">
    <w:abstractNumId w:val="20"/>
  </w:num>
  <w:num w:numId="6">
    <w:abstractNumId w:val="13"/>
  </w:num>
  <w:num w:numId="7">
    <w:abstractNumId w:val="25"/>
  </w:num>
  <w:num w:numId="8">
    <w:abstractNumId w:val="7"/>
  </w:num>
  <w:num w:numId="9">
    <w:abstractNumId w:val="1"/>
  </w:num>
  <w:num w:numId="10">
    <w:abstractNumId w:val="9"/>
  </w:num>
  <w:num w:numId="11">
    <w:abstractNumId w:val="22"/>
  </w:num>
  <w:num w:numId="12">
    <w:abstractNumId w:val="3"/>
  </w:num>
  <w:num w:numId="13">
    <w:abstractNumId w:val="24"/>
  </w:num>
  <w:num w:numId="14">
    <w:abstractNumId w:val="18"/>
  </w:num>
  <w:num w:numId="15">
    <w:abstractNumId w:val="27"/>
  </w:num>
  <w:num w:numId="16">
    <w:abstractNumId w:val="2"/>
  </w:num>
  <w:num w:numId="17">
    <w:abstractNumId w:val="15"/>
  </w:num>
  <w:num w:numId="18">
    <w:abstractNumId w:val="14"/>
  </w:num>
  <w:num w:numId="19">
    <w:abstractNumId w:val="5"/>
  </w:num>
  <w:num w:numId="20">
    <w:abstractNumId w:val="21"/>
  </w:num>
  <w:num w:numId="21">
    <w:abstractNumId w:val="16"/>
  </w:num>
  <w:num w:numId="22">
    <w:abstractNumId w:val="23"/>
  </w:num>
  <w:num w:numId="23">
    <w:abstractNumId w:val="12"/>
  </w:num>
  <w:num w:numId="24">
    <w:abstractNumId w:val="17"/>
  </w:num>
  <w:num w:numId="25">
    <w:abstractNumId w:val="6"/>
  </w:num>
  <w:num w:numId="26">
    <w:abstractNumId w:val="10"/>
  </w:num>
  <w:num w:numId="27">
    <w:abstractNumId w:val="28"/>
  </w:num>
  <w:num w:numId="28">
    <w:abstractNumId w:val="26"/>
  </w:num>
  <w:num w:numId="29">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B1AE2"/>
    <w:rsid w:val="00002079"/>
    <w:rsid w:val="00002EC5"/>
    <w:rsid w:val="000039E9"/>
    <w:rsid w:val="00065D52"/>
    <w:rsid w:val="000A5646"/>
    <w:rsid w:val="000E69E8"/>
    <w:rsid w:val="000F202B"/>
    <w:rsid w:val="00104133"/>
    <w:rsid w:val="00115145"/>
    <w:rsid w:val="001179C3"/>
    <w:rsid w:val="00127C5E"/>
    <w:rsid w:val="00172046"/>
    <w:rsid w:val="00181C49"/>
    <w:rsid w:val="001A4F31"/>
    <w:rsid w:val="001B6F11"/>
    <w:rsid w:val="001E2C85"/>
    <w:rsid w:val="001F53AC"/>
    <w:rsid w:val="0020398E"/>
    <w:rsid w:val="002208ED"/>
    <w:rsid w:val="002226E5"/>
    <w:rsid w:val="00230CEC"/>
    <w:rsid w:val="00251C11"/>
    <w:rsid w:val="00255EC1"/>
    <w:rsid w:val="002722B8"/>
    <w:rsid w:val="0027342F"/>
    <w:rsid w:val="00275151"/>
    <w:rsid w:val="00276C8A"/>
    <w:rsid w:val="00284B67"/>
    <w:rsid w:val="00295461"/>
    <w:rsid w:val="00296DEE"/>
    <w:rsid w:val="002A1F70"/>
    <w:rsid w:val="002A443C"/>
    <w:rsid w:val="002B7B8F"/>
    <w:rsid w:val="002C5895"/>
    <w:rsid w:val="00305748"/>
    <w:rsid w:val="00305BE3"/>
    <w:rsid w:val="00323C6D"/>
    <w:rsid w:val="003456F4"/>
    <w:rsid w:val="00360F9E"/>
    <w:rsid w:val="00362E92"/>
    <w:rsid w:val="0037382C"/>
    <w:rsid w:val="00393873"/>
    <w:rsid w:val="003A74DE"/>
    <w:rsid w:val="003B010B"/>
    <w:rsid w:val="003B1E6E"/>
    <w:rsid w:val="003B5B2E"/>
    <w:rsid w:val="003C1F28"/>
    <w:rsid w:val="003E3486"/>
    <w:rsid w:val="003F5EF4"/>
    <w:rsid w:val="004005EA"/>
    <w:rsid w:val="00400D9F"/>
    <w:rsid w:val="00402024"/>
    <w:rsid w:val="00406F46"/>
    <w:rsid w:val="00414431"/>
    <w:rsid w:val="004167BE"/>
    <w:rsid w:val="0044748A"/>
    <w:rsid w:val="0045472B"/>
    <w:rsid w:val="004613AA"/>
    <w:rsid w:val="00466604"/>
    <w:rsid w:val="00474772"/>
    <w:rsid w:val="00491D83"/>
    <w:rsid w:val="00494BE2"/>
    <w:rsid w:val="004A19BC"/>
    <w:rsid w:val="004A7C9F"/>
    <w:rsid w:val="004C039C"/>
    <w:rsid w:val="004E6F4A"/>
    <w:rsid w:val="00507F25"/>
    <w:rsid w:val="00512F20"/>
    <w:rsid w:val="00536C5D"/>
    <w:rsid w:val="00536F01"/>
    <w:rsid w:val="0055711B"/>
    <w:rsid w:val="00561529"/>
    <w:rsid w:val="005760F9"/>
    <w:rsid w:val="005802C9"/>
    <w:rsid w:val="00582A07"/>
    <w:rsid w:val="00583CF0"/>
    <w:rsid w:val="005B7BA7"/>
    <w:rsid w:val="005D67D8"/>
    <w:rsid w:val="005E010F"/>
    <w:rsid w:val="006028AF"/>
    <w:rsid w:val="00611C3C"/>
    <w:rsid w:val="00614698"/>
    <w:rsid w:val="0062058F"/>
    <w:rsid w:val="00625359"/>
    <w:rsid w:val="006304B7"/>
    <w:rsid w:val="00630CED"/>
    <w:rsid w:val="00641B4D"/>
    <w:rsid w:val="00641DE9"/>
    <w:rsid w:val="00642FE1"/>
    <w:rsid w:val="00655551"/>
    <w:rsid w:val="006654DA"/>
    <w:rsid w:val="0067445A"/>
    <w:rsid w:val="00686889"/>
    <w:rsid w:val="006A3780"/>
    <w:rsid w:val="006B572B"/>
    <w:rsid w:val="006C33E3"/>
    <w:rsid w:val="006C38E7"/>
    <w:rsid w:val="006E357A"/>
    <w:rsid w:val="006E385B"/>
    <w:rsid w:val="006E49C2"/>
    <w:rsid w:val="006F7EAA"/>
    <w:rsid w:val="00706C6C"/>
    <w:rsid w:val="00720C02"/>
    <w:rsid w:val="00721778"/>
    <w:rsid w:val="00757E68"/>
    <w:rsid w:val="007631C6"/>
    <w:rsid w:val="0077363F"/>
    <w:rsid w:val="00774C4E"/>
    <w:rsid w:val="00793E6B"/>
    <w:rsid w:val="007D0AD3"/>
    <w:rsid w:val="007E3FE2"/>
    <w:rsid w:val="007F05C7"/>
    <w:rsid w:val="00810ADE"/>
    <w:rsid w:val="00812042"/>
    <w:rsid w:val="008124E4"/>
    <w:rsid w:val="00816385"/>
    <w:rsid w:val="0081723B"/>
    <w:rsid w:val="0082700E"/>
    <w:rsid w:val="008342A3"/>
    <w:rsid w:val="00871AD5"/>
    <w:rsid w:val="0087539E"/>
    <w:rsid w:val="00881763"/>
    <w:rsid w:val="008850E3"/>
    <w:rsid w:val="008A732D"/>
    <w:rsid w:val="008C635E"/>
    <w:rsid w:val="008E7B23"/>
    <w:rsid w:val="009219C5"/>
    <w:rsid w:val="009314E5"/>
    <w:rsid w:val="0095206B"/>
    <w:rsid w:val="009544DE"/>
    <w:rsid w:val="00974D6A"/>
    <w:rsid w:val="009869BF"/>
    <w:rsid w:val="009A5A1D"/>
    <w:rsid w:val="009B7E9D"/>
    <w:rsid w:val="009C346B"/>
    <w:rsid w:val="009D0043"/>
    <w:rsid w:val="009D20B5"/>
    <w:rsid w:val="009E0887"/>
    <w:rsid w:val="009E44FA"/>
    <w:rsid w:val="009E4896"/>
    <w:rsid w:val="009E7B8C"/>
    <w:rsid w:val="009F456F"/>
    <w:rsid w:val="00A017BC"/>
    <w:rsid w:val="00A05717"/>
    <w:rsid w:val="00A07179"/>
    <w:rsid w:val="00A2140B"/>
    <w:rsid w:val="00A30D1E"/>
    <w:rsid w:val="00A449CA"/>
    <w:rsid w:val="00A46026"/>
    <w:rsid w:val="00A60695"/>
    <w:rsid w:val="00A749D2"/>
    <w:rsid w:val="00A9046C"/>
    <w:rsid w:val="00AA1DEC"/>
    <w:rsid w:val="00AA3E3D"/>
    <w:rsid w:val="00AB1AE2"/>
    <w:rsid w:val="00AB2A4D"/>
    <w:rsid w:val="00AC4528"/>
    <w:rsid w:val="00AE31A4"/>
    <w:rsid w:val="00B04265"/>
    <w:rsid w:val="00B05974"/>
    <w:rsid w:val="00B3071F"/>
    <w:rsid w:val="00B551A7"/>
    <w:rsid w:val="00B76A06"/>
    <w:rsid w:val="00B85FAA"/>
    <w:rsid w:val="00B870FD"/>
    <w:rsid w:val="00B95FF0"/>
    <w:rsid w:val="00BA0F97"/>
    <w:rsid w:val="00BB25A9"/>
    <w:rsid w:val="00BB2763"/>
    <w:rsid w:val="00BB6595"/>
    <w:rsid w:val="00BB711F"/>
    <w:rsid w:val="00BB720A"/>
    <w:rsid w:val="00BC5CBE"/>
    <w:rsid w:val="00BC655F"/>
    <w:rsid w:val="00BD41AB"/>
    <w:rsid w:val="00BD6EE6"/>
    <w:rsid w:val="00C11AF0"/>
    <w:rsid w:val="00C167D1"/>
    <w:rsid w:val="00C61354"/>
    <w:rsid w:val="00C62DB6"/>
    <w:rsid w:val="00C7000D"/>
    <w:rsid w:val="00C81CA8"/>
    <w:rsid w:val="00C9206A"/>
    <w:rsid w:val="00C95592"/>
    <w:rsid w:val="00C97C0C"/>
    <w:rsid w:val="00CA0FBE"/>
    <w:rsid w:val="00CB232B"/>
    <w:rsid w:val="00CB6E43"/>
    <w:rsid w:val="00CB7557"/>
    <w:rsid w:val="00CC1050"/>
    <w:rsid w:val="00CD2EDD"/>
    <w:rsid w:val="00CD5FD5"/>
    <w:rsid w:val="00CF2EDD"/>
    <w:rsid w:val="00D0439C"/>
    <w:rsid w:val="00D07B41"/>
    <w:rsid w:val="00D241F6"/>
    <w:rsid w:val="00D40CE9"/>
    <w:rsid w:val="00D61329"/>
    <w:rsid w:val="00D84307"/>
    <w:rsid w:val="00DA294D"/>
    <w:rsid w:val="00DB3262"/>
    <w:rsid w:val="00DE1862"/>
    <w:rsid w:val="00DF0D85"/>
    <w:rsid w:val="00DF1155"/>
    <w:rsid w:val="00E37BBE"/>
    <w:rsid w:val="00E5213F"/>
    <w:rsid w:val="00E5576B"/>
    <w:rsid w:val="00E6299D"/>
    <w:rsid w:val="00E910FF"/>
    <w:rsid w:val="00E96759"/>
    <w:rsid w:val="00EA0B0B"/>
    <w:rsid w:val="00EA42EE"/>
    <w:rsid w:val="00ED24EC"/>
    <w:rsid w:val="00ED7357"/>
    <w:rsid w:val="00EE4D90"/>
    <w:rsid w:val="00EF7169"/>
    <w:rsid w:val="00F018AD"/>
    <w:rsid w:val="00F03093"/>
    <w:rsid w:val="00F131BB"/>
    <w:rsid w:val="00F21FB5"/>
    <w:rsid w:val="00F30AA5"/>
    <w:rsid w:val="00F37FAF"/>
    <w:rsid w:val="00F53F3D"/>
    <w:rsid w:val="00F60549"/>
    <w:rsid w:val="00F71974"/>
    <w:rsid w:val="00F71EF2"/>
    <w:rsid w:val="00F82DB0"/>
    <w:rsid w:val="00F96A26"/>
    <w:rsid w:val="00FB4D84"/>
    <w:rsid w:val="00FB565D"/>
    <w:rsid w:val="00FB7CF0"/>
    <w:rsid w:val="00FE51A7"/>
    <w:rsid w:val="00FE6E74"/>
    <w:rsid w:val="00FE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pPr>
      <w:keepNext/>
      <w:outlineLvl w:val="1"/>
    </w:pPr>
    <w:rPr>
      <w:b/>
      <w:bCs/>
      <w:sz w:val="26"/>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rPr>
      <w:rFonts w:ascii="Arial" w:hAnsi="Arial" w:cs="Arial"/>
      <w:b/>
      <w:bCs/>
      <w:sz w:val="20"/>
      <w:szCs w:val="20"/>
    </w:rPr>
  </w:style>
  <w:style w:type="paragraph" w:styleId="BodyText2">
    <w:name w:val="Body Text 2"/>
    <w:basedOn w:val="Normal"/>
    <w:pPr>
      <w:jc w:val="both"/>
    </w:pPr>
    <w:rPr>
      <w:rFonts w:ascii="Arial" w:hAnsi="Arial" w:cs="Arial"/>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PlainText">
    <w:name w:val="Plain Text"/>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Paragraphedeliste">
    <w:name w:val="Paragraphe de liste"/>
    <w:basedOn w:val="Normal"/>
    <w:uiPriority w:val="34"/>
    <w:qFormat/>
    <w:pPr>
      <w:ind w:left="720"/>
      <w:contextualSpacing/>
    </w:pPr>
  </w:style>
  <w:style w:type="character" w:customStyle="1" w:styleId="CharChar4">
    <w:name w:val=" Char Char4"/>
    <w:basedOn w:val="DefaultParagraphFont"/>
    <w:rPr>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CharChar3">
    <w:name w:val=" Char Char3"/>
    <w:basedOn w:val="DefaultParagraphFont"/>
  </w:style>
  <w:style w:type="paragraph" w:styleId="CommentSubject">
    <w:name w:val="annotation subject"/>
    <w:basedOn w:val="CommentText"/>
    <w:next w:val="CommentText"/>
    <w:rPr>
      <w:b/>
      <w:bCs/>
    </w:rPr>
  </w:style>
  <w:style w:type="character" w:customStyle="1" w:styleId="CharChar2">
    <w:name w:val=" Char Char2"/>
    <w:basedOn w:val="CharChar3"/>
    <w:rPr>
      <w:b/>
      <w:bCs/>
    </w:rPr>
  </w:style>
  <w:style w:type="paragraph" w:styleId="FootnoteText">
    <w:name w:val="footnote text"/>
    <w:basedOn w:val="Normal"/>
    <w:link w:val="FootnoteTextChar"/>
    <w:rPr>
      <w:sz w:val="20"/>
      <w:szCs w:val="20"/>
    </w:rPr>
  </w:style>
  <w:style w:type="character" w:customStyle="1" w:styleId="CharChar1">
    <w:name w:val=" Char Char1"/>
    <w:basedOn w:val="DefaultParagraphFont"/>
  </w:style>
  <w:style w:type="character" w:styleId="FootnoteReference">
    <w:name w:val="footnote reference"/>
    <w:basedOn w:val="DefaultParagraphFont"/>
    <w:rPr>
      <w:vertAlign w:val="superscript"/>
    </w:rPr>
  </w:style>
  <w:style w:type="character" w:styleId="Strong">
    <w:name w:val="Strong"/>
    <w:basedOn w:val="DefaultParagraphFont"/>
    <w:qFormat/>
    <w:rPr>
      <w:b/>
      <w:bCs/>
    </w:rPr>
  </w:style>
  <w:style w:type="character" w:customStyle="1" w:styleId="FootnoteTextChar">
    <w:name w:val="Footnote Text Char"/>
    <w:basedOn w:val="DefaultParagraphFont"/>
    <w:link w:val="FootnoteText"/>
    <w:rsid w:val="00CF2EDD"/>
    <w:rPr>
      <w:lang w:val="en-US" w:eastAsia="en-US"/>
    </w:rPr>
  </w:style>
  <w:style w:type="character" w:customStyle="1" w:styleId="CharChar5">
    <w:name w:val=" Char Char5"/>
    <w:basedOn w:val="DefaultParagraphFont"/>
    <w:rPr>
      <w:sz w:val="24"/>
      <w:szCs w:val="24"/>
    </w:rPr>
  </w:style>
  <w:style w:type="paragraph" w:customStyle="1" w:styleId="NormalArial">
    <w:name w:val="Normal + Arial"/>
    <w:aliases w:val="Right:  -2.64 cm"/>
    <w:basedOn w:val="Normal"/>
    <w:pPr>
      <w:overflowPunct w:val="0"/>
      <w:autoSpaceDE w:val="0"/>
      <w:autoSpaceDN w:val="0"/>
      <w:adjustRightInd w:val="0"/>
      <w:ind w:right="-1497"/>
      <w:jc w:val="both"/>
      <w:textAlignment w:val="baseline"/>
    </w:pPr>
    <w:rPr>
      <w:rFonts w:ascii="Arial" w:hAnsi="Arial" w:cs="Arial"/>
      <w:sz w:val="20"/>
    </w:rPr>
  </w:style>
  <w:style w:type="paragraph" w:customStyle="1" w:styleId="En-ttedetabledesmatires">
    <w:name w:val="En-tête de table des matières"/>
    <w:basedOn w:val="Heading1"/>
    <w:next w:val="Normal"/>
    <w:qFormat/>
    <w:pPr>
      <w:keepLines/>
      <w:spacing w:before="480" w:line="276" w:lineRule="auto"/>
      <w:ind w:left="0"/>
      <w:jc w:val="left"/>
      <w:outlineLvl w:val="9"/>
    </w:pPr>
    <w:rPr>
      <w:rFonts w:ascii="Cambria" w:hAnsi="Cambria" w:cs="Times New Roman"/>
      <w:color w:val="365F91"/>
      <w:sz w:val="28"/>
      <w:szCs w:val="28"/>
    </w:rPr>
  </w:style>
  <w:style w:type="paragraph" w:styleId="TOC2">
    <w:name w:val="toc 2"/>
    <w:basedOn w:val="Normal"/>
    <w:next w:val="Normal"/>
    <w:autoRedefine/>
    <w:semiHidden/>
    <w:pPr>
      <w:tabs>
        <w:tab w:val="left" w:pos="660"/>
        <w:tab w:val="right" w:leader="dot" w:pos="9350"/>
      </w:tabs>
      <w:spacing w:after="240"/>
      <w:ind w:left="200"/>
    </w:pPr>
    <w:rPr>
      <w:b/>
      <w:noProof/>
      <w:sz w:val="20"/>
      <w:szCs w:val="20"/>
    </w:rPr>
  </w:style>
  <w:style w:type="character" w:customStyle="1" w:styleId="CharChar7">
    <w:name w:val=" Char Char7"/>
    <w:basedOn w:val="DefaultParagraphFont"/>
    <w:rPr>
      <w:rFonts w:ascii="Arial" w:hAnsi="Arial" w:cs="Arial"/>
      <w:b/>
      <w:bCs/>
    </w:rPr>
  </w:style>
  <w:style w:type="character" w:customStyle="1" w:styleId="CharChar6">
    <w:name w:val=" Char Char6"/>
    <w:basedOn w:val="DefaultParagraphFont"/>
    <w:rPr>
      <w:b/>
      <w:bCs/>
      <w:sz w:val="26"/>
      <w:szCs w:val="24"/>
    </w:rPr>
  </w:style>
  <w:style w:type="paragraph" w:styleId="TOC1">
    <w:name w:val="toc 1"/>
    <w:basedOn w:val="Normal"/>
    <w:next w:val="Normal"/>
    <w:autoRedefine/>
    <w:semiHidden/>
  </w:style>
  <w:style w:type="paragraph" w:styleId="EndnoteText">
    <w:name w:val="endnote text"/>
    <w:basedOn w:val="Normal"/>
    <w:semiHidden/>
    <w:unhideWhenUsed/>
    <w:rPr>
      <w:sz w:val="20"/>
      <w:szCs w:val="20"/>
    </w:rPr>
  </w:style>
  <w:style w:type="character" w:customStyle="1" w:styleId="CharChar">
    <w:name w:val=" Char Char"/>
    <w:basedOn w:val="DefaultParagraphFont"/>
    <w:semiHidden/>
  </w:style>
  <w:style w:type="character" w:styleId="EndnoteReference">
    <w:name w:val="endnote reference"/>
    <w:basedOn w:val="DefaultParagraphFont"/>
    <w:semiHidden/>
    <w:unhideWhenUsed/>
    <w:rPr>
      <w:vertAlign w:val="superscript"/>
    </w:rPr>
  </w:style>
  <w:style w:type="character" w:styleId="FollowedHyperlink">
    <w:name w:val="FollowedHyperlink"/>
    <w:basedOn w:val="DefaultParagraphFont"/>
    <w:unhideWhenUsed/>
    <w:rPr>
      <w:color w:val="800080"/>
      <w:u w:val="single"/>
    </w:rPr>
  </w:style>
  <w:style w:type="character" w:customStyle="1" w:styleId="Heading2Char">
    <w:name w:val="Heading 2 Char"/>
    <w:basedOn w:val="DefaultParagraphFont"/>
    <w:link w:val="Heading2"/>
    <w:rsid w:val="00CF2EDD"/>
    <w:rPr>
      <w:b/>
      <w:bCs/>
      <w:sz w:val="26"/>
      <w:szCs w:val="24"/>
      <w:lang w:val="en-US" w:eastAsia="en-US"/>
    </w:rPr>
  </w:style>
</w:styles>
</file>

<file path=word/webSettings.xml><?xml version="1.0" encoding="utf-8"?>
<w:webSettings xmlns:r="http://schemas.openxmlformats.org/officeDocument/2006/relationships" xmlns:w="http://schemas.openxmlformats.org/wordprocessingml/2006/main">
  <w:divs>
    <w:div w:id="7920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36473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Cristina.Bertarelli</cp:lastModifiedBy>
  <cp:revision>2</cp:revision>
  <cp:lastPrinted>2010-03-31T23:38:00Z</cp:lastPrinted>
  <dcterms:created xsi:type="dcterms:W3CDTF">2010-04-01T18:31:00Z</dcterms:created>
  <dcterms:modified xsi:type="dcterms:W3CDTF">2010-04-01T18:31:00Z</dcterms:modified>
</cp:coreProperties>
</file>