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93E" w:rsidRDefault="0086693E" w:rsidP="0034693A">
      <w:pPr>
        <w:jc w:val="center"/>
        <w:rPr>
          <w:b/>
          <w:sz w:val="28"/>
          <w:szCs w:val="28"/>
          <w:u w:val="single"/>
        </w:rPr>
      </w:pPr>
      <w:r>
        <w:rPr>
          <w:b/>
          <w:sz w:val="28"/>
          <w:szCs w:val="28"/>
          <w:u w:val="single"/>
        </w:rPr>
        <w:t>Annex 1</w:t>
      </w:r>
    </w:p>
    <w:p w:rsidR="0086693E" w:rsidRPr="004658BE" w:rsidRDefault="0086693E" w:rsidP="0034693A">
      <w:pPr>
        <w:jc w:val="center"/>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59"/>
        <w:gridCol w:w="4483"/>
      </w:tblGrid>
      <w:tr w:rsidR="0086693E" w:rsidRPr="00F7637C" w:rsidTr="003A419D">
        <w:tc>
          <w:tcPr>
            <w:tcW w:w="5117" w:type="dxa"/>
          </w:tcPr>
          <w:p w:rsidR="0086693E" w:rsidRPr="00F7637C" w:rsidRDefault="0086693E" w:rsidP="003A419D">
            <w:pPr>
              <w:jc w:val="center"/>
              <w:rPr>
                <w:b/>
                <w:u w:val="single"/>
              </w:rPr>
            </w:pPr>
            <w:r w:rsidRPr="005A50D5">
              <w:rPr>
                <w:rFonts w:ascii="Arial" w:hAnsi="Arial"/>
                <w:noProof/>
                <w:spacing w:val="-3"/>
                <w:sz w:val="20"/>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1pt;height:62.25pt;visibility:visible" filled="t" fillcolor="#36f">
                  <v:imagedata r:id="rId7" o:title="" croptop="2367f" cropbottom="10757f" cropleft="7099f" cropright="7099f"/>
                </v:shape>
              </w:pict>
            </w:r>
          </w:p>
        </w:tc>
        <w:tc>
          <w:tcPr>
            <w:tcW w:w="5003" w:type="dxa"/>
          </w:tcPr>
          <w:p w:rsidR="0086693E" w:rsidRPr="00F7637C" w:rsidRDefault="0086693E" w:rsidP="003A419D">
            <w:pPr>
              <w:jc w:val="center"/>
              <w:rPr>
                <w:u w:val="single"/>
              </w:rPr>
            </w:pPr>
          </w:p>
        </w:tc>
      </w:tr>
    </w:tbl>
    <w:p w:rsidR="0086693E" w:rsidRPr="00E37C09" w:rsidRDefault="0086693E" w:rsidP="0034693A">
      <w:pPr>
        <w:jc w:val="center"/>
        <w:rPr>
          <w:b/>
        </w:rPr>
      </w:pPr>
      <w:r w:rsidRPr="004658BE">
        <w:rPr>
          <w:b/>
          <w:u w:val="single"/>
        </w:rPr>
        <w:t xml:space="preserve"> </w:t>
      </w:r>
    </w:p>
    <w:p w:rsidR="0086693E" w:rsidRPr="00E37C09" w:rsidRDefault="0086693E" w:rsidP="0034693A">
      <w:pPr>
        <w:jc w:val="center"/>
        <w:rPr>
          <w:b/>
        </w:rPr>
      </w:pPr>
      <w:r>
        <w:rPr>
          <w:b/>
        </w:rPr>
        <w:t xml:space="preserve">UN Peace Fund for </w:t>
      </w:r>
      <w:smartTag w:uri="urn:schemas-microsoft-com:office:smarttags" w:element="place">
        <w:smartTag w:uri="urn:schemas-microsoft-com:office:smarttags" w:element="country-region">
          <w:r>
            <w:rPr>
              <w:b/>
            </w:rPr>
            <w:t>Nepal</w:t>
          </w:r>
        </w:smartTag>
      </w:smartTag>
    </w:p>
    <w:p w:rsidR="0086693E" w:rsidRPr="00675DCC" w:rsidRDefault="0086693E" w:rsidP="0034693A">
      <w:pPr>
        <w:rPr>
          <w:sz w:val="14"/>
          <w:szCs w:val="16"/>
        </w:rPr>
      </w:pPr>
    </w:p>
    <w:p w:rsidR="0086693E" w:rsidRPr="00F84A94" w:rsidRDefault="0086693E" w:rsidP="0034693A">
      <w:pPr>
        <w:jc w:val="center"/>
        <w:rPr>
          <w:b/>
          <w:bCs/>
          <w:caps/>
          <w:sz w:val="22"/>
          <w:szCs w:val="22"/>
        </w:rPr>
      </w:pPr>
      <w:r w:rsidRPr="00F84A94">
        <w:rPr>
          <w:b/>
          <w:bCs/>
          <w:caps/>
          <w:sz w:val="22"/>
          <w:szCs w:val="22"/>
        </w:rPr>
        <w:t>ANNUAL programme</w:t>
      </w:r>
      <w:r w:rsidRPr="00F84A94">
        <w:rPr>
          <w:rStyle w:val="FootnoteReference"/>
          <w:b/>
          <w:bCs/>
          <w:caps/>
          <w:sz w:val="22"/>
          <w:szCs w:val="22"/>
        </w:rPr>
        <w:footnoteReference w:id="1"/>
      </w:r>
      <w:r w:rsidRPr="00F84A94">
        <w:rPr>
          <w:b/>
          <w:bCs/>
          <w:caps/>
          <w:sz w:val="22"/>
          <w:szCs w:val="22"/>
        </w:rPr>
        <w:t xml:space="preserve"> NARRATIVE progress report </w:t>
      </w:r>
    </w:p>
    <w:p w:rsidR="0086693E" w:rsidRPr="00F84A94" w:rsidRDefault="0086693E" w:rsidP="0034693A">
      <w:pPr>
        <w:jc w:val="center"/>
        <w:rPr>
          <w:b/>
          <w:bCs/>
          <w:caps/>
          <w:sz w:val="22"/>
          <w:szCs w:val="22"/>
        </w:rPr>
      </w:pPr>
    </w:p>
    <w:p w:rsidR="0086693E" w:rsidRPr="00F84A94" w:rsidRDefault="0086693E" w:rsidP="0034693A">
      <w:pPr>
        <w:jc w:val="center"/>
        <w:rPr>
          <w:b/>
          <w:bCs/>
          <w:caps/>
          <w:sz w:val="22"/>
          <w:szCs w:val="22"/>
        </w:rPr>
      </w:pPr>
      <w:r w:rsidRPr="00F84A94">
        <w:rPr>
          <w:b/>
          <w:bCs/>
          <w:caps/>
          <w:sz w:val="22"/>
          <w:szCs w:val="22"/>
        </w:rPr>
        <w:t>REPORTING PERIOD: 1 january – 31 December 2009</w:t>
      </w:r>
    </w:p>
    <w:p w:rsidR="0086693E" w:rsidRPr="00F84A94" w:rsidRDefault="0086693E" w:rsidP="0034693A">
      <w:pPr>
        <w:rPr>
          <w:sz w:val="22"/>
          <w:szCs w:val="22"/>
        </w:rPr>
      </w:pPr>
    </w:p>
    <w:tbl>
      <w:tblPr>
        <w:tblW w:w="0" w:type="auto"/>
        <w:tblLook w:val="01E0"/>
      </w:tblPr>
      <w:tblGrid>
        <w:gridCol w:w="4493"/>
        <w:gridCol w:w="265"/>
        <w:gridCol w:w="4484"/>
      </w:tblGrid>
      <w:tr w:rsidR="0086693E" w:rsidRPr="00F84A94" w:rsidTr="003A419D">
        <w:tc>
          <w:tcPr>
            <w:tcW w:w="4878" w:type="dxa"/>
            <w:vMerge w:val="restart"/>
            <w:tcBorders>
              <w:top w:val="single" w:sz="4" w:space="0" w:color="auto"/>
              <w:left w:val="single" w:sz="4" w:space="0" w:color="auto"/>
              <w:right w:val="single" w:sz="4" w:space="0" w:color="auto"/>
            </w:tcBorders>
          </w:tcPr>
          <w:p w:rsidR="0086693E" w:rsidRPr="00F84A94" w:rsidRDefault="0086693E" w:rsidP="003A419D">
            <w:pPr>
              <w:pStyle w:val="Heading2"/>
              <w:rPr>
                <w:i/>
                <w:sz w:val="22"/>
                <w:szCs w:val="22"/>
              </w:rPr>
            </w:pPr>
            <w:bookmarkStart w:id="0" w:name="_Toc249364469"/>
            <w:r w:rsidRPr="00F84A94">
              <w:rPr>
                <w:i/>
                <w:sz w:val="22"/>
                <w:szCs w:val="22"/>
              </w:rPr>
              <w:t>Submitted by:</w:t>
            </w:r>
            <w:bookmarkEnd w:id="0"/>
          </w:p>
          <w:p w:rsidR="0086693E" w:rsidRPr="00F84A94" w:rsidRDefault="0086693E" w:rsidP="003A419D">
            <w:pPr>
              <w:rPr>
                <w:rFonts w:cs="Arial"/>
                <w:sz w:val="22"/>
                <w:szCs w:val="22"/>
              </w:rPr>
            </w:pPr>
            <w:r w:rsidRPr="00F84A94">
              <w:rPr>
                <w:rFonts w:cs="Arial"/>
                <w:sz w:val="22"/>
                <w:szCs w:val="22"/>
              </w:rPr>
              <w:t xml:space="preserve">Ms Gillian Mellsop, </w:t>
            </w:r>
          </w:p>
          <w:p w:rsidR="0086693E" w:rsidRPr="00F84A94" w:rsidRDefault="0086693E" w:rsidP="003A419D">
            <w:pPr>
              <w:rPr>
                <w:sz w:val="22"/>
                <w:szCs w:val="22"/>
              </w:rPr>
            </w:pPr>
            <w:r w:rsidRPr="00F84A94">
              <w:rPr>
                <w:rFonts w:cs="Arial"/>
                <w:sz w:val="22"/>
                <w:szCs w:val="22"/>
              </w:rPr>
              <w:t>UNICEF Representative</w:t>
            </w:r>
            <w:r w:rsidRPr="00F84A94">
              <w:rPr>
                <w:sz w:val="22"/>
                <w:szCs w:val="22"/>
              </w:rPr>
              <w:t xml:space="preserve"> </w:t>
            </w:r>
          </w:p>
          <w:p w:rsidR="0086693E" w:rsidRPr="00F84A94" w:rsidRDefault="0086693E" w:rsidP="003A419D">
            <w:pPr>
              <w:rPr>
                <w:sz w:val="22"/>
                <w:szCs w:val="22"/>
              </w:rPr>
            </w:pPr>
            <w:r w:rsidRPr="00F84A94">
              <w:rPr>
                <w:rFonts w:cs="Arial"/>
                <w:sz w:val="22"/>
                <w:szCs w:val="22"/>
              </w:rPr>
              <w:t>Tel: 977-1-5523200, Ext. 1100, 5521342</w:t>
            </w:r>
            <w:r w:rsidRPr="00F84A94">
              <w:rPr>
                <w:rFonts w:cs="Arial"/>
                <w:sz w:val="22"/>
                <w:szCs w:val="22"/>
              </w:rPr>
              <w:br/>
            </w:r>
            <w:hyperlink r:id="rId8" w:history="1">
              <w:r w:rsidRPr="00F84A94">
                <w:rPr>
                  <w:rStyle w:val="Hyperlink"/>
                  <w:rFonts w:cs="Arial"/>
                  <w:sz w:val="22"/>
                  <w:szCs w:val="22"/>
                </w:rPr>
                <w:t>gmellsop@unicef.org</w:t>
              </w:r>
            </w:hyperlink>
          </w:p>
          <w:p w:rsidR="0086693E" w:rsidRPr="00F84A94" w:rsidRDefault="0086693E" w:rsidP="003A419D">
            <w:pPr>
              <w:rPr>
                <w:sz w:val="22"/>
                <w:szCs w:val="22"/>
              </w:rPr>
            </w:pPr>
            <w:r w:rsidRPr="00F84A94">
              <w:rPr>
                <w:sz w:val="22"/>
                <w:szCs w:val="22"/>
              </w:rPr>
              <w:t xml:space="preserve"> </w:t>
            </w:r>
          </w:p>
        </w:tc>
        <w:tc>
          <w:tcPr>
            <w:tcW w:w="270" w:type="dxa"/>
            <w:tcBorders>
              <w:left w:val="single" w:sz="4" w:space="0" w:color="auto"/>
              <w:right w:val="single" w:sz="4" w:space="0" w:color="auto"/>
            </w:tcBorders>
          </w:tcPr>
          <w:p w:rsidR="0086693E" w:rsidRPr="00F84A94" w:rsidRDefault="0086693E" w:rsidP="003A419D">
            <w:pPr>
              <w:pStyle w:val="Heading2"/>
              <w:rPr>
                <w:i/>
                <w:sz w:val="22"/>
                <w:szCs w:val="22"/>
              </w:rPr>
            </w:pPr>
          </w:p>
        </w:tc>
        <w:tc>
          <w:tcPr>
            <w:tcW w:w="5040" w:type="dxa"/>
            <w:vMerge w:val="restart"/>
            <w:tcBorders>
              <w:top w:val="single" w:sz="4" w:space="0" w:color="auto"/>
              <w:left w:val="single" w:sz="4" w:space="0" w:color="auto"/>
              <w:right w:val="single" w:sz="4" w:space="0" w:color="auto"/>
            </w:tcBorders>
          </w:tcPr>
          <w:p w:rsidR="0086693E" w:rsidRPr="00F84A94" w:rsidRDefault="0086693E" w:rsidP="003A419D">
            <w:pPr>
              <w:pStyle w:val="Heading2"/>
              <w:rPr>
                <w:i/>
                <w:sz w:val="22"/>
                <w:szCs w:val="22"/>
              </w:rPr>
            </w:pPr>
            <w:bookmarkStart w:id="1" w:name="_Toc249364470"/>
            <w:r w:rsidRPr="00F84A94">
              <w:rPr>
                <w:i/>
                <w:sz w:val="22"/>
                <w:szCs w:val="22"/>
              </w:rPr>
              <w:t>Country and Thematic Area</w:t>
            </w:r>
            <w:bookmarkEnd w:id="1"/>
            <w:r w:rsidRPr="00F84A94">
              <w:rPr>
                <w:rStyle w:val="FootnoteReference"/>
                <w:i/>
                <w:sz w:val="22"/>
                <w:szCs w:val="22"/>
              </w:rPr>
              <w:footnoteReference w:id="2"/>
            </w:r>
          </w:p>
          <w:p w:rsidR="0086693E" w:rsidRPr="00F84A94" w:rsidRDefault="0086693E" w:rsidP="003A419D">
            <w:pPr>
              <w:pStyle w:val="Heading2"/>
              <w:rPr>
                <w:b w:val="0"/>
                <w:sz w:val="22"/>
                <w:szCs w:val="22"/>
              </w:rPr>
            </w:pPr>
            <w:r>
              <w:rPr>
                <w:b w:val="0"/>
                <w:sz w:val="22"/>
                <w:szCs w:val="22"/>
              </w:rPr>
              <w:t>Security -W2</w:t>
            </w:r>
          </w:p>
          <w:p w:rsidR="0086693E" w:rsidRPr="00F84A94" w:rsidRDefault="0086693E" w:rsidP="003A419D">
            <w:pPr>
              <w:rPr>
                <w:sz w:val="22"/>
                <w:szCs w:val="22"/>
              </w:rPr>
            </w:pPr>
          </w:p>
        </w:tc>
      </w:tr>
      <w:tr w:rsidR="0086693E" w:rsidRPr="00F84A94" w:rsidTr="003A419D">
        <w:trPr>
          <w:trHeight w:val="396"/>
        </w:trPr>
        <w:tc>
          <w:tcPr>
            <w:tcW w:w="4878" w:type="dxa"/>
            <w:vMerge/>
            <w:tcBorders>
              <w:left w:val="single" w:sz="4" w:space="0" w:color="auto"/>
              <w:bottom w:val="single" w:sz="4" w:space="0" w:color="auto"/>
              <w:right w:val="single" w:sz="4" w:space="0" w:color="auto"/>
            </w:tcBorders>
          </w:tcPr>
          <w:p w:rsidR="0086693E" w:rsidRPr="00F84A94" w:rsidRDefault="0086693E" w:rsidP="003A419D">
            <w:pPr>
              <w:pStyle w:val="BodyText"/>
              <w:rPr>
                <w:rFonts w:ascii="Times New Roman" w:hAnsi="Times New Roman"/>
                <w:sz w:val="22"/>
                <w:szCs w:val="22"/>
              </w:rPr>
            </w:pPr>
          </w:p>
        </w:tc>
        <w:tc>
          <w:tcPr>
            <w:tcW w:w="270" w:type="dxa"/>
            <w:tcBorders>
              <w:left w:val="single" w:sz="4" w:space="0" w:color="auto"/>
              <w:right w:val="single" w:sz="4" w:space="0" w:color="auto"/>
            </w:tcBorders>
          </w:tcPr>
          <w:p w:rsidR="0086693E" w:rsidRPr="00F84A94" w:rsidRDefault="0086693E" w:rsidP="003A419D">
            <w:pPr>
              <w:pStyle w:val="BodyText"/>
              <w:rPr>
                <w:rFonts w:ascii="Times New Roman" w:hAnsi="Times New Roman"/>
                <w:sz w:val="22"/>
                <w:szCs w:val="22"/>
              </w:rPr>
            </w:pPr>
          </w:p>
        </w:tc>
        <w:tc>
          <w:tcPr>
            <w:tcW w:w="5040" w:type="dxa"/>
            <w:vMerge/>
            <w:tcBorders>
              <w:left w:val="single" w:sz="4" w:space="0" w:color="auto"/>
              <w:bottom w:val="single" w:sz="4" w:space="0" w:color="auto"/>
              <w:right w:val="single" w:sz="4" w:space="0" w:color="auto"/>
            </w:tcBorders>
          </w:tcPr>
          <w:p w:rsidR="0086693E" w:rsidRPr="00F84A94" w:rsidRDefault="0086693E" w:rsidP="003A419D">
            <w:pPr>
              <w:pStyle w:val="BodyText"/>
              <w:rPr>
                <w:rFonts w:ascii="Times New Roman" w:hAnsi="Times New Roman"/>
                <w:sz w:val="22"/>
                <w:szCs w:val="22"/>
              </w:rPr>
            </w:pPr>
          </w:p>
        </w:tc>
      </w:tr>
    </w:tbl>
    <w:p w:rsidR="0086693E" w:rsidRPr="00F84A94" w:rsidRDefault="0086693E" w:rsidP="0034693A">
      <w:pPr>
        <w:rPr>
          <w:sz w:val="22"/>
          <w:szCs w:val="22"/>
        </w:rPr>
      </w:pPr>
    </w:p>
    <w:tbl>
      <w:tblPr>
        <w:tblW w:w="0" w:type="auto"/>
        <w:tblLook w:val="01E0"/>
      </w:tblPr>
      <w:tblGrid>
        <w:gridCol w:w="4398"/>
        <w:gridCol w:w="265"/>
        <w:gridCol w:w="4579"/>
      </w:tblGrid>
      <w:tr w:rsidR="0086693E" w:rsidRPr="00F84A94" w:rsidTr="003A419D">
        <w:tc>
          <w:tcPr>
            <w:tcW w:w="4878" w:type="dxa"/>
            <w:vMerge w:val="restart"/>
            <w:tcBorders>
              <w:top w:val="single" w:sz="4" w:space="0" w:color="auto"/>
              <w:left w:val="single" w:sz="4" w:space="0" w:color="auto"/>
              <w:right w:val="single" w:sz="4" w:space="0" w:color="auto"/>
            </w:tcBorders>
          </w:tcPr>
          <w:p w:rsidR="0086693E" w:rsidRDefault="0086693E">
            <w:pPr>
              <w:pStyle w:val="Heading2"/>
              <w:rPr>
                <w:sz w:val="22"/>
                <w:szCs w:val="22"/>
              </w:rPr>
            </w:pPr>
            <w:bookmarkStart w:id="2" w:name="_Toc249364474"/>
            <w:r w:rsidRPr="00F84A94">
              <w:rPr>
                <w:i/>
                <w:sz w:val="22"/>
                <w:szCs w:val="22"/>
              </w:rPr>
              <w:t>Programme No</w:t>
            </w:r>
            <w:r w:rsidRPr="00F84A94">
              <w:rPr>
                <w:sz w:val="22"/>
                <w:szCs w:val="22"/>
              </w:rPr>
              <w:t>:</w:t>
            </w:r>
            <w:bookmarkEnd w:id="2"/>
            <w:r>
              <w:rPr>
                <w:sz w:val="22"/>
                <w:szCs w:val="22"/>
              </w:rPr>
              <w:t xml:space="preserve"> PBF/NPL/B-1</w:t>
            </w:r>
          </w:p>
          <w:p w:rsidR="0086693E" w:rsidRPr="00F84A94" w:rsidRDefault="0086693E" w:rsidP="003A419D">
            <w:pPr>
              <w:pStyle w:val="Heading2"/>
              <w:rPr>
                <w:sz w:val="22"/>
                <w:szCs w:val="22"/>
              </w:rPr>
            </w:pPr>
            <w:r>
              <w:rPr>
                <w:sz w:val="22"/>
                <w:szCs w:val="22"/>
              </w:rPr>
              <w:t>(UNPFN/A-4)</w:t>
            </w:r>
          </w:p>
          <w:p w:rsidR="0086693E" w:rsidRPr="00F84A94" w:rsidRDefault="0086693E" w:rsidP="003A419D">
            <w:pPr>
              <w:rPr>
                <w:b/>
                <w:sz w:val="22"/>
                <w:szCs w:val="22"/>
              </w:rPr>
            </w:pPr>
            <w:r w:rsidRPr="00F84A94">
              <w:rPr>
                <w:b/>
                <w:i/>
                <w:sz w:val="22"/>
                <w:szCs w:val="22"/>
              </w:rPr>
              <w:t xml:space="preserve">MDTF Office Atlas No: </w:t>
            </w:r>
            <w:r>
              <w:rPr>
                <w:b/>
                <w:sz w:val="22"/>
                <w:szCs w:val="22"/>
              </w:rPr>
              <w:t>00071691</w:t>
            </w:r>
          </w:p>
          <w:p w:rsidR="0086693E" w:rsidRPr="00F84A94" w:rsidRDefault="0086693E" w:rsidP="003A419D">
            <w:pPr>
              <w:pStyle w:val="Heading2"/>
              <w:rPr>
                <w:i/>
                <w:sz w:val="22"/>
                <w:szCs w:val="22"/>
              </w:rPr>
            </w:pPr>
            <w:bookmarkStart w:id="3" w:name="_Toc249364475"/>
            <w:r w:rsidRPr="00F84A94">
              <w:rPr>
                <w:i/>
                <w:sz w:val="22"/>
                <w:szCs w:val="22"/>
              </w:rPr>
              <w:t>Programme Title:</w:t>
            </w:r>
            <w:bookmarkEnd w:id="3"/>
            <w:r w:rsidRPr="00F84A94">
              <w:rPr>
                <w:i/>
                <w:sz w:val="22"/>
                <w:szCs w:val="22"/>
              </w:rPr>
              <w:t xml:space="preserve"> </w:t>
            </w:r>
          </w:p>
          <w:p w:rsidR="0086693E" w:rsidRPr="00F84A94" w:rsidRDefault="0086693E" w:rsidP="003A419D">
            <w:pPr>
              <w:pStyle w:val="Heading2"/>
              <w:rPr>
                <w:b w:val="0"/>
                <w:sz w:val="22"/>
                <w:szCs w:val="22"/>
              </w:rPr>
            </w:pPr>
            <w:r w:rsidRPr="00F84A94">
              <w:rPr>
                <w:b w:val="0"/>
                <w:sz w:val="22"/>
                <w:szCs w:val="22"/>
              </w:rPr>
              <w:t xml:space="preserve">Programme and support for children and adolescents formerly associated with the Maoist Army in </w:t>
            </w:r>
            <w:smartTag w:uri="urn:schemas-microsoft-com:office:smarttags" w:element="country-region">
              <w:r w:rsidRPr="00F84A94">
                <w:rPr>
                  <w:b w:val="0"/>
                  <w:sz w:val="22"/>
                  <w:szCs w:val="22"/>
                </w:rPr>
                <w:t>Nepal</w:t>
              </w:r>
            </w:smartTag>
          </w:p>
          <w:p w:rsidR="0086693E" w:rsidRPr="00F84A94" w:rsidRDefault="0086693E" w:rsidP="003A419D">
            <w:pPr>
              <w:rPr>
                <w:sz w:val="22"/>
                <w:szCs w:val="22"/>
              </w:rPr>
            </w:pPr>
          </w:p>
          <w:p w:rsidR="0086693E" w:rsidRPr="00F84A94" w:rsidRDefault="0086693E" w:rsidP="003A419D">
            <w:pPr>
              <w:rPr>
                <w:sz w:val="22"/>
                <w:szCs w:val="22"/>
              </w:rPr>
            </w:pPr>
          </w:p>
        </w:tc>
        <w:tc>
          <w:tcPr>
            <w:tcW w:w="270" w:type="dxa"/>
            <w:tcBorders>
              <w:left w:val="single" w:sz="4" w:space="0" w:color="auto"/>
              <w:right w:val="single" w:sz="4" w:space="0" w:color="auto"/>
            </w:tcBorders>
          </w:tcPr>
          <w:p w:rsidR="0086693E" w:rsidRPr="00F84A94" w:rsidRDefault="0086693E" w:rsidP="003A419D">
            <w:pPr>
              <w:pStyle w:val="Heading2"/>
              <w:rPr>
                <w:i/>
                <w:sz w:val="22"/>
                <w:szCs w:val="22"/>
              </w:rPr>
            </w:pPr>
          </w:p>
        </w:tc>
        <w:tc>
          <w:tcPr>
            <w:tcW w:w="5040" w:type="dxa"/>
            <w:vMerge w:val="restart"/>
            <w:tcBorders>
              <w:top w:val="single" w:sz="4" w:space="0" w:color="auto"/>
              <w:left w:val="single" w:sz="4" w:space="0" w:color="auto"/>
              <w:right w:val="single" w:sz="4" w:space="0" w:color="auto"/>
            </w:tcBorders>
          </w:tcPr>
          <w:p w:rsidR="0086693E" w:rsidRPr="00F84A94" w:rsidRDefault="0086693E" w:rsidP="003A419D">
            <w:pPr>
              <w:pStyle w:val="Heading2"/>
              <w:rPr>
                <w:i/>
                <w:sz w:val="22"/>
                <w:szCs w:val="22"/>
              </w:rPr>
            </w:pPr>
            <w:bookmarkStart w:id="4" w:name="_Toc249364476"/>
            <w:r w:rsidRPr="00F84A94">
              <w:rPr>
                <w:i/>
                <w:sz w:val="22"/>
                <w:szCs w:val="22"/>
              </w:rPr>
              <w:t>Participating Organization(s):</w:t>
            </w:r>
            <w:bookmarkEnd w:id="4"/>
            <w:r w:rsidRPr="00F84A94">
              <w:rPr>
                <w:i/>
                <w:sz w:val="22"/>
                <w:szCs w:val="22"/>
              </w:rPr>
              <w:tab/>
            </w:r>
          </w:p>
          <w:p w:rsidR="0086693E" w:rsidRPr="00F84A94" w:rsidRDefault="0086693E" w:rsidP="008B4BF0">
            <w:pPr>
              <w:rPr>
                <w:sz w:val="22"/>
                <w:szCs w:val="22"/>
              </w:rPr>
            </w:pPr>
            <w:r w:rsidRPr="00F84A94">
              <w:rPr>
                <w:sz w:val="22"/>
                <w:szCs w:val="22"/>
              </w:rPr>
              <w:t>UNICEF</w:t>
            </w:r>
          </w:p>
        </w:tc>
      </w:tr>
      <w:tr w:rsidR="0086693E" w:rsidRPr="00F84A94" w:rsidTr="003A419D">
        <w:trPr>
          <w:trHeight w:val="621"/>
        </w:trPr>
        <w:tc>
          <w:tcPr>
            <w:tcW w:w="4878" w:type="dxa"/>
            <w:vMerge/>
            <w:tcBorders>
              <w:left w:val="single" w:sz="4" w:space="0" w:color="auto"/>
              <w:bottom w:val="single" w:sz="4" w:space="0" w:color="auto"/>
              <w:right w:val="single" w:sz="4" w:space="0" w:color="auto"/>
            </w:tcBorders>
          </w:tcPr>
          <w:p w:rsidR="0086693E" w:rsidRPr="00F84A94" w:rsidRDefault="0086693E" w:rsidP="003A419D">
            <w:pPr>
              <w:pStyle w:val="BodyText"/>
              <w:rPr>
                <w:rFonts w:ascii="Times New Roman" w:hAnsi="Times New Roman"/>
                <w:sz w:val="22"/>
                <w:szCs w:val="22"/>
              </w:rPr>
            </w:pPr>
          </w:p>
        </w:tc>
        <w:tc>
          <w:tcPr>
            <w:tcW w:w="270" w:type="dxa"/>
            <w:tcBorders>
              <w:left w:val="single" w:sz="4" w:space="0" w:color="auto"/>
              <w:right w:val="single" w:sz="4" w:space="0" w:color="auto"/>
            </w:tcBorders>
          </w:tcPr>
          <w:p w:rsidR="0086693E" w:rsidRPr="00F84A94" w:rsidRDefault="0086693E" w:rsidP="003A419D">
            <w:pPr>
              <w:pStyle w:val="BodyText"/>
              <w:rPr>
                <w:rFonts w:ascii="Times New Roman" w:hAnsi="Times New Roman"/>
                <w:sz w:val="22"/>
                <w:szCs w:val="22"/>
              </w:rPr>
            </w:pPr>
          </w:p>
        </w:tc>
        <w:tc>
          <w:tcPr>
            <w:tcW w:w="5040" w:type="dxa"/>
            <w:vMerge/>
            <w:tcBorders>
              <w:left w:val="single" w:sz="4" w:space="0" w:color="auto"/>
              <w:bottom w:val="single" w:sz="4" w:space="0" w:color="auto"/>
              <w:right w:val="single" w:sz="4" w:space="0" w:color="auto"/>
            </w:tcBorders>
          </w:tcPr>
          <w:p w:rsidR="0086693E" w:rsidRPr="00F84A94" w:rsidRDefault="0086693E" w:rsidP="003A419D">
            <w:pPr>
              <w:pStyle w:val="BodyText"/>
              <w:rPr>
                <w:rFonts w:ascii="Times New Roman" w:hAnsi="Times New Roman"/>
                <w:i/>
                <w:sz w:val="22"/>
                <w:szCs w:val="22"/>
              </w:rPr>
            </w:pPr>
          </w:p>
        </w:tc>
      </w:tr>
    </w:tbl>
    <w:p w:rsidR="0086693E" w:rsidRPr="00F84A94" w:rsidRDefault="0086693E" w:rsidP="0034693A">
      <w:pPr>
        <w:rPr>
          <w:sz w:val="22"/>
          <w:szCs w:val="22"/>
        </w:rPr>
      </w:pPr>
    </w:p>
    <w:tbl>
      <w:tblPr>
        <w:tblW w:w="0" w:type="auto"/>
        <w:tblLook w:val="01E0"/>
      </w:tblPr>
      <w:tblGrid>
        <w:gridCol w:w="4434"/>
        <w:gridCol w:w="265"/>
        <w:gridCol w:w="4543"/>
      </w:tblGrid>
      <w:tr w:rsidR="0086693E" w:rsidRPr="00F84A94" w:rsidTr="003A419D">
        <w:trPr>
          <w:trHeight w:val="1385"/>
        </w:trPr>
        <w:tc>
          <w:tcPr>
            <w:tcW w:w="4850" w:type="dxa"/>
            <w:tcBorders>
              <w:top w:val="single" w:sz="4" w:space="0" w:color="auto"/>
              <w:left w:val="single" w:sz="4" w:space="0" w:color="auto"/>
              <w:right w:val="single" w:sz="4" w:space="0" w:color="auto"/>
            </w:tcBorders>
          </w:tcPr>
          <w:p w:rsidR="0086693E" w:rsidRPr="00F84A94" w:rsidRDefault="0086693E" w:rsidP="003A419D">
            <w:pPr>
              <w:pStyle w:val="Heading2"/>
              <w:rPr>
                <w:i/>
                <w:sz w:val="22"/>
                <w:szCs w:val="22"/>
              </w:rPr>
            </w:pPr>
            <w:bookmarkStart w:id="5" w:name="_Toc249364477"/>
            <w:r w:rsidRPr="00F84A94">
              <w:rPr>
                <w:i/>
                <w:sz w:val="22"/>
                <w:szCs w:val="22"/>
              </w:rPr>
              <w:t>Implementing Partners:</w:t>
            </w:r>
            <w:bookmarkEnd w:id="5"/>
            <w:r w:rsidRPr="00F84A94">
              <w:rPr>
                <w:i/>
                <w:sz w:val="22"/>
                <w:szCs w:val="22"/>
              </w:rPr>
              <w:t xml:space="preserve"> </w:t>
            </w:r>
          </w:p>
          <w:p w:rsidR="0086693E" w:rsidRPr="00F84A94" w:rsidRDefault="0086693E" w:rsidP="00BE7383">
            <w:pPr>
              <w:pStyle w:val="BodyText"/>
              <w:jc w:val="both"/>
              <w:rPr>
                <w:sz w:val="22"/>
                <w:szCs w:val="22"/>
              </w:rPr>
            </w:pPr>
            <w:r w:rsidRPr="00F84A94">
              <w:rPr>
                <w:rFonts w:ascii="Times New Roman" w:hAnsi="Times New Roman"/>
                <w:sz w:val="22"/>
                <w:szCs w:val="22"/>
              </w:rPr>
              <w:t>CAAFAG Working Group</w:t>
            </w:r>
          </w:p>
        </w:tc>
        <w:tc>
          <w:tcPr>
            <w:tcW w:w="269" w:type="dxa"/>
            <w:tcBorders>
              <w:left w:val="single" w:sz="4" w:space="0" w:color="auto"/>
              <w:right w:val="single" w:sz="4" w:space="0" w:color="auto"/>
            </w:tcBorders>
          </w:tcPr>
          <w:p w:rsidR="0086693E" w:rsidRPr="00F84A94" w:rsidRDefault="0086693E" w:rsidP="003A419D">
            <w:pPr>
              <w:pStyle w:val="Heading2"/>
              <w:rPr>
                <w:sz w:val="22"/>
                <w:szCs w:val="22"/>
              </w:rPr>
            </w:pPr>
          </w:p>
        </w:tc>
        <w:tc>
          <w:tcPr>
            <w:tcW w:w="5001" w:type="dxa"/>
            <w:tcBorders>
              <w:top w:val="single" w:sz="4" w:space="0" w:color="auto"/>
              <w:left w:val="single" w:sz="4" w:space="0" w:color="auto"/>
              <w:right w:val="single" w:sz="4" w:space="0" w:color="auto"/>
            </w:tcBorders>
          </w:tcPr>
          <w:p w:rsidR="0086693E" w:rsidRPr="00F84A94" w:rsidRDefault="0086693E" w:rsidP="003A419D">
            <w:pPr>
              <w:pStyle w:val="Heading2"/>
              <w:rPr>
                <w:i/>
                <w:sz w:val="22"/>
                <w:szCs w:val="22"/>
              </w:rPr>
            </w:pPr>
            <w:bookmarkStart w:id="6" w:name="_Toc249364479"/>
            <w:r w:rsidRPr="00F84A94">
              <w:rPr>
                <w:i/>
                <w:sz w:val="22"/>
                <w:szCs w:val="22"/>
              </w:rPr>
              <w:t>Programme Budget (from the Fund):</w:t>
            </w:r>
            <w:bookmarkEnd w:id="6"/>
          </w:p>
          <w:p w:rsidR="0086693E" w:rsidRPr="00F84A94" w:rsidRDefault="0086693E" w:rsidP="003A419D">
            <w:pPr>
              <w:rPr>
                <w:sz w:val="22"/>
                <w:szCs w:val="22"/>
              </w:rPr>
            </w:pPr>
            <w:r>
              <w:rPr>
                <w:sz w:val="22"/>
                <w:szCs w:val="22"/>
              </w:rPr>
              <w:t>$1,100,000</w:t>
            </w:r>
          </w:p>
        </w:tc>
      </w:tr>
      <w:tr w:rsidR="0086693E" w:rsidRPr="00F84A94" w:rsidTr="003A419D">
        <w:trPr>
          <w:trHeight w:val="450"/>
        </w:trPr>
        <w:tc>
          <w:tcPr>
            <w:tcW w:w="4850" w:type="dxa"/>
            <w:tcBorders>
              <w:left w:val="single" w:sz="4" w:space="0" w:color="auto"/>
              <w:bottom w:val="single" w:sz="4" w:space="0" w:color="auto"/>
              <w:right w:val="single" w:sz="4" w:space="0" w:color="auto"/>
            </w:tcBorders>
          </w:tcPr>
          <w:p w:rsidR="0086693E" w:rsidRPr="00F84A94" w:rsidRDefault="0086693E" w:rsidP="003A419D">
            <w:pPr>
              <w:pStyle w:val="BodyText"/>
              <w:rPr>
                <w:rFonts w:ascii="Times New Roman" w:hAnsi="Times New Roman"/>
                <w:sz w:val="22"/>
                <w:szCs w:val="22"/>
              </w:rPr>
            </w:pPr>
          </w:p>
        </w:tc>
        <w:tc>
          <w:tcPr>
            <w:tcW w:w="269" w:type="dxa"/>
            <w:tcBorders>
              <w:left w:val="single" w:sz="4" w:space="0" w:color="auto"/>
              <w:right w:val="single" w:sz="4" w:space="0" w:color="auto"/>
            </w:tcBorders>
          </w:tcPr>
          <w:p w:rsidR="0086693E" w:rsidRPr="00F84A94" w:rsidRDefault="0086693E" w:rsidP="003A419D">
            <w:pPr>
              <w:pStyle w:val="BodyText"/>
              <w:rPr>
                <w:rFonts w:ascii="Times New Roman" w:hAnsi="Times New Roman"/>
                <w:sz w:val="22"/>
                <w:szCs w:val="22"/>
              </w:rPr>
            </w:pPr>
          </w:p>
        </w:tc>
        <w:tc>
          <w:tcPr>
            <w:tcW w:w="5001" w:type="dxa"/>
            <w:tcBorders>
              <w:left w:val="single" w:sz="4" w:space="0" w:color="auto"/>
              <w:bottom w:val="single" w:sz="4" w:space="0" w:color="auto"/>
              <w:right w:val="single" w:sz="4" w:space="0" w:color="auto"/>
            </w:tcBorders>
          </w:tcPr>
          <w:p w:rsidR="0086693E" w:rsidRPr="00F84A94" w:rsidRDefault="0086693E" w:rsidP="003A419D">
            <w:pPr>
              <w:pStyle w:val="BodyText"/>
              <w:rPr>
                <w:rFonts w:ascii="Times New Roman" w:hAnsi="Times New Roman"/>
                <w:sz w:val="22"/>
                <w:szCs w:val="22"/>
              </w:rPr>
            </w:pPr>
          </w:p>
        </w:tc>
      </w:tr>
      <w:tr w:rsidR="0086693E" w:rsidRPr="00892409" w:rsidTr="003A419D">
        <w:tblPrEx>
          <w:tblBorders>
            <w:top w:val="single" w:sz="4" w:space="0" w:color="auto"/>
            <w:left w:val="single" w:sz="4" w:space="0" w:color="auto"/>
            <w:bottom w:val="single" w:sz="4" w:space="0" w:color="auto"/>
            <w:right w:val="single" w:sz="4" w:space="0" w:color="auto"/>
          </w:tblBorders>
        </w:tblPrEx>
        <w:trPr>
          <w:gridAfter w:val="2"/>
          <w:wAfter w:w="5270" w:type="dxa"/>
          <w:trHeight w:val="2821"/>
        </w:trPr>
        <w:tc>
          <w:tcPr>
            <w:tcW w:w="4850" w:type="dxa"/>
            <w:tcBorders>
              <w:top w:val="single" w:sz="4" w:space="0" w:color="auto"/>
              <w:bottom w:val="single" w:sz="4" w:space="0" w:color="auto"/>
            </w:tcBorders>
          </w:tcPr>
          <w:p w:rsidR="0086693E" w:rsidRDefault="0086693E" w:rsidP="003A419D">
            <w:bookmarkStart w:id="7" w:name="_Toc249364481"/>
          </w:p>
          <w:p w:rsidR="0086693E" w:rsidRDefault="0086693E" w:rsidP="003A419D">
            <w:pPr>
              <w:pStyle w:val="Heading2"/>
              <w:rPr>
                <w:i/>
                <w:sz w:val="24"/>
              </w:rPr>
            </w:pPr>
            <w:r>
              <w:rPr>
                <w:i/>
                <w:sz w:val="24"/>
              </w:rPr>
              <w:t>Programme</w:t>
            </w:r>
            <w:r w:rsidRPr="005F19C1">
              <w:rPr>
                <w:i/>
                <w:sz w:val="24"/>
              </w:rPr>
              <w:t xml:space="preserve"> Duration</w:t>
            </w:r>
            <w:r>
              <w:rPr>
                <w:i/>
                <w:sz w:val="24"/>
              </w:rPr>
              <w:t xml:space="preserve"> (in months)</w:t>
            </w:r>
            <w:r w:rsidRPr="005F19C1">
              <w:rPr>
                <w:i/>
                <w:sz w:val="24"/>
              </w:rPr>
              <w:t>:</w:t>
            </w:r>
            <w:bookmarkEnd w:id="7"/>
          </w:p>
          <w:p w:rsidR="0086693E" w:rsidRDefault="0086693E" w:rsidP="003A419D">
            <w:pPr>
              <w:pStyle w:val="BodyText"/>
              <w:rPr>
                <w:rFonts w:ascii="Times New Roman" w:hAnsi="Times New Roman"/>
                <w:sz w:val="24"/>
                <w:u w:val="single"/>
              </w:rPr>
            </w:pPr>
            <w:r>
              <w:rPr>
                <w:rFonts w:ascii="Times New Roman" w:hAnsi="Times New Roman"/>
                <w:sz w:val="24"/>
                <w:u w:val="single"/>
              </w:rPr>
              <w:t>Start date</w:t>
            </w:r>
            <w:r>
              <w:rPr>
                <w:rStyle w:val="FootnoteReference"/>
                <w:rFonts w:ascii="Times New Roman" w:hAnsi="Times New Roman" w:cs="Arial"/>
                <w:sz w:val="24"/>
                <w:u w:val="single"/>
              </w:rPr>
              <w:footnoteReference w:id="3"/>
            </w:r>
            <w:r>
              <w:rPr>
                <w:rFonts w:ascii="Times New Roman" w:hAnsi="Times New Roman"/>
                <w:sz w:val="24"/>
                <w:u w:val="single"/>
              </w:rPr>
              <w:t>:   March 2010</w:t>
            </w:r>
          </w:p>
          <w:p w:rsidR="0086693E" w:rsidRPr="006D15B6" w:rsidRDefault="0086693E" w:rsidP="003A419D">
            <w:pPr>
              <w:pStyle w:val="BodyText"/>
              <w:rPr>
                <w:rFonts w:ascii="Times New Roman" w:hAnsi="Times New Roman"/>
                <w:sz w:val="24"/>
                <w:u w:val="single"/>
              </w:rPr>
            </w:pPr>
            <w:r>
              <w:rPr>
                <w:rFonts w:ascii="Times New Roman" w:hAnsi="Times New Roman"/>
                <w:sz w:val="24"/>
                <w:u w:val="single"/>
              </w:rPr>
              <w:t>End date</w:t>
            </w:r>
            <w:r w:rsidRPr="006D15B6">
              <w:rPr>
                <w:rFonts w:ascii="Times New Roman" w:hAnsi="Times New Roman"/>
                <w:sz w:val="24"/>
                <w:u w:val="single"/>
              </w:rPr>
              <w:t>:</w:t>
            </w:r>
            <w:r>
              <w:rPr>
                <w:rFonts w:ascii="Times New Roman" w:hAnsi="Times New Roman"/>
                <w:sz w:val="24"/>
                <w:u w:val="single"/>
              </w:rPr>
              <w:t xml:space="preserve"> 21 March 2010</w:t>
            </w:r>
          </w:p>
          <w:p w:rsidR="0086693E" w:rsidRPr="00892409" w:rsidRDefault="0086693E" w:rsidP="003A419D">
            <w:pPr>
              <w:pStyle w:val="Heading2"/>
              <w:rPr>
                <w:b w:val="0"/>
                <w:sz w:val="24"/>
              </w:rPr>
            </w:pPr>
            <w:r w:rsidRPr="00892409">
              <w:rPr>
                <w:b w:val="0"/>
                <w:i/>
                <w:color w:val="0000FF"/>
                <w:sz w:val="24"/>
              </w:rPr>
              <w:t xml:space="preserve"> </w:t>
            </w:r>
          </w:p>
        </w:tc>
      </w:tr>
    </w:tbl>
    <w:p w:rsidR="0086693E" w:rsidRPr="00234CC4" w:rsidRDefault="0086693E" w:rsidP="0034693A">
      <w:pPr>
        <w:pStyle w:val="Heading1"/>
        <w:tabs>
          <w:tab w:val="left" w:pos="360"/>
        </w:tabs>
        <w:rPr>
          <w:rFonts w:ascii="Times New Roman" w:hAnsi="Times New Roman"/>
          <w:sz w:val="24"/>
          <w:szCs w:val="24"/>
          <w:u w:val="single"/>
        </w:rPr>
      </w:pPr>
      <w:bookmarkStart w:id="8" w:name="_Toc249364482"/>
      <w:r w:rsidRPr="00234CC4">
        <w:rPr>
          <w:rFonts w:ascii="Times New Roman" w:hAnsi="Times New Roman"/>
          <w:sz w:val="24"/>
          <w:szCs w:val="24"/>
          <w:u w:val="single"/>
        </w:rPr>
        <w:t>NARRATIVE REPORT FORMAT</w:t>
      </w:r>
      <w:bookmarkEnd w:id="8"/>
    </w:p>
    <w:p w:rsidR="0086693E" w:rsidRPr="00234CC4" w:rsidRDefault="0086693E" w:rsidP="0034693A"/>
    <w:p w:rsidR="0086693E" w:rsidRDefault="0086693E" w:rsidP="0034693A">
      <w:pPr>
        <w:pStyle w:val="Heading1"/>
        <w:keepLines w:val="0"/>
        <w:numPr>
          <w:ilvl w:val="0"/>
          <w:numId w:val="1"/>
        </w:numPr>
        <w:tabs>
          <w:tab w:val="clear" w:pos="1080"/>
          <w:tab w:val="left" w:pos="360"/>
        </w:tabs>
        <w:spacing w:before="0"/>
        <w:ind w:left="360" w:hanging="360"/>
        <w:rPr>
          <w:rFonts w:ascii="Times New Roman" w:hAnsi="Times New Roman"/>
          <w:sz w:val="24"/>
          <w:szCs w:val="24"/>
        </w:rPr>
      </w:pPr>
      <w:bookmarkStart w:id="9" w:name="_Toc249364483"/>
      <w:r w:rsidRPr="00234CC4">
        <w:rPr>
          <w:rFonts w:ascii="Times New Roman" w:hAnsi="Times New Roman"/>
          <w:sz w:val="24"/>
          <w:szCs w:val="24"/>
        </w:rPr>
        <w:t>Purpose</w:t>
      </w:r>
      <w:bookmarkEnd w:id="9"/>
    </w:p>
    <w:p w:rsidR="0086693E" w:rsidRDefault="0086693E" w:rsidP="00F614F9">
      <w:pPr>
        <w:pStyle w:val="bulletnormal"/>
        <w:numPr>
          <w:ilvl w:val="0"/>
          <w:numId w:val="0"/>
        </w:numPr>
      </w:pPr>
    </w:p>
    <w:p w:rsidR="0086693E" w:rsidRDefault="0086693E" w:rsidP="00F614F9">
      <w:pPr>
        <w:pStyle w:val="bulletnormal"/>
        <w:numPr>
          <w:ilvl w:val="0"/>
          <w:numId w:val="0"/>
        </w:numPr>
      </w:pPr>
      <w:r w:rsidRPr="00E312AE">
        <w:t xml:space="preserve">This programme for children and adolescents affected by conflict (CAAC) </w:t>
      </w:r>
      <w:r>
        <w:t xml:space="preserve">is built on best practices from other parts of the world. It uses a rights-based approach that seeks to create an enabling environment that is conducive to children’s overall well-being. The objective of the programme is to ensure successful </w:t>
      </w:r>
      <w:r w:rsidRPr="00F17CA5">
        <w:t xml:space="preserve">discharge </w:t>
      </w:r>
      <w:r>
        <w:t xml:space="preserve">of </w:t>
      </w:r>
      <w:r w:rsidRPr="00F17CA5">
        <w:t>verified as minors during verification of Maoist Army personnel</w:t>
      </w:r>
      <w:r>
        <w:t>,</w:t>
      </w:r>
      <w:r w:rsidRPr="00F17CA5">
        <w:t xml:space="preserve"> </w:t>
      </w:r>
      <w:r>
        <w:t>and provide them with assistance for their successful socio-economic reintegration.</w:t>
      </w:r>
    </w:p>
    <w:p w:rsidR="0086693E" w:rsidRPr="00E312AE" w:rsidRDefault="0086693E" w:rsidP="003D339C">
      <w:pPr>
        <w:jc w:val="both"/>
      </w:pPr>
    </w:p>
    <w:p w:rsidR="0086693E" w:rsidRDefault="0086693E" w:rsidP="003D339C">
      <w:pPr>
        <w:ind w:left="270" w:hanging="270"/>
        <w:jc w:val="both"/>
      </w:pPr>
      <w:r>
        <w:rPr>
          <w:b/>
          <w:color w:val="244061"/>
        </w:rPr>
        <w:t xml:space="preserve">1) </w:t>
      </w:r>
      <w:r w:rsidRPr="00110E62">
        <w:rPr>
          <w:b/>
          <w:color w:val="244061"/>
        </w:rPr>
        <w:t>Monitoring and reporting</w:t>
      </w:r>
      <w:r w:rsidRPr="00E312AE">
        <w:t xml:space="preserve"> on violations of children’s rights, </w:t>
      </w:r>
      <w:r>
        <w:t xml:space="preserve">thereby </w:t>
      </w:r>
      <w:r w:rsidRPr="00E312AE">
        <w:t xml:space="preserve">ensuring that credible data and information are collected in order to guarantee that response interventions are effective and well targeted. </w:t>
      </w:r>
      <w:r>
        <w:t xml:space="preserve">UNICEF has been co-sharing together with OHCHR the SC Res 1612 taskforce in </w:t>
      </w:r>
      <w:smartTag w:uri="urn:schemas-microsoft-com:office:smarttags" w:element="country-region">
        <w:r>
          <w:t>Nepal</w:t>
        </w:r>
      </w:smartTag>
      <w:r>
        <w:t xml:space="preserve"> since 2005. Over the years the taskforce has been able to document the six core violations in resolution: recruitment abduction, killing and maiming, attacks on schools, sexual violence. Even though the conflict is formally over, the task force continues to document violations against children and in 2009, UNICEF’s focus is on strengthening the monitoring and reporting mechanism in Terai districts, to better capture and inform prevention strategies and protection response to child protection concerns in the Terai. Emphasise will also be put on strengthening the capacity to monitor and report on sexual violence in line with SC Res 1820 and 1882.  </w:t>
      </w:r>
    </w:p>
    <w:p w:rsidR="0086693E" w:rsidRPr="00C85961" w:rsidRDefault="0086693E" w:rsidP="003D339C">
      <w:pPr>
        <w:ind w:left="270" w:hanging="270"/>
        <w:jc w:val="both"/>
        <w:rPr>
          <w:iCs/>
        </w:rPr>
      </w:pPr>
    </w:p>
    <w:p w:rsidR="0086693E" w:rsidRDefault="0086693E" w:rsidP="003D339C">
      <w:pPr>
        <w:pStyle w:val="bulletnormal"/>
        <w:numPr>
          <w:ilvl w:val="0"/>
          <w:numId w:val="0"/>
        </w:numPr>
        <w:ind w:left="270" w:hanging="270"/>
      </w:pPr>
      <w:r>
        <w:t xml:space="preserve">2) </w:t>
      </w:r>
      <w:r w:rsidRPr="00E312AE">
        <w:t xml:space="preserve">Provision of </w:t>
      </w:r>
      <w:r w:rsidRPr="00110E62">
        <w:rPr>
          <w:b/>
        </w:rPr>
        <w:t>appropriate services for CAAC</w:t>
      </w:r>
      <w:r w:rsidRPr="00E312AE">
        <w:t>, ensuring, for instance, that they are given opportunities to catch up in school or learn a trade from which they can make a peaceful living. Income-generating support will be made available for families when poverty risks forcing youngsters back into armed groups. Psychosocial support will be provided to those who need help to overcome emotional distress and fight stigma. Every individual case is unique, and the rights and needs of each individual will always be the principal factor considered when tailoring a response to the</w:t>
      </w:r>
      <w:r>
        <w:t>ir</w:t>
      </w:r>
      <w:r w:rsidRPr="00E312AE">
        <w:t xml:space="preserve"> specific needs and roles</w:t>
      </w:r>
      <w:r>
        <w:t xml:space="preserve">, especially for </w:t>
      </w:r>
      <w:r w:rsidRPr="00E312AE">
        <w:t>girls. UNICEF is also particularly interested in devising locally appropriate activities to advance these goals.</w:t>
      </w:r>
      <w:r>
        <w:t xml:space="preserve"> </w:t>
      </w:r>
    </w:p>
    <w:p w:rsidR="0086693E" w:rsidRDefault="0086693E" w:rsidP="00C3621B">
      <w:pPr>
        <w:ind w:left="270" w:right="-89"/>
      </w:pPr>
      <w:r>
        <w:t>The following s</w:t>
      </w:r>
      <w:r w:rsidRPr="004A6D57">
        <w:t>teps</w:t>
      </w:r>
      <w:r>
        <w:t xml:space="preserve"> are</w:t>
      </w:r>
      <w:r w:rsidRPr="004A6D57">
        <w:t xml:space="preserve"> followed by service provide</w:t>
      </w:r>
      <w:r>
        <w:t>rs</w:t>
      </w:r>
      <w:r w:rsidRPr="004A6D57">
        <w:t xml:space="preserve"> in allocating reintegrating packages:</w:t>
      </w:r>
    </w:p>
    <w:p w:rsidR="0086693E" w:rsidRPr="004A6D57" w:rsidRDefault="0086693E" w:rsidP="00C3621B">
      <w:pPr>
        <w:ind w:left="270" w:right="-89"/>
      </w:pPr>
    </w:p>
    <w:p w:rsidR="0086693E" w:rsidRDefault="0086693E" w:rsidP="00C3621B">
      <w:pPr>
        <w:ind w:left="270" w:right="-89" w:hanging="270"/>
      </w:pPr>
      <w:r>
        <w:rPr>
          <w:noProof/>
          <w:lang w:val="en-AU" w:eastAsia="en-AU"/>
        </w:rPr>
        <w:pict>
          <v:shapetype id="_x0000_t202" coordsize="21600,21600" o:spt="202" path="m,l,21600r21600,l21600,xe">
            <v:stroke joinstyle="miter"/>
            <v:path gradientshapeok="t" o:connecttype="rect"/>
          </v:shapetype>
          <v:shape id="_x0000_s1026" type="#_x0000_t202" style="position:absolute;left:0;text-align:left;margin-left:37.8pt;margin-top:6.05pt;width:2in;height:27pt;z-index:251650560">
            <v:textbox style="mso-next-textbox:#_x0000_s1026">
              <w:txbxContent>
                <w:p w:rsidR="0086693E" w:rsidRDefault="0086693E" w:rsidP="00C3621B">
                  <w:r>
                    <w:t>Community sensitisation</w:t>
                  </w:r>
                </w:p>
              </w:txbxContent>
            </v:textbox>
          </v:shape>
        </w:pict>
      </w:r>
      <w:r>
        <w:rPr>
          <w:noProof/>
          <w:lang w:val="en-AU" w:eastAsia="en-AU"/>
        </w:rPr>
        <w:pict>
          <v:line id="_x0000_s1027" style="position:absolute;left:0;text-align:left;z-index:251658752" from="181.8pt,15.05pt" to="253.8pt,15.05pt">
            <v:stroke endarrow="block"/>
          </v:line>
        </w:pict>
      </w:r>
      <w:r>
        <w:rPr>
          <w:noProof/>
          <w:lang w:val="en-AU" w:eastAsia="en-AU"/>
        </w:rPr>
        <w:pict>
          <v:shape id="_x0000_s1028" type="#_x0000_t202" style="position:absolute;left:0;text-align:left;margin-left:253.8pt;margin-top:6.05pt;width:198pt;height:27pt;z-index:251651584">
            <v:textbox style="mso-next-textbox:#_x0000_s1028">
              <w:txbxContent>
                <w:p w:rsidR="0086693E" w:rsidRDefault="0086693E" w:rsidP="00C3621B">
                  <w:r>
                    <w:t>Rapid assessment in the community</w:t>
                  </w:r>
                </w:p>
              </w:txbxContent>
            </v:textbox>
          </v:shape>
        </w:pict>
      </w:r>
      <w:r>
        <w:tab/>
      </w:r>
    </w:p>
    <w:p w:rsidR="0086693E" w:rsidRDefault="0086693E" w:rsidP="00C3621B">
      <w:pPr>
        <w:ind w:left="270" w:right="-89" w:hanging="270"/>
      </w:pPr>
    </w:p>
    <w:p w:rsidR="0086693E" w:rsidRPr="004A6D57" w:rsidRDefault="0086693E" w:rsidP="00C3621B">
      <w:pPr>
        <w:ind w:left="270" w:right="-89" w:hanging="270"/>
      </w:pPr>
      <w:r>
        <w:rPr>
          <w:noProof/>
          <w:lang w:val="en-AU" w:eastAsia="en-AU"/>
        </w:rPr>
        <w:pict>
          <v:line id="_x0000_s1029" style="position:absolute;left:0;text-align:left;flip:x;z-index:251660800" from="181.8pt,5.4pt" to="253.8pt,41.4pt">
            <v:stroke endarrow="block"/>
          </v:line>
        </w:pict>
      </w:r>
    </w:p>
    <w:p w:rsidR="0086693E" w:rsidRPr="004A6D57" w:rsidRDefault="0086693E" w:rsidP="00C3621B">
      <w:pPr>
        <w:ind w:left="270" w:right="-89" w:hanging="270"/>
      </w:pPr>
      <w:r>
        <w:rPr>
          <w:noProof/>
          <w:lang w:val="en-AU" w:eastAsia="en-AU"/>
        </w:rPr>
        <w:pict>
          <v:shape id="_x0000_s1030" type="#_x0000_t202" style="position:absolute;left:0;text-align:left;margin-left:19.8pt;margin-top:5.9pt;width:162pt;height:27pt;z-index:251652608">
            <v:textbox style="mso-next-textbox:#_x0000_s1030">
              <w:txbxContent>
                <w:p w:rsidR="0086693E" w:rsidRDefault="0086693E" w:rsidP="00C3621B">
                  <w:r>
                    <w:t>Identification of children</w:t>
                  </w:r>
                </w:p>
              </w:txbxContent>
            </v:textbox>
          </v:shape>
        </w:pict>
      </w:r>
    </w:p>
    <w:p w:rsidR="0086693E" w:rsidRPr="004A6D57" w:rsidRDefault="0086693E" w:rsidP="00C3621B">
      <w:pPr>
        <w:ind w:left="270" w:right="-89" w:hanging="270"/>
      </w:pPr>
      <w:r>
        <w:rPr>
          <w:noProof/>
          <w:lang w:val="en-AU" w:eastAsia="en-AU"/>
        </w:rPr>
        <w:pict>
          <v:shape id="_x0000_s1031" type="#_x0000_t202" style="position:absolute;left:0;text-align:left;margin-left:302.1pt;margin-top:12.15pt;width:2in;height:27pt;z-index:251653632">
            <v:textbox style="mso-next-textbox:#_x0000_s1031">
              <w:txbxContent>
                <w:p w:rsidR="0086693E" w:rsidRDefault="0086693E" w:rsidP="00C3621B">
                  <w:r>
                    <w:t>Inquire if help is required</w:t>
                  </w:r>
                </w:p>
              </w:txbxContent>
            </v:textbox>
          </v:shape>
        </w:pict>
      </w:r>
      <w:r>
        <w:rPr>
          <w:noProof/>
          <w:lang w:val="en-AU" w:eastAsia="en-AU"/>
        </w:rPr>
        <w:pict>
          <v:line id="_x0000_s1032" style="position:absolute;left:0;text-align:left;z-index:251659776" from="181.8pt,4.1pt" to="302.1pt,23.4pt">
            <v:stroke endarrow="block"/>
          </v:line>
        </w:pict>
      </w:r>
    </w:p>
    <w:p w:rsidR="0086693E" w:rsidRPr="004A6D57" w:rsidRDefault="0086693E" w:rsidP="00C3621B">
      <w:pPr>
        <w:ind w:left="270" w:right="-89" w:hanging="270"/>
      </w:pPr>
      <w:r>
        <w:rPr>
          <w:noProof/>
          <w:lang w:val="en-AU" w:eastAsia="en-AU"/>
        </w:rPr>
        <w:pict>
          <v:line id="_x0000_s1033" style="position:absolute;left:0;text-align:left;z-index:251661824" from="355.05pt,19.35pt" to="355.05pt,46.35pt">
            <v:stroke endarrow="block"/>
          </v:line>
        </w:pict>
      </w:r>
    </w:p>
    <w:p w:rsidR="0086693E" w:rsidRPr="004A6D57" w:rsidRDefault="0086693E" w:rsidP="00C3621B">
      <w:pPr>
        <w:ind w:left="270" w:right="-89" w:hanging="270"/>
      </w:pPr>
    </w:p>
    <w:p w:rsidR="0086693E" w:rsidRPr="004A6D57" w:rsidRDefault="0086693E" w:rsidP="00C3621B">
      <w:pPr>
        <w:ind w:left="270" w:right="-89" w:hanging="270"/>
      </w:pPr>
      <w:r>
        <w:rPr>
          <w:noProof/>
          <w:lang w:val="en-AU" w:eastAsia="en-AU"/>
        </w:rPr>
        <w:pict>
          <v:shape id="_x0000_s1034" type="#_x0000_t202" style="position:absolute;left:0;text-align:left;margin-left:128.25pt;margin-top:6.75pt;width:261pt;height:27pt;z-index:251654656">
            <v:textbox style="mso-next-textbox:#_x0000_s1034">
              <w:txbxContent>
                <w:p w:rsidR="0086693E" w:rsidRDefault="0086693E" w:rsidP="00C3621B">
                  <w:r>
                    <w:t>Observation of family and economic conditions</w:t>
                  </w:r>
                </w:p>
              </w:txbxContent>
            </v:textbox>
          </v:shape>
        </w:pict>
      </w:r>
    </w:p>
    <w:p w:rsidR="0086693E" w:rsidRPr="004A6D57" w:rsidRDefault="0086693E" w:rsidP="00C3621B">
      <w:pPr>
        <w:ind w:left="270" w:right="-89" w:hanging="270"/>
      </w:pPr>
      <w:r>
        <w:rPr>
          <w:noProof/>
          <w:lang w:val="en-AU" w:eastAsia="en-AU"/>
        </w:rPr>
        <w:pict>
          <v:line id="_x0000_s1035" style="position:absolute;left:0;text-align:left;z-index:251662848" from="199.05pt,13.95pt" to="199.05pt,31.95pt">
            <v:stroke endarrow="block"/>
          </v:line>
        </w:pict>
      </w:r>
    </w:p>
    <w:p w:rsidR="0086693E" w:rsidRPr="004A6D57" w:rsidRDefault="0086693E" w:rsidP="00C3621B">
      <w:pPr>
        <w:ind w:left="270" w:right="-89" w:hanging="270"/>
      </w:pPr>
      <w:r>
        <w:rPr>
          <w:noProof/>
          <w:lang w:val="en-AU" w:eastAsia="en-AU"/>
        </w:rPr>
        <w:pict>
          <v:shape id="_x0000_s1036" type="#_x0000_t202" style="position:absolute;left:0;text-align:left;margin-left:1in;margin-top:12.15pt;width:306pt;height:27pt;z-index:251655680">
            <v:textbox style="mso-next-textbox:#_x0000_s1036">
              <w:txbxContent>
                <w:p w:rsidR="0086693E" w:rsidRDefault="0086693E" w:rsidP="00C3621B">
                  <w:r>
                    <w:t>Inform child and family about the reintegration package</w:t>
                  </w:r>
                </w:p>
              </w:txbxContent>
            </v:textbox>
          </v:shape>
        </w:pict>
      </w:r>
    </w:p>
    <w:p w:rsidR="0086693E" w:rsidRPr="004A6D57" w:rsidRDefault="0086693E" w:rsidP="00C3621B">
      <w:pPr>
        <w:ind w:left="270" w:right="-89" w:hanging="270"/>
      </w:pPr>
    </w:p>
    <w:p w:rsidR="0086693E" w:rsidRPr="004A6D57" w:rsidRDefault="0086693E" w:rsidP="00C3621B">
      <w:pPr>
        <w:ind w:left="270" w:right="-89" w:hanging="270"/>
      </w:pPr>
      <w:r>
        <w:rPr>
          <w:noProof/>
          <w:lang w:val="en-AU" w:eastAsia="en-AU"/>
        </w:rPr>
        <w:pict>
          <v:line id="_x0000_s1037" style="position:absolute;left:0;text-align:left;z-index:251663872" from="135pt,-.45pt" to="135pt,17.55pt">
            <v:stroke endarrow="block"/>
          </v:line>
        </w:pict>
      </w:r>
      <w:r>
        <w:rPr>
          <w:noProof/>
          <w:lang w:val="en-AU" w:eastAsia="en-AU"/>
        </w:rPr>
        <w:pict>
          <v:shape id="_x0000_s1038" type="#_x0000_t202" style="position:absolute;left:0;text-align:left;margin-left:27pt;margin-top:17.55pt;width:162pt;height:27pt;z-index:251656704">
            <v:textbox style="mso-next-textbox:#_x0000_s1038">
              <w:txbxContent>
                <w:p w:rsidR="0086693E" w:rsidRDefault="0086693E" w:rsidP="00C3621B">
                  <w:r>
                    <w:t>Inquire about interest</w:t>
                  </w:r>
                </w:p>
              </w:txbxContent>
            </v:textbox>
          </v:shape>
        </w:pict>
      </w:r>
    </w:p>
    <w:p w:rsidR="0086693E" w:rsidRPr="004A6D57" w:rsidRDefault="0086693E" w:rsidP="00C3621B">
      <w:pPr>
        <w:ind w:left="270" w:right="-89" w:hanging="270"/>
      </w:pPr>
      <w:r>
        <w:rPr>
          <w:noProof/>
          <w:lang w:val="en-AU" w:eastAsia="en-AU"/>
        </w:rPr>
        <w:pict>
          <v:shape id="_x0000_s1039" type="#_x0000_t202" style="position:absolute;left:0;text-align:left;margin-left:234pt;margin-top:16.9pt;width:207pt;height:47.95pt;z-index:251657728">
            <v:textbox style="mso-next-textbox:#_x0000_s1039">
              <w:txbxContent>
                <w:p w:rsidR="0086693E" w:rsidRDefault="0086693E" w:rsidP="00C3621B">
                  <w:r>
                    <w:t>CAAFAG implementing partner, child and family take decision on support to be given</w:t>
                  </w:r>
                </w:p>
              </w:txbxContent>
            </v:textbox>
          </v:shape>
        </w:pict>
      </w:r>
      <w:r>
        <w:rPr>
          <w:noProof/>
          <w:lang w:val="en-AU" w:eastAsia="en-AU"/>
        </w:rPr>
        <w:pict>
          <v:line id="_x0000_s1040" style="position:absolute;left:0;text-align:left;z-index:251664896" from="189pt,7.9pt" to="234pt,34.9pt">
            <v:stroke endarrow="block"/>
          </v:line>
        </w:pict>
      </w:r>
    </w:p>
    <w:p w:rsidR="0086693E" w:rsidRPr="004A6D57" w:rsidRDefault="0086693E" w:rsidP="00C3621B">
      <w:pPr>
        <w:ind w:left="270" w:right="-89" w:hanging="270"/>
      </w:pPr>
    </w:p>
    <w:p w:rsidR="0086693E" w:rsidRPr="004A6D57" w:rsidRDefault="0086693E" w:rsidP="00C3621B">
      <w:pPr>
        <w:ind w:left="270" w:right="-89" w:hanging="270"/>
      </w:pPr>
    </w:p>
    <w:p w:rsidR="0086693E" w:rsidRPr="004A6D57" w:rsidRDefault="0086693E" w:rsidP="00C3621B">
      <w:pPr>
        <w:ind w:left="270" w:right="-89" w:hanging="270"/>
      </w:pPr>
    </w:p>
    <w:p w:rsidR="0086693E" w:rsidRDefault="0086693E" w:rsidP="00C3621B">
      <w:pPr>
        <w:ind w:left="270"/>
      </w:pPr>
    </w:p>
    <w:p w:rsidR="0086693E" w:rsidRDefault="0086693E" w:rsidP="003D339C">
      <w:pPr>
        <w:pStyle w:val="bulletnormal"/>
        <w:numPr>
          <w:ilvl w:val="0"/>
          <w:numId w:val="0"/>
        </w:numPr>
        <w:ind w:left="270"/>
      </w:pPr>
      <w:r>
        <w:t>One</w:t>
      </w:r>
      <w:r w:rsidRPr="00612AE0">
        <w:t xml:space="preserve"> key challenge is to ensure that reintegration support does not create resentment and bitterness within the wider community or place a strain on communities’ limited resources. </w:t>
      </w:r>
      <w:r w:rsidRPr="000925E0">
        <w:t xml:space="preserve">The current UNICEF CAAFAG </w:t>
      </w:r>
      <w:r>
        <w:t xml:space="preserve">programme, </w:t>
      </w:r>
      <w:r w:rsidRPr="000925E0">
        <w:t>therefore</w:t>
      </w:r>
      <w:r>
        <w:t>,</w:t>
      </w:r>
      <w:r w:rsidRPr="000925E0">
        <w:t xml:space="preserve"> targets not only CAAFAG but</w:t>
      </w:r>
      <w:r>
        <w:t xml:space="preserve"> also</w:t>
      </w:r>
      <w:r w:rsidRPr="000925E0">
        <w:t xml:space="preserve"> other children affected by the conflict</w:t>
      </w:r>
      <w:r>
        <w:t>,</w:t>
      </w:r>
      <w:r w:rsidRPr="000925E0">
        <w:t xml:space="preserve"> and </w:t>
      </w:r>
      <w:r>
        <w:t xml:space="preserve">it also </w:t>
      </w:r>
      <w:r w:rsidRPr="000925E0">
        <w:t>involve</w:t>
      </w:r>
      <w:r>
        <w:t>s</w:t>
      </w:r>
      <w:r w:rsidRPr="000925E0">
        <w:t xml:space="preserve"> the community in </w:t>
      </w:r>
      <w:r>
        <w:t xml:space="preserve">programme </w:t>
      </w:r>
      <w:r w:rsidRPr="000925E0">
        <w:t xml:space="preserve">implementation. </w:t>
      </w:r>
    </w:p>
    <w:p w:rsidR="0086693E" w:rsidRDefault="0086693E" w:rsidP="00C3621B">
      <w:pPr>
        <w:pStyle w:val="bulletnormal"/>
        <w:numPr>
          <w:ilvl w:val="0"/>
          <w:numId w:val="0"/>
        </w:numPr>
        <w:ind w:left="270"/>
      </w:pPr>
      <w:r>
        <w:t>G</w:t>
      </w:r>
      <w:r w:rsidRPr="007A058C">
        <w:t>irls</w:t>
      </w:r>
      <w:r>
        <w:t xml:space="preserve"> </w:t>
      </w:r>
      <w:r w:rsidRPr="007A058C">
        <w:t>face additional challenges during reintegration</w:t>
      </w:r>
      <w:r>
        <w:t xml:space="preserve"> as the a</w:t>
      </w:r>
      <w:r w:rsidRPr="007A058C">
        <w:t>cceptance level from family and community level is lower in the case of girls than boys</w:t>
      </w:r>
      <w:r>
        <w:t xml:space="preserve"> and consequently</w:t>
      </w:r>
      <w:r w:rsidRPr="007A058C">
        <w:t xml:space="preserve"> many girls marry early or to live away from their family. </w:t>
      </w:r>
      <w:r w:rsidRPr="00C0541A">
        <w:t>In recognition of the special protection concerns for girls reintegration</w:t>
      </w:r>
      <w:r>
        <w:t xml:space="preserve"> and to build on the emancipation many girls experienced during their association with the armed group</w:t>
      </w:r>
      <w:r w:rsidRPr="00C0541A">
        <w:t xml:space="preserve">, UNICEF has developed joint </w:t>
      </w:r>
      <w:r>
        <w:t xml:space="preserve">activities </w:t>
      </w:r>
      <w:r w:rsidRPr="00C0541A">
        <w:t>with UNFPA to enhance the capacity of implementing partners on issues relating to gender mainstreaming, gender based violence</w:t>
      </w:r>
      <w:r>
        <w:t>. It also link</w:t>
      </w:r>
      <w:r w:rsidRPr="00C0541A">
        <w:t xml:space="preserve">s </w:t>
      </w:r>
      <w:r>
        <w:t xml:space="preserve">the </w:t>
      </w:r>
      <w:r w:rsidRPr="00C0541A">
        <w:t>girls to existing women’s federations and micro credit grou</w:t>
      </w:r>
      <w:r>
        <w:t>p.</w:t>
      </w:r>
    </w:p>
    <w:p w:rsidR="0086693E" w:rsidRDefault="0086693E" w:rsidP="00C3621B">
      <w:pPr>
        <w:pStyle w:val="bulletnormal"/>
        <w:numPr>
          <w:ilvl w:val="0"/>
          <w:numId w:val="0"/>
        </w:numPr>
        <w:ind w:left="270"/>
      </w:pPr>
    </w:p>
    <w:p w:rsidR="0086693E" w:rsidRDefault="0086693E" w:rsidP="00C3621B">
      <w:pPr>
        <w:pStyle w:val="bulletnormal"/>
        <w:numPr>
          <w:ilvl w:val="0"/>
          <w:numId w:val="0"/>
        </w:numPr>
        <w:tabs>
          <w:tab w:val="left" w:pos="360"/>
        </w:tabs>
        <w:ind w:left="270" w:hanging="270"/>
      </w:pPr>
      <w:r>
        <w:t xml:space="preserve">3) Empower children and young people to be forces for </w:t>
      </w:r>
      <w:r w:rsidRPr="002565E5">
        <w:rPr>
          <w:b/>
        </w:rPr>
        <w:t>peace and conflict prevention</w:t>
      </w:r>
      <w:r>
        <w:t>. A culture of peace’ must be promoted, based on the principles of tolerance, rights, responsibilities, reconciliation and coexistence must be promoted at the same time as child protection systems, i.e. laws, policies, regulations and services across all social sectors, are in place to support prevention and response to protection related risks. All too often children are seen as victims and youth as a source of problems, however if their energy is channelled creatively they can become powerful forces for peace. ‘</w:t>
      </w:r>
    </w:p>
    <w:p w:rsidR="0086693E" w:rsidRDefault="0086693E" w:rsidP="00C87C40">
      <w:pPr>
        <w:autoSpaceDE w:val="0"/>
        <w:autoSpaceDN w:val="0"/>
        <w:adjustRightInd w:val="0"/>
        <w:ind w:left="270"/>
        <w:jc w:val="both"/>
        <w:rPr>
          <w:color w:val="000000"/>
        </w:rPr>
      </w:pPr>
      <w:r>
        <w:t xml:space="preserve">Inclusive and appropriate processes of transitional justice and peace building are integral parts of reintegrating war-affected children. </w:t>
      </w:r>
      <w:r w:rsidRPr="009821F9">
        <w:rPr>
          <w:color w:val="000000"/>
        </w:rPr>
        <w:t>I</w:t>
      </w:r>
      <w:r>
        <w:rPr>
          <w:color w:val="000000"/>
        </w:rPr>
        <w:t>t is imperative that, i</w:t>
      </w:r>
      <w:r w:rsidRPr="009821F9">
        <w:rPr>
          <w:color w:val="000000"/>
        </w:rPr>
        <w:t>n recognition of the violations and abuses suffered by children during the armed conflict</w:t>
      </w:r>
      <w:r w:rsidRPr="009821F9">
        <w:rPr>
          <w:rStyle w:val="FootnoteReference"/>
          <w:color w:val="000000"/>
        </w:rPr>
        <w:footnoteReference w:id="4"/>
      </w:r>
      <w:r w:rsidRPr="009821F9">
        <w:rPr>
          <w:color w:val="000000"/>
        </w:rPr>
        <w:t>, children be an integral part of the TRC process in order to allow their voices to be heard and to promote reconciliation.</w:t>
      </w:r>
      <w:r>
        <w:rPr>
          <w:color w:val="000000"/>
        </w:rPr>
        <w:t xml:space="preserve"> </w:t>
      </w:r>
      <w:r w:rsidRPr="009821F9">
        <w:rPr>
          <w:color w:val="000000"/>
        </w:rPr>
        <w:t>Ideally children’s participation should strengthen and enhance their protection, and protection measures should enable participation. In the long term, if children are excluded from transitional processes, they may become frustrated and vulnerable to a continuing cycle of violence, impacting future generations. Failure to address their concerns also wastes the capacity and potential of children and adolescents to serve as catalysts for reconciliation and peace-building within their own communities.</w:t>
      </w:r>
    </w:p>
    <w:p w:rsidR="0086693E" w:rsidRDefault="0086693E" w:rsidP="00C3621B">
      <w:pPr>
        <w:pStyle w:val="bulletnormal"/>
        <w:numPr>
          <w:ilvl w:val="0"/>
          <w:numId w:val="0"/>
        </w:numPr>
        <w:rPr>
          <w:color w:val="244061"/>
        </w:rPr>
      </w:pPr>
    </w:p>
    <w:p w:rsidR="0086693E" w:rsidRDefault="0086693E" w:rsidP="002D46E5">
      <w:pPr>
        <w:pStyle w:val="bulletnormal"/>
        <w:numPr>
          <w:ilvl w:val="0"/>
          <w:numId w:val="0"/>
        </w:numPr>
      </w:pPr>
      <w:r w:rsidRPr="003D339C">
        <w:t xml:space="preserve">Together, these three components address the immediate needs of CAAC and support their positive contribution </w:t>
      </w:r>
      <w:r>
        <w:t>to a stable peace at the same time as it will contribute to the prevention of new conflict</w:t>
      </w:r>
      <w:r w:rsidRPr="00E312AE">
        <w:t xml:space="preserve">. This holistic approach will not only help duty-bearers fulfil the rights of children and young people, but will also allow the programme to make a significant contribution to the consolidation of peace in </w:t>
      </w:r>
      <w:smartTag w:uri="urn:schemas-microsoft-com:office:smarttags" w:element="country-region">
        <w:r w:rsidRPr="00E312AE">
          <w:t>Nepal</w:t>
        </w:r>
      </w:smartTag>
      <w:r w:rsidRPr="00E312AE">
        <w:t xml:space="preserve">. </w:t>
      </w:r>
    </w:p>
    <w:p w:rsidR="0086693E" w:rsidRDefault="0086693E" w:rsidP="002D46E5">
      <w:pPr>
        <w:jc w:val="both"/>
        <w:rPr>
          <w:rFonts w:cs="Arial"/>
          <w:szCs w:val="22"/>
        </w:rPr>
      </w:pPr>
      <w:r>
        <w:t xml:space="preserve">The part of the CAAC programme that is funded by the PBF Fund focuses on the </w:t>
      </w:r>
      <w:r w:rsidRPr="00382FAB">
        <w:rPr>
          <w:rFonts w:cs="Arial"/>
          <w:szCs w:val="22"/>
        </w:rPr>
        <w:t>2,973 Maoist Army</w:t>
      </w:r>
      <w:r>
        <w:rPr>
          <w:rFonts w:cs="Arial"/>
          <w:szCs w:val="22"/>
        </w:rPr>
        <w:t xml:space="preserve"> personnel who we</w:t>
      </w:r>
      <w:r w:rsidRPr="00382FAB">
        <w:rPr>
          <w:rFonts w:cs="Arial"/>
          <w:szCs w:val="22"/>
        </w:rPr>
        <w:t xml:space="preserve">re verified </w:t>
      </w:r>
      <w:r>
        <w:rPr>
          <w:rFonts w:cs="Arial"/>
          <w:szCs w:val="22"/>
        </w:rPr>
        <w:t xml:space="preserve">by the UN </w:t>
      </w:r>
      <w:r w:rsidRPr="00382FAB">
        <w:rPr>
          <w:rFonts w:cs="Arial"/>
          <w:szCs w:val="22"/>
        </w:rPr>
        <w:t>as having been under the age of 18 years on 25 May 2006</w:t>
      </w:r>
      <w:r w:rsidRPr="00382FAB">
        <w:rPr>
          <w:rStyle w:val="FootnoteReference"/>
          <w:rFonts w:cs="Arial"/>
          <w:szCs w:val="22"/>
        </w:rPr>
        <w:footnoteReference w:id="5"/>
      </w:r>
      <w:r w:rsidRPr="00382FAB">
        <w:rPr>
          <w:rFonts w:cs="Arial"/>
          <w:szCs w:val="22"/>
        </w:rPr>
        <w:t xml:space="preserve"> and therefore categorized as </w:t>
      </w:r>
      <w:r>
        <w:rPr>
          <w:rFonts w:cs="Arial"/>
          <w:spacing w:val="-3"/>
          <w:szCs w:val="22"/>
        </w:rPr>
        <w:t xml:space="preserve">disqualified </w:t>
      </w:r>
      <w:r w:rsidRPr="00382FAB">
        <w:rPr>
          <w:rFonts w:cs="Arial"/>
          <w:szCs w:val="22"/>
        </w:rPr>
        <w:t xml:space="preserve">minors. </w:t>
      </w:r>
      <w:r>
        <w:rPr>
          <w:rFonts w:cs="Arial"/>
          <w:spacing w:val="-3"/>
          <w:szCs w:val="22"/>
        </w:rPr>
        <w:t xml:space="preserve">This project </w:t>
      </w:r>
      <w:r w:rsidRPr="00382FAB">
        <w:rPr>
          <w:rFonts w:cs="Arial"/>
          <w:spacing w:val="-3"/>
          <w:szCs w:val="22"/>
        </w:rPr>
        <w:t>primarily address</w:t>
      </w:r>
      <w:r>
        <w:rPr>
          <w:rFonts w:cs="Arial"/>
          <w:spacing w:val="-3"/>
          <w:szCs w:val="22"/>
        </w:rPr>
        <w:t>es</w:t>
      </w:r>
      <w:r w:rsidRPr="00382FAB">
        <w:rPr>
          <w:rFonts w:cs="Arial"/>
          <w:spacing w:val="-3"/>
          <w:szCs w:val="22"/>
        </w:rPr>
        <w:t xml:space="preserve"> the needs and issues of </w:t>
      </w:r>
      <w:r>
        <w:rPr>
          <w:rFonts w:cs="Arial"/>
          <w:spacing w:val="-3"/>
          <w:szCs w:val="22"/>
        </w:rPr>
        <w:t>these minors</w:t>
      </w:r>
      <w:r w:rsidRPr="00382FAB">
        <w:rPr>
          <w:rFonts w:cs="Arial"/>
          <w:spacing w:val="-3"/>
          <w:szCs w:val="22"/>
        </w:rPr>
        <w:t xml:space="preserve">. </w:t>
      </w:r>
    </w:p>
    <w:p w:rsidR="0086693E" w:rsidRPr="00EB69BD" w:rsidRDefault="0086693E" w:rsidP="00EB69BD">
      <w:pPr>
        <w:pStyle w:val="Heading4"/>
        <w:rPr>
          <w:rFonts w:ascii="Times New Roman" w:hAnsi="Times New Roman"/>
          <w:b w:val="0"/>
          <w:color w:val="auto"/>
        </w:rPr>
      </w:pPr>
      <w:r w:rsidRPr="00EB69BD">
        <w:rPr>
          <w:rFonts w:ascii="Times New Roman" w:hAnsi="Times New Roman"/>
          <w:b w:val="0"/>
          <w:color w:val="auto"/>
        </w:rPr>
        <w:t>Overall objective</w:t>
      </w:r>
    </w:p>
    <w:p w:rsidR="0086693E" w:rsidRDefault="0086693E" w:rsidP="00EB69BD">
      <w:pPr>
        <w:pStyle w:val="bulletnormal"/>
        <w:numPr>
          <w:ilvl w:val="0"/>
          <w:numId w:val="11"/>
        </w:numPr>
        <w:rPr>
          <w:spacing w:val="-3"/>
        </w:rPr>
      </w:pPr>
      <w:r w:rsidRPr="009E3552">
        <w:t xml:space="preserve">Support the overall peace process in </w:t>
      </w:r>
      <w:smartTag w:uri="urn:schemas-microsoft-com:office:smarttags" w:element="country-region">
        <w:r w:rsidRPr="009E3552">
          <w:t>Nepal</w:t>
        </w:r>
      </w:smartTag>
      <w:r w:rsidRPr="009E3552">
        <w:t xml:space="preserve"> through promotion of the rights of children</w:t>
      </w:r>
      <w:r>
        <w:t xml:space="preserve"> and youth</w:t>
      </w:r>
      <w:r w:rsidRPr="009E3552">
        <w:t xml:space="preserve"> who have been affected by the conflict</w:t>
      </w:r>
      <w:r>
        <w:t>.</w:t>
      </w:r>
    </w:p>
    <w:p w:rsidR="0086693E" w:rsidRPr="00EB69BD" w:rsidRDefault="0086693E" w:rsidP="00EB69BD">
      <w:pPr>
        <w:pStyle w:val="Heading4"/>
        <w:rPr>
          <w:rFonts w:ascii="Times New Roman" w:hAnsi="Times New Roman"/>
          <w:b w:val="0"/>
          <w:color w:val="auto"/>
        </w:rPr>
      </w:pPr>
      <w:r w:rsidRPr="00EB69BD">
        <w:rPr>
          <w:rFonts w:ascii="Times New Roman" w:hAnsi="Times New Roman"/>
          <w:b w:val="0"/>
          <w:color w:val="auto"/>
        </w:rPr>
        <w:t>Immediate objective</w:t>
      </w:r>
    </w:p>
    <w:p w:rsidR="0086693E" w:rsidRDefault="0086693E" w:rsidP="00EB69BD">
      <w:pPr>
        <w:pStyle w:val="bulletnormal"/>
        <w:numPr>
          <w:ilvl w:val="0"/>
          <w:numId w:val="11"/>
        </w:numPr>
      </w:pPr>
      <w:r>
        <w:t xml:space="preserve">Ensure a successful </w:t>
      </w:r>
      <w:r w:rsidRPr="00F17CA5">
        <w:t xml:space="preserve">discharge process </w:t>
      </w:r>
      <w:r>
        <w:t>for</w:t>
      </w:r>
      <w:r w:rsidRPr="00F17CA5">
        <w:t xml:space="preserve"> those verified as minors during verification of Maoist Army personnel</w:t>
      </w:r>
      <w:r>
        <w:t>,</w:t>
      </w:r>
      <w:r w:rsidRPr="00F17CA5">
        <w:t xml:space="preserve"> </w:t>
      </w:r>
      <w:r>
        <w:t>and provide them with assistance for their successful socio-economic reintegration.</w:t>
      </w:r>
    </w:p>
    <w:p w:rsidR="0086693E" w:rsidRPr="00EB69BD" w:rsidRDefault="0086693E" w:rsidP="00EB69BD">
      <w:pPr>
        <w:pStyle w:val="Heading4"/>
        <w:rPr>
          <w:rFonts w:ascii="Times New Roman" w:hAnsi="Times New Roman"/>
          <w:b w:val="0"/>
          <w:color w:val="auto"/>
        </w:rPr>
      </w:pPr>
      <w:r w:rsidRPr="00EB69BD">
        <w:rPr>
          <w:rFonts w:ascii="Times New Roman" w:hAnsi="Times New Roman"/>
          <w:b w:val="0"/>
          <w:color w:val="auto"/>
        </w:rPr>
        <w:t>Expected outputs</w:t>
      </w:r>
    </w:p>
    <w:p w:rsidR="0086693E" w:rsidRDefault="0086693E" w:rsidP="00EB69BD">
      <w:pPr>
        <w:pStyle w:val="bulletnormal"/>
        <w:numPr>
          <w:ilvl w:val="0"/>
          <w:numId w:val="11"/>
        </w:numPr>
      </w:pPr>
      <w:r w:rsidRPr="00755085">
        <w:t>Disqualified minors are successfully discharge</w:t>
      </w:r>
      <w:r>
        <w:t>d</w:t>
      </w:r>
      <w:r w:rsidRPr="00755085">
        <w:t xml:space="preserve"> from cantonments in line with established global standards</w:t>
      </w:r>
      <w:r>
        <w:t>.</w:t>
      </w:r>
    </w:p>
    <w:p w:rsidR="0086693E" w:rsidRDefault="0086693E" w:rsidP="00EB69BD">
      <w:pPr>
        <w:pStyle w:val="bulletnormal"/>
        <w:numPr>
          <w:ilvl w:val="0"/>
          <w:numId w:val="11"/>
        </w:numPr>
      </w:pPr>
      <w:r w:rsidRPr="00755085">
        <w:t>Disqualified min</w:t>
      </w:r>
      <w:r>
        <w:t>ors are provided with community-</w:t>
      </w:r>
      <w:r w:rsidRPr="00755085">
        <w:t>ba</w:t>
      </w:r>
      <w:r>
        <w:t>sed reintegration opportunities.</w:t>
      </w:r>
    </w:p>
    <w:p w:rsidR="0086693E" w:rsidRDefault="0086693E" w:rsidP="00C87C40">
      <w:pPr>
        <w:autoSpaceDE w:val="0"/>
        <w:autoSpaceDN w:val="0"/>
        <w:adjustRightInd w:val="0"/>
        <w:jc w:val="both"/>
        <w:rPr>
          <w:rFonts w:cs="Arial"/>
          <w:szCs w:val="22"/>
        </w:rPr>
      </w:pPr>
      <w:r w:rsidRPr="00D95DF9">
        <w:rPr>
          <w:rFonts w:cs="Arial"/>
          <w:szCs w:val="22"/>
        </w:rPr>
        <w:t>The United Nations Development Assistance Framework (UNDAF) is fully ali</w:t>
      </w:r>
      <w:r>
        <w:rPr>
          <w:rFonts w:cs="Arial"/>
          <w:szCs w:val="22"/>
        </w:rPr>
        <w:t>gned with the above-</w:t>
      </w:r>
      <w:r w:rsidRPr="00D95DF9">
        <w:rPr>
          <w:rFonts w:cs="Arial"/>
          <w:szCs w:val="22"/>
        </w:rPr>
        <w:t xml:space="preserve">mentioned priorities, and has thus made the support for processes and initiatives aimed at consolidating the peace an area of priority: </w:t>
      </w:r>
      <w:r w:rsidRPr="0057122D">
        <w:rPr>
          <w:rFonts w:cs="Arial"/>
          <w:i/>
          <w:szCs w:val="22"/>
        </w:rPr>
        <w:t xml:space="preserve">UNDAF </w:t>
      </w:r>
      <w:r w:rsidRPr="0057122D">
        <w:rPr>
          <w:i/>
        </w:rPr>
        <w:t>Outcome A: National institutions, processes and initiatives to consolidate peace are strengthened</w:t>
      </w:r>
      <w:r>
        <w:t>.</w:t>
      </w:r>
      <w:r>
        <w:rPr>
          <w:rStyle w:val="FootnoteReference"/>
          <w:rFonts w:cs="Arial"/>
          <w:szCs w:val="22"/>
        </w:rPr>
        <w:footnoteReference w:id="6"/>
      </w:r>
      <w:r w:rsidRPr="00D95DF9">
        <w:rPr>
          <w:rFonts w:cs="Arial"/>
          <w:szCs w:val="22"/>
        </w:rPr>
        <w:t xml:space="preserve"> This priority is reflected in the country programmes of all agencies, with particular emphasis on the rights of people affected by the conflict to be afforded opportunities to rebuild their lives. </w:t>
      </w:r>
    </w:p>
    <w:p w:rsidR="0086693E" w:rsidRPr="00C3621B" w:rsidRDefault="0086693E" w:rsidP="00C3621B">
      <w:pPr>
        <w:rPr>
          <w:lang w:val="en-GB"/>
        </w:rPr>
      </w:pPr>
    </w:p>
    <w:p w:rsidR="0086693E" w:rsidRDefault="0086693E" w:rsidP="0034693A">
      <w:pPr>
        <w:pStyle w:val="Heading1"/>
        <w:keepLines w:val="0"/>
        <w:numPr>
          <w:ilvl w:val="0"/>
          <w:numId w:val="1"/>
        </w:numPr>
        <w:tabs>
          <w:tab w:val="clear" w:pos="1080"/>
          <w:tab w:val="left" w:pos="360"/>
        </w:tabs>
        <w:spacing w:before="0"/>
        <w:ind w:left="360" w:hanging="360"/>
        <w:rPr>
          <w:rFonts w:ascii="Times New Roman" w:hAnsi="Times New Roman"/>
          <w:sz w:val="24"/>
          <w:szCs w:val="24"/>
        </w:rPr>
      </w:pPr>
      <w:bookmarkStart w:id="10" w:name="_Toc249364484"/>
      <w:r w:rsidRPr="00B32E35">
        <w:rPr>
          <w:rFonts w:ascii="Times New Roman" w:hAnsi="Times New Roman"/>
          <w:sz w:val="24"/>
          <w:szCs w:val="24"/>
        </w:rPr>
        <w:t>Resources</w:t>
      </w:r>
      <w:bookmarkEnd w:id="10"/>
      <w:r w:rsidRPr="00B32E35">
        <w:rPr>
          <w:rFonts w:ascii="Times New Roman" w:hAnsi="Times New Roman"/>
          <w:sz w:val="24"/>
          <w:szCs w:val="24"/>
        </w:rPr>
        <w:t xml:space="preserve"> </w:t>
      </w:r>
    </w:p>
    <w:p w:rsidR="0086693E" w:rsidRPr="00F82AB0" w:rsidRDefault="0086693E" w:rsidP="00F82AB0"/>
    <w:tbl>
      <w:tblPr>
        <w:tblW w:w="7600" w:type="dxa"/>
        <w:tblInd w:w="96" w:type="dxa"/>
        <w:tblLook w:val="00A0"/>
      </w:tblPr>
      <w:tblGrid>
        <w:gridCol w:w="1080"/>
        <w:gridCol w:w="4120"/>
        <w:gridCol w:w="2400"/>
      </w:tblGrid>
      <w:tr w:rsidR="0086693E" w:rsidRPr="00F82AB0" w:rsidTr="00F82AB0">
        <w:trPr>
          <w:trHeight w:val="495"/>
        </w:trPr>
        <w:tc>
          <w:tcPr>
            <w:tcW w:w="1080" w:type="dxa"/>
            <w:tcBorders>
              <w:top w:val="single" w:sz="4" w:space="0" w:color="auto"/>
              <w:left w:val="single" w:sz="4" w:space="0" w:color="auto"/>
              <w:bottom w:val="single" w:sz="4" w:space="0" w:color="auto"/>
              <w:right w:val="single" w:sz="4" w:space="0" w:color="auto"/>
            </w:tcBorders>
            <w:shd w:val="clear" w:color="000000" w:fill="C0C0C0"/>
            <w:noWrap/>
          </w:tcPr>
          <w:p w:rsidR="0086693E" w:rsidRPr="00F82AB0" w:rsidRDefault="0086693E" w:rsidP="00F82AB0">
            <w:pPr>
              <w:jc w:val="center"/>
              <w:rPr>
                <w:rFonts w:ascii="Arial" w:hAnsi="Arial" w:cs="Arial"/>
                <w:b/>
                <w:bCs/>
              </w:rPr>
            </w:pPr>
            <w:r w:rsidRPr="00F82AB0">
              <w:rPr>
                <w:rFonts w:ascii="Arial" w:hAnsi="Arial" w:cs="Arial"/>
                <w:b/>
                <w:bCs/>
              </w:rPr>
              <w:t>Line #</w:t>
            </w:r>
          </w:p>
        </w:tc>
        <w:tc>
          <w:tcPr>
            <w:tcW w:w="4120" w:type="dxa"/>
            <w:tcBorders>
              <w:top w:val="single" w:sz="4" w:space="0" w:color="auto"/>
              <w:left w:val="nil"/>
              <w:bottom w:val="single" w:sz="4" w:space="0" w:color="auto"/>
              <w:right w:val="single" w:sz="4" w:space="0" w:color="auto"/>
            </w:tcBorders>
            <w:shd w:val="clear" w:color="000000" w:fill="C0C0C0"/>
            <w:noWrap/>
            <w:vAlign w:val="center"/>
          </w:tcPr>
          <w:p w:rsidR="0086693E" w:rsidRPr="00F82AB0" w:rsidRDefault="0086693E" w:rsidP="00F82AB0">
            <w:pPr>
              <w:jc w:val="center"/>
              <w:rPr>
                <w:rFonts w:ascii="Arial" w:hAnsi="Arial" w:cs="Arial"/>
                <w:b/>
                <w:bCs/>
              </w:rPr>
            </w:pPr>
            <w:r w:rsidRPr="00F82AB0">
              <w:rPr>
                <w:rFonts w:ascii="Arial" w:hAnsi="Arial" w:cs="Arial"/>
                <w:b/>
                <w:bCs/>
              </w:rPr>
              <w:t>Line Description</w:t>
            </w:r>
          </w:p>
        </w:tc>
        <w:tc>
          <w:tcPr>
            <w:tcW w:w="2400" w:type="dxa"/>
            <w:tcBorders>
              <w:top w:val="single" w:sz="4" w:space="0" w:color="auto"/>
              <w:left w:val="nil"/>
              <w:bottom w:val="single" w:sz="4" w:space="0" w:color="auto"/>
              <w:right w:val="single" w:sz="4" w:space="0" w:color="auto"/>
            </w:tcBorders>
            <w:shd w:val="clear" w:color="000000" w:fill="C0C0C0"/>
            <w:vAlign w:val="center"/>
          </w:tcPr>
          <w:p w:rsidR="0086693E" w:rsidRPr="00F82AB0" w:rsidRDefault="0086693E" w:rsidP="00F82AB0">
            <w:pPr>
              <w:rPr>
                <w:rFonts w:ascii="Arial" w:hAnsi="Arial" w:cs="Arial"/>
                <w:b/>
                <w:bCs/>
              </w:rPr>
            </w:pPr>
            <w:r w:rsidRPr="00F82AB0">
              <w:rPr>
                <w:rFonts w:ascii="Arial" w:hAnsi="Arial" w:cs="Arial"/>
                <w:b/>
                <w:bCs/>
              </w:rPr>
              <w:t xml:space="preserve"> Definision of figure to be reflected </w:t>
            </w:r>
          </w:p>
        </w:tc>
      </w:tr>
      <w:tr w:rsidR="0086693E" w:rsidRPr="00F82AB0" w:rsidTr="00F82AB0">
        <w:trPr>
          <w:trHeight w:val="575"/>
        </w:trPr>
        <w:tc>
          <w:tcPr>
            <w:tcW w:w="1080" w:type="dxa"/>
            <w:tcBorders>
              <w:top w:val="nil"/>
              <w:left w:val="single" w:sz="4" w:space="0" w:color="auto"/>
              <w:bottom w:val="single" w:sz="4" w:space="0" w:color="auto"/>
              <w:right w:val="single" w:sz="4" w:space="0" w:color="auto"/>
            </w:tcBorders>
            <w:noWrap/>
          </w:tcPr>
          <w:p w:rsidR="0086693E" w:rsidRPr="00F82AB0" w:rsidRDefault="0086693E" w:rsidP="00F82AB0">
            <w:pPr>
              <w:jc w:val="center"/>
              <w:rPr>
                <w:rFonts w:ascii="Arial" w:hAnsi="Arial" w:cs="Arial"/>
                <w:b/>
                <w:bCs/>
                <w:sz w:val="20"/>
                <w:szCs w:val="20"/>
              </w:rPr>
            </w:pPr>
            <w:r w:rsidRPr="00F82AB0">
              <w:rPr>
                <w:rFonts w:ascii="Arial" w:hAnsi="Arial" w:cs="Arial"/>
                <w:b/>
                <w:bCs/>
                <w:sz w:val="20"/>
                <w:szCs w:val="20"/>
              </w:rPr>
              <w:t>1</w:t>
            </w:r>
          </w:p>
        </w:tc>
        <w:tc>
          <w:tcPr>
            <w:tcW w:w="4120" w:type="dxa"/>
            <w:tcBorders>
              <w:top w:val="nil"/>
              <w:left w:val="nil"/>
              <w:bottom w:val="single" w:sz="4" w:space="0" w:color="auto"/>
              <w:right w:val="single" w:sz="4" w:space="0" w:color="auto"/>
            </w:tcBorders>
            <w:vAlign w:val="center"/>
          </w:tcPr>
          <w:p w:rsidR="0086693E" w:rsidRPr="00F82AB0" w:rsidRDefault="0086693E" w:rsidP="00F82AB0">
            <w:pPr>
              <w:rPr>
                <w:rFonts w:ascii="Arial" w:hAnsi="Arial" w:cs="Arial"/>
                <w:b/>
                <w:bCs/>
                <w:sz w:val="20"/>
                <w:szCs w:val="20"/>
              </w:rPr>
            </w:pPr>
            <w:r w:rsidRPr="00F82AB0">
              <w:rPr>
                <w:rFonts w:ascii="Arial" w:hAnsi="Arial" w:cs="Arial"/>
                <w:b/>
                <w:bCs/>
                <w:sz w:val="20"/>
                <w:szCs w:val="20"/>
              </w:rPr>
              <w:t>Supplies, commodities, equipment and transport</w:t>
            </w:r>
          </w:p>
        </w:tc>
        <w:tc>
          <w:tcPr>
            <w:tcW w:w="2400" w:type="dxa"/>
            <w:tcBorders>
              <w:top w:val="nil"/>
              <w:left w:val="nil"/>
              <w:bottom w:val="single" w:sz="4" w:space="0" w:color="auto"/>
              <w:right w:val="single" w:sz="4" w:space="0" w:color="auto"/>
            </w:tcBorders>
            <w:noWrap/>
            <w:vAlign w:val="center"/>
          </w:tcPr>
          <w:p w:rsidR="0086693E" w:rsidRPr="00F82AB0" w:rsidRDefault="0086693E" w:rsidP="00F82AB0">
            <w:pPr>
              <w:rPr>
                <w:rFonts w:ascii="Arial" w:hAnsi="Arial" w:cs="Arial"/>
                <w:b/>
                <w:bCs/>
                <w:sz w:val="20"/>
                <w:szCs w:val="20"/>
              </w:rPr>
            </w:pPr>
            <w:r w:rsidRPr="00F82AB0">
              <w:rPr>
                <w:rFonts w:ascii="Arial" w:hAnsi="Arial" w:cs="Arial"/>
                <w:b/>
                <w:bCs/>
                <w:sz w:val="20"/>
                <w:szCs w:val="20"/>
              </w:rPr>
              <w:t> </w:t>
            </w:r>
          </w:p>
        </w:tc>
      </w:tr>
      <w:tr w:rsidR="0086693E" w:rsidRPr="00F82AB0" w:rsidTr="00C02DFB">
        <w:trPr>
          <w:trHeight w:val="647"/>
        </w:trPr>
        <w:tc>
          <w:tcPr>
            <w:tcW w:w="1080" w:type="dxa"/>
            <w:tcBorders>
              <w:top w:val="nil"/>
              <w:left w:val="single" w:sz="4" w:space="0" w:color="auto"/>
              <w:bottom w:val="single" w:sz="4" w:space="0" w:color="auto"/>
              <w:right w:val="single" w:sz="4" w:space="0" w:color="auto"/>
            </w:tcBorders>
            <w:noWrap/>
          </w:tcPr>
          <w:p w:rsidR="0086693E" w:rsidRPr="00F82AB0" w:rsidRDefault="0086693E" w:rsidP="00F82AB0">
            <w:pPr>
              <w:jc w:val="center"/>
              <w:rPr>
                <w:rFonts w:ascii="Arial" w:hAnsi="Arial" w:cs="Arial"/>
                <w:b/>
                <w:bCs/>
                <w:sz w:val="20"/>
                <w:szCs w:val="20"/>
              </w:rPr>
            </w:pPr>
            <w:r w:rsidRPr="00F82AB0">
              <w:rPr>
                <w:rFonts w:ascii="Arial" w:hAnsi="Arial" w:cs="Arial"/>
                <w:b/>
                <w:bCs/>
                <w:sz w:val="20"/>
                <w:szCs w:val="20"/>
              </w:rPr>
              <w:t>2</w:t>
            </w:r>
          </w:p>
        </w:tc>
        <w:tc>
          <w:tcPr>
            <w:tcW w:w="4120" w:type="dxa"/>
            <w:tcBorders>
              <w:top w:val="nil"/>
              <w:left w:val="nil"/>
              <w:bottom w:val="single" w:sz="4" w:space="0" w:color="auto"/>
              <w:right w:val="single" w:sz="4" w:space="0" w:color="auto"/>
            </w:tcBorders>
            <w:shd w:val="clear" w:color="000000" w:fill="FFFFFF"/>
            <w:vAlign w:val="center"/>
          </w:tcPr>
          <w:p w:rsidR="0086693E" w:rsidRPr="00F82AB0" w:rsidRDefault="0086693E" w:rsidP="00F82AB0">
            <w:pPr>
              <w:rPr>
                <w:rFonts w:ascii="Arial" w:hAnsi="Arial" w:cs="Arial"/>
                <w:b/>
                <w:bCs/>
                <w:color w:val="000000"/>
                <w:sz w:val="20"/>
                <w:szCs w:val="20"/>
              </w:rPr>
            </w:pPr>
            <w:r w:rsidRPr="00F82AB0">
              <w:rPr>
                <w:rFonts w:ascii="Arial" w:hAnsi="Arial" w:cs="Arial"/>
                <w:b/>
                <w:bCs/>
                <w:color w:val="000000"/>
                <w:sz w:val="20"/>
                <w:szCs w:val="20"/>
              </w:rPr>
              <w:t>Personnel (staff, consultants, travel &amp; training)</w:t>
            </w:r>
          </w:p>
        </w:tc>
        <w:tc>
          <w:tcPr>
            <w:tcW w:w="2400" w:type="dxa"/>
            <w:tcBorders>
              <w:top w:val="nil"/>
              <w:left w:val="nil"/>
              <w:bottom w:val="single" w:sz="4" w:space="0" w:color="auto"/>
              <w:right w:val="single" w:sz="4" w:space="0" w:color="auto"/>
            </w:tcBorders>
            <w:noWrap/>
            <w:vAlign w:val="center"/>
          </w:tcPr>
          <w:p w:rsidR="0086693E" w:rsidRPr="00F82AB0" w:rsidRDefault="0086693E" w:rsidP="00563728">
            <w:pPr>
              <w:jc w:val="right"/>
              <w:rPr>
                <w:rFonts w:ascii="Arial" w:hAnsi="Arial" w:cs="Arial"/>
                <w:b/>
                <w:bCs/>
                <w:sz w:val="20"/>
                <w:szCs w:val="20"/>
              </w:rPr>
            </w:pPr>
            <w:r w:rsidRPr="00F82AB0">
              <w:rPr>
                <w:rFonts w:ascii="Arial" w:hAnsi="Arial" w:cs="Arial"/>
                <w:b/>
                <w:bCs/>
                <w:sz w:val="20"/>
                <w:szCs w:val="20"/>
              </w:rPr>
              <w:t xml:space="preserve">                     135,893.95 </w:t>
            </w:r>
          </w:p>
        </w:tc>
      </w:tr>
      <w:tr w:rsidR="0086693E" w:rsidRPr="00F82AB0" w:rsidTr="00C02DFB">
        <w:trPr>
          <w:trHeight w:val="332"/>
        </w:trPr>
        <w:tc>
          <w:tcPr>
            <w:tcW w:w="1080" w:type="dxa"/>
            <w:tcBorders>
              <w:top w:val="nil"/>
              <w:left w:val="single" w:sz="4" w:space="0" w:color="auto"/>
              <w:bottom w:val="single" w:sz="4" w:space="0" w:color="auto"/>
              <w:right w:val="single" w:sz="4" w:space="0" w:color="auto"/>
            </w:tcBorders>
            <w:noWrap/>
          </w:tcPr>
          <w:p w:rsidR="0086693E" w:rsidRPr="00F82AB0" w:rsidRDefault="0086693E" w:rsidP="00F82AB0">
            <w:pPr>
              <w:jc w:val="center"/>
              <w:rPr>
                <w:rFonts w:ascii="Arial" w:hAnsi="Arial" w:cs="Arial"/>
                <w:b/>
                <w:bCs/>
                <w:sz w:val="20"/>
                <w:szCs w:val="20"/>
              </w:rPr>
            </w:pPr>
            <w:r w:rsidRPr="00F82AB0">
              <w:rPr>
                <w:rFonts w:ascii="Arial" w:hAnsi="Arial" w:cs="Arial"/>
                <w:b/>
                <w:bCs/>
                <w:sz w:val="20"/>
                <w:szCs w:val="20"/>
              </w:rPr>
              <w:t>3</w:t>
            </w:r>
          </w:p>
        </w:tc>
        <w:tc>
          <w:tcPr>
            <w:tcW w:w="4120" w:type="dxa"/>
            <w:tcBorders>
              <w:top w:val="nil"/>
              <w:left w:val="nil"/>
              <w:bottom w:val="single" w:sz="4" w:space="0" w:color="auto"/>
              <w:right w:val="single" w:sz="4" w:space="0" w:color="auto"/>
            </w:tcBorders>
            <w:shd w:val="clear" w:color="000000" w:fill="FFFFFF"/>
          </w:tcPr>
          <w:p w:rsidR="0086693E" w:rsidRPr="00F82AB0" w:rsidRDefault="0086693E" w:rsidP="00F82AB0">
            <w:pPr>
              <w:rPr>
                <w:rFonts w:ascii="Arial" w:hAnsi="Arial" w:cs="Arial"/>
                <w:b/>
                <w:bCs/>
                <w:color w:val="000000"/>
                <w:sz w:val="20"/>
                <w:szCs w:val="20"/>
              </w:rPr>
            </w:pPr>
            <w:r w:rsidRPr="00F82AB0">
              <w:rPr>
                <w:rFonts w:ascii="Arial" w:hAnsi="Arial" w:cs="Arial"/>
                <w:b/>
                <w:bCs/>
                <w:color w:val="000000"/>
                <w:sz w:val="20"/>
                <w:szCs w:val="20"/>
              </w:rPr>
              <w:t>Training of Counterparts (orientation)</w:t>
            </w:r>
          </w:p>
        </w:tc>
        <w:tc>
          <w:tcPr>
            <w:tcW w:w="2400" w:type="dxa"/>
            <w:tcBorders>
              <w:top w:val="nil"/>
              <w:left w:val="nil"/>
              <w:bottom w:val="single" w:sz="4" w:space="0" w:color="auto"/>
              <w:right w:val="single" w:sz="4" w:space="0" w:color="auto"/>
            </w:tcBorders>
            <w:noWrap/>
            <w:vAlign w:val="center"/>
          </w:tcPr>
          <w:p w:rsidR="0086693E" w:rsidRPr="00F82AB0" w:rsidRDefault="0086693E" w:rsidP="00563728">
            <w:pPr>
              <w:jc w:val="right"/>
              <w:rPr>
                <w:rFonts w:ascii="Arial" w:hAnsi="Arial" w:cs="Arial"/>
                <w:b/>
                <w:bCs/>
                <w:sz w:val="20"/>
                <w:szCs w:val="20"/>
              </w:rPr>
            </w:pPr>
            <w:r w:rsidRPr="00F82AB0">
              <w:rPr>
                <w:rFonts w:ascii="Arial" w:hAnsi="Arial" w:cs="Arial"/>
                <w:b/>
                <w:bCs/>
                <w:sz w:val="20"/>
                <w:szCs w:val="20"/>
              </w:rPr>
              <w:t xml:space="preserve">                            615.22 </w:t>
            </w:r>
          </w:p>
        </w:tc>
      </w:tr>
      <w:tr w:rsidR="0086693E" w:rsidRPr="00F82AB0" w:rsidTr="00C02DFB">
        <w:trPr>
          <w:trHeight w:val="495"/>
        </w:trPr>
        <w:tc>
          <w:tcPr>
            <w:tcW w:w="1080" w:type="dxa"/>
            <w:tcBorders>
              <w:top w:val="nil"/>
              <w:left w:val="single" w:sz="4" w:space="0" w:color="auto"/>
              <w:bottom w:val="single" w:sz="4" w:space="0" w:color="auto"/>
              <w:right w:val="single" w:sz="4" w:space="0" w:color="auto"/>
            </w:tcBorders>
            <w:noWrap/>
          </w:tcPr>
          <w:p w:rsidR="0086693E" w:rsidRPr="00F82AB0" w:rsidRDefault="0086693E" w:rsidP="00F82AB0">
            <w:pPr>
              <w:jc w:val="center"/>
              <w:rPr>
                <w:rFonts w:ascii="Arial" w:hAnsi="Arial" w:cs="Arial"/>
                <w:b/>
                <w:bCs/>
                <w:sz w:val="20"/>
                <w:szCs w:val="20"/>
              </w:rPr>
            </w:pPr>
            <w:r w:rsidRPr="00F82AB0">
              <w:rPr>
                <w:rFonts w:ascii="Arial" w:hAnsi="Arial" w:cs="Arial"/>
                <w:b/>
                <w:bCs/>
                <w:sz w:val="20"/>
                <w:szCs w:val="20"/>
              </w:rPr>
              <w:t>4</w:t>
            </w:r>
          </w:p>
        </w:tc>
        <w:tc>
          <w:tcPr>
            <w:tcW w:w="4120" w:type="dxa"/>
            <w:tcBorders>
              <w:top w:val="nil"/>
              <w:left w:val="nil"/>
              <w:bottom w:val="single" w:sz="4" w:space="0" w:color="auto"/>
              <w:right w:val="single" w:sz="4" w:space="0" w:color="auto"/>
            </w:tcBorders>
            <w:shd w:val="clear" w:color="000000" w:fill="FFFFFF"/>
          </w:tcPr>
          <w:p w:rsidR="0086693E" w:rsidRPr="00F82AB0" w:rsidRDefault="0086693E" w:rsidP="00F82AB0">
            <w:pPr>
              <w:rPr>
                <w:rFonts w:ascii="Arial" w:hAnsi="Arial" w:cs="Arial"/>
                <w:b/>
                <w:bCs/>
                <w:color w:val="000000"/>
                <w:sz w:val="20"/>
                <w:szCs w:val="20"/>
              </w:rPr>
            </w:pPr>
            <w:r w:rsidRPr="00F82AB0">
              <w:rPr>
                <w:rFonts w:ascii="Arial" w:hAnsi="Arial" w:cs="Arial"/>
                <w:b/>
                <w:bCs/>
                <w:color w:val="000000"/>
                <w:sz w:val="20"/>
                <w:szCs w:val="20"/>
              </w:rPr>
              <w:t>Contracts (vacancy notice)</w:t>
            </w:r>
          </w:p>
        </w:tc>
        <w:tc>
          <w:tcPr>
            <w:tcW w:w="2400" w:type="dxa"/>
            <w:tcBorders>
              <w:top w:val="nil"/>
              <w:left w:val="nil"/>
              <w:bottom w:val="single" w:sz="4" w:space="0" w:color="auto"/>
              <w:right w:val="single" w:sz="4" w:space="0" w:color="auto"/>
            </w:tcBorders>
            <w:noWrap/>
            <w:vAlign w:val="center"/>
          </w:tcPr>
          <w:p w:rsidR="0086693E" w:rsidRPr="00F82AB0" w:rsidRDefault="0086693E" w:rsidP="00563728">
            <w:pPr>
              <w:jc w:val="right"/>
              <w:rPr>
                <w:rFonts w:ascii="Arial" w:hAnsi="Arial" w:cs="Arial"/>
                <w:b/>
                <w:bCs/>
                <w:sz w:val="20"/>
                <w:szCs w:val="20"/>
              </w:rPr>
            </w:pPr>
            <w:r w:rsidRPr="00F82AB0">
              <w:rPr>
                <w:rFonts w:ascii="Arial" w:hAnsi="Arial" w:cs="Arial"/>
                <w:b/>
                <w:bCs/>
                <w:sz w:val="20"/>
                <w:szCs w:val="20"/>
              </w:rPr>
              <w:t xml:space="preserve">                            672.58 </w:t>
            </w:r>
          </w:p>
        </w:tc>
      </w:tr>
      <w:tr w:rsidR="0086693E" w:rsidRPr="00F82AB0" w:rsidTr="0003471D">
        <w:trPr>
          <w:trHeight w:val="480"/>
        </w:trPr>
        <w:tc>
          <w:tcPr>
            <w:tcW w:w="1080" w:type="dxa"/>
            <w:tcBorders>
              <w:top w:val="nil"/>
              <w:left w:val="single" w:sz="4" w:space="0" w:color="auto"/>
              <w:bottom w:val="single" w:sz="4" w:space="0" w:color="auto"/>
              <w:right w:val="single" w:sz="4" w:space="0" w:color="auto"/>
            </w:tcBorders>
            <w:noWrap/>
          </w:tcPr>
          <w:p w:rsidR="0086693E" w:rsidRPr="00F82AB0" w:rsidRDefault="0086693E" w:rsidP="00F82AB0">
            <w:pPr>
              <w:jc w:val="center"/>
              <w:rPr>
                <w:rFonts w:ascii="Arial" w:hAnsi="Arial" w:cs="Arial"/>
                <w:b/>
                <w:bCs/>
                <w:sz w:val="20"/>
                <w:szCs w:val="20"/>
              </w:rPr>
            </w:pPr>
            <w:r w:rsidRPr="00F82AB0">
              <w:rPr>
                <w:rFonts w:ascii="Arial" w:hAnsi="Arial" w:cs="Arial"/>
                <w:b/>
                <w:bCs/>
                <w:sz w:val="20"/>
                <w:szCs w:val="20"/>
              </w:rPr>
              <w:t>5</w:t>
            </w:r>
          </w:p>
        </w:tc>
        <w:tc>
          <w:tcPr>
            <w:tcW w:w="4120" w:type="dxa"/>
            <w:tcBorders>
              <w:top w:val="nil"/>
              <w:left w:val="nil"/>
              <w:bottom w:val="single" w:sz="4" w:space="0" w:color="auto"/>
              <w:right w:val="single" w:sz="4" w:space="0" w:color="auto"/>
            </w:tcBorders>
            <w:shd w:val="clear" w:color="000000" w:fill="FFFFFF"/>
          </w:tcPr>
          <w:p w:rsidR="0086693E" w:rsidRPr="00F82AB0" w:rsidRDefault="0086693E" w:rsidP="00F82AB0">
            <w:pPr>
              <w:rPr>
                <w:rFonts w:ascii="Arial" w:hAnsi="Arial" w:cs="Arial"/>
                <w:b/>
                <w:bCs/>
                <w:color w:val="000000"/>
                <w:sz w:val="20"/>
                <w:szCs w:val="20"/>
              </w:rPr>
            </w:pPr>
            <w:r w:rsidRPr="00F82AB0">
              <w:rPr>
                <w:rFonts w:ascii="Arial" w:hAnsi="Arial" w:cs="Arial"/>
                <w:b/>
                <w:bCs/>
                <w:color w:val="000000"/>
                <w:sz w:val="20"/>
                <w:szCs w:val="20"/>
              </w:rPr>
              <w:t xml:space="preserve">Other Direct Costs (travel and </w:t>
            </w:r>
          </w:p>
        </w:tc>
        <w:tc>
          <w:tcPr>
            <w:tcW w:w="2400" w:type="dxa"/>
            <w:tcBorders>
              <w:top w:val="nil"/>
              <w:left w:val="nil"/>
              <w:bottom w:val="single" w:sz="4" w:space="0" w:color="auto"/>
              <w:right w:val="single" w:sz="4" w:space="0" w:color="auto"/>
            </w:tcBorders>
            <w:noWrap/>
            <w:vAlign w:val="center"/>
          </w:tcPr>
          <w:p w:rsidR="0086693E" w:rsidRPr="00F82AB0" w:rsidRDefault="0086693E" w:rsidP="00563728">
            <w:pPr>
              <w:jc w:val="right"/>
              <w:rPr>
                <w:rFonts w:ascii="Arial" w:hAnsi="Arial" w:cs="Arial"/>
                <w:b/>
                <w:bCs/>
                <w:sz w:val="20"/>
                <w:szCs w:val="20"/>
              </w:rPr>
            </w:pPr>
            <w:r w:rsidRPr="00F82AB0">
              <w:rPr>
                <w:rFonts w:ascii="Arial" w:hAnsi="Arial" w:cs="Arial"/>
                <w:b/>
                <w:bCs/>
                <w:sz w:val="20"/>
                <w:szCs w:val="20"/>
              </w:rPr>
              <w:t xml:space="preserve">                         1,483.78 </w:t>
            </w:r>
          </w:p>
        </w:tc>
      </w:tr>
      <w:tr w:rsidR="0086693E" w:rsidRPr="00F82AB0" w:rsidTr="0003471D">
        <w:trPr>
          <w:trHeight w:val="315"/>
        </w:trPr>
        <w:tc>
          <w:tcPr>
            <w:tcW w:w="1080" w:type="dxa"/>
            <w:tcBorders>
              <w:top w:val="single" w:sz="4" w:space="0" w:color="auto"/>
              <w:left w:val="single" w:sz="4" w:space="0" w:color="auto"/>
              <w:bottom w:val="single" w:sz="4" w:space="0" w:color="auto"/>
              <w:right w:val="single" w:sz="4" w:space="0" w:color="auto"/>
            </w:tcBorders>
            <w:noWrap/>
          </w:tcPr>
          <w:p w:rsidR="0086693E" w:rsidRPr="00F82AB0" w:rsidRDefault="0086693E" w:rsidP="00F82AB0">
            <w:pPr>
              <w:jc w:val="center"/>
              <w:rPr>
                <w:rFonts w:ascii="Arial" w:hAnsi="Arial" w:cs="Arial"/>
                <w:b/>
                <w:bCs/>
                <w:sz w:val="20"/>
                <w:szCs w:val="20"/>
              </w:rPr>
            </w:pPr>
            <w:r w:rsidRPr="00F82AB0">
              <w:rPr>
                <w:rFonts w:ascii="Arial" w:hAnsi="Arial" w:cs="Arial"/>
                <w:b/>
                <w:bCs/>
                <w:sz w:val="20"/>
                <w:szCs w:val="20"/>
              </w:rPr>
              <w:t>6</w:t>
            </w:r>
          </w:p>
        </w:tc>
        <w:tc>
          <w:tcPr>
            <w:tcW w:w="4120" w:type="dxa"/>
            <w:tcBorders>
              <w:top w:val="single" w:sz="4" w:space="0" w:color="auto"/>
              <w:left w:val="nil"/>
              <w:bottom w:val="single" w:sz="4" w:space="0" w:color="auto"/>
              <w:right w:val="single" w:sz="4" w:space="0" w:color="auto"/>
            </w:tcBorders>
            <w:noWrap/>
            <w:vAlign w:val="bottom"/>
          </w:tcPr>
          <w:p w:rsidR="0086693E" w:rsidRPr="00F82AB0" w:rsidRDefault="0086693E" w:rsidP="00F82AB0">
            <w:pPr>
              <w:rPr>
                <w:rFonts w:ascii="Arial" w:hAnsi="Arial" w:cs="Arial"/>
                <w:b/>
                <w:bCs/>
                <w:sz w:val="20"/>
                <w:szCs w:val="20"/>
              </w:rPr>
            </w:pPr>
            <w:r w:rsidRPr="00F82AB0">
              <w:rPr>
                <w:rFonts w:ascii="Arial" w:hAnsi="Arial" w:cs="Arial"/>
                <w:b/>
                <w:bCs/>
                <w:sz w:val="20"/>
                <w:szCs w:val="20"/>
              </w:rPr>
              <w:t>Indirect Costs</w:t>
            </w:r>
          </w:p>
        </w:tc>
        <w:tc>
          <w:tcPr>
            <w:tcW w:w="2400" w:type="dxa"/>
            <w:tcBorders>
              <w:top w:val="single" w:sz="4" w:space="0" w:color="auto"/>
              <w:left w:val="nil"/>
              <w:bottom w:val="single" w:sz="4" w:space="0" w:color="auto"/>
              <w:right w:val="single" w:sz="4" w:space="0" w:color="auto"/>
            </w:tcBorders>
            <w:noWrap/>
            <w:vAlign w:val="center"/>
          </w:tcPr>
          <w:p w:rsidR="0086693E" w:rsidRPr="00F82AB0" w:rsidRDefault="0086693E" w:rsidP="00563728">
            <w:pPr>
              <w:jc w:val="right"/>
              <w:rPr>
                <w:rFonts w:ascii="Arial" w:hAnsi="Arial" w:cs="Arial"/>
                <w:b/>
                <w:bCs/>
                <w:sz w:val="20"/>
                <w:szCs w:val="20"/>
              </w:rPr>
            </w:pPr>
            <w:r w:rsidRPr="00F82AB0">
              <w:rPr>
                <w:rFonts w:ascii="Arial" w:hAnsi="Arial" w:cs="Arial"/>
                <w:b/>
                <w:bCs/>
                <w:sz w:val="20"/>
                <w:szCs w:val="20"/>
              </w:rPr>
              <w:t> </w:t>
            </w:r>
          </w:p>
        </w:tc>
      </w:tr>
      <w:tr w:rsidR="0086693E" w:rsidRPr="00F82AB0" w:rsidTr="0003471D">
        <w:trPr>
          <w:trHeight w:val="315"/>
        </w:trPr>
        <w:tc>
          <w:tcPr>
            <w:tcW w:w="1080" w:type="dxa"/>
            <w:tcBorders>
              <w:top w:val="single" w:sz="4" w:space="0" w:color="auto"/>
              <w:left w:val="single" w:sz="4" w:space="0" w:color="auto"/>
              <w:bottom w:val="single" w:sz="4" w:space="0" w:color="auto"/>
              <w:right w:val="single" w:sz="4" w:space="0" w:color="auto"/>
            </w:tcBorders>
            <w:noWrap/>
            <w:vAlign w:val="bottom"/>
          </w:tcPr>
          <w:p w:rsidR="0086693E" w:rsidRPr="00F82AB0" w:rsidRDefault="0086693E" w:rsidP="00F82AB0">
            <w:pPr>
              <w:rPr>
                <w:color w:val="000000"/>
                <w:sz w:val="20"/>
                <w:szCs w:val="20"/>
              </w:rPr>
            </w:pPr>
          </w:p>
        </w:tc>
        <w:tc>
          <w:tcPr>
            <w:tcW w:w="4120" w:type="dxa"/>
            <w:tcBorders>
              <w:top w:val="single" w:sz="4" w:space="0" w:color="auto"/>
              <w:left w:val="nil"/>
              <w:bottom w:val="single" w:sz="4" w:space="0" w:color="auto"/>
              <w:right w:val="single" w:sz="4" w:space="0" w:color="auto"/>
            </w:tcBorders>
            <w:shd w:val="clear" w:color="000000" w:fill="FFFFFF"/>
            <w:vAlign w:val="center"/>
          </w:tcPr>
          <w:p w:rsidR="0086693E" w:rsidRPr="00F82AB0" w:rsidRDefault="0086693E" w:rsidP="00F84A94">
            <w:pPr>
              <w:rPr>
                <w:rFonts w:ascii="Arial" w:hAnsi="Arial" w:cs="Arial"/>
                <w:b/>
                <w:bCs/>
                <w:color w:val="000000"/>
                <w:sz w:val="20"/>
                <w:szCs w:val="20"/>
              </w:rPr>
            </w:pPr>
            <w:r w:rsidRPr="00F82AB0">
              <w:rPr>
                <w:rFonts w:ascii="Arial" w:hAnsi="Arial" w:cs="Arial"/>
                <w:b/>
                <w:bCs/>
                <w:color w:val="000000"/>
                <w:sz w:val="20"/>
                <w:szCs w:val="20"/>
              </w:rPr>
              <w:t>Total</w:t>
            </w:r>
          </w:p>
        </w:tc>
        <w:tc>
          <w:tcPr>
            <w:tcW w:w="2400" w:type="dxa"/>
            <w:tcBorders>
              <w:top w:val="single" w:sz="4" w:space="0" w:color="auto"/>
              <w:left w:val="nil"/>
              <w:bottom w:val="single" w:sz="4" w:space="0" w:color="auto"/>
              <w:right w:val="single" w:sz="4" w:space="0" w:color="auto"/>
            </w:tcBorders>
            <w:noWrap/>
            <w:vAlign w:val="center"/>
          </w:tcPr>
          <w:p w:rsidR="0086693E" w:rsidRPr="00F82AB0" w:rsidRDefault="0086693E" w:rsidP="00563728">
            <w:pPr>
              <w:jc w:val="right"/>
              <w:rPr>
                <w:rFonts w:ascii="Arial" w:hAnsi="Arial" w:cs="Arial"/>
                <w:b/>
                <w:bCs/>
                <w:sz w:val="20"/>
                <w:szCs w:val="20"/>
              </w:rPr>
            </w:pPr>
            <w:r w:rsidRPr="00F82AB0">
              <w:rPr>
                <w:rFonts w:ascii="Arial" w:hAnsi="Arial" w:cs="Arial"/>
                <w:b/>
                <w:bCs/>
                <w:sz w:val="20"/>
                <w:szCs w:val="20"/>
              </w:rPr>
              <w:t xml:space="preserve">                     138,665.53 </w:t>
            </w:r>
          </w:p>
        </w:tc>
      </w:tr>
      <w:tr w:rsidR="0086693E" w:rsidRPr="00F82AB0" w:rsidTr="0003471D">
        <w:trPr>
          <w:trHeight w:val="390"/>
        </w:trPr>
        <w:tc>
          <w:tcPr>
            <w:tcW w:w="1080" w:type="dxa"/>
            <w:tcBorders>
              <w:top w:val="single" w:sz="4" w:space="0" w:color="auto"/>
              <w:left w:val="single" w:sz="4" w:space="0" w:color="auto"/>
              <w:bottom w:val="single" w:sz="4" w:space="0" w:color="auto"/>
              <w:right w:val="single" w:sz="4" w:space="0" w:color="auto"/>
            </w:tcBorders>
            <w:noWrap/>
          </w:tcPr>
          <w:p w:rsidR="0086693E" w:rsidRPr="00F82AB0" w:rsidRDefault="0086693E" w:rsidP="00F82AB0">
            <w:pPr>
              <w:jc w:val="center"/>
              <w:rPr>
                <w:rFonts w:ascii="Arial" w:hAnsi="Arial" w:cs="Arial"/>
                <w:b/>
                <w:bCs/>
                <w:sz w:val="20"/>
                <w:szCs w:val="20"/>
              </w:rPr>
            </w:pPr>
            <w:r w:rsidRPr="00F82AB0">
              <w:rPr>
                <w:rFonts w:ascii="Arial" w:hAnsi="Arial" w:cs="Arial"/>
                <w:b/>
                <w:bCs/>
                <w:sz w:val="20"/>
                <w:szCs w:val="20"/>
              </w:rPr>
              <w:t>7</w:t>
            </w:r>
          </w:p>
        </w:tc>
        <w:tc>
          <w:tcPr>
            <w:tcW w:w="4120" w:type="dxa"/>
            <w:tcBorders>
              <w:top w:val="single" w:sz="4" w:space="0" w:color="auto"/>
              <w:left w:val="nil"/>
              <w:bottom w:val="single" w:sz="4" w:space="0" w:color="auto"/>
              <w:right w:val="single" w:sz="4" w:space="0" w:color="auto"/>
            </w:tcBorders>
            <w:shd w:val="clear" w:color="000000" w:fill="FFFFFF"/>
          </w:tcPr>
          <w:p w:rsidR="0086693E" w:rsidRPr="00F82AB0" w:rsidRDefault="0086693E" w:rsidP="00F82AB0">
            <w:pPr>
              <w:rPr>
                <w:rFonts w:ascii="Arial" w:hAnsi="Arial" w:cs="Arial"/>
                <w:b/>
                <w:bCs/>
                <w:color w:val="000000"/>
                <w:sz w:val="20"/>
                <w:szCs w:val="20"/>
              </w:rPr>
            </w:pPr>
            <w:r w:rsidRPr="00F82AB0">
              <w:rPr>
                <w:rFonts w:ascii="Arial" w:hAnsi="Arial" w:cs="Arial"/>
                <w:b/>
                <w:bCs/>
                <w:color w:val="000000"/>
                <w:sz w:val="20"/>
                <w:szCs w:val="20"/>
              </w:rPr>
              <w:t>Total received funds (this project)</w:t>
            </w:r>
          </w:p>
        </w:tc>
        <w:tc>
          <w:tcPr>
            <w:tcW w:w="2400" w:type="dxa"/>
            <w:tcBorders>
              <w:top w:val="single" w:sz="4" w:space="0" w:color="auto"/>
              <w:left w:val="nil"/>
              <w:bottom w:val="single" w:sz="4" w:space="0" w:color="auto"/>
              <w:right w:val="single" w:sz="4" w:space="0" w:color="auto"/>
            </w:tcBorders>
            <w:noWrap/>
            <w:vAlign w:val="center"/>
          </w:tcPr>
          <w:p w:rsidR="0086693E" w:rsidRPr="00F82AB0" w:rsidRDefault="0086693E" w:rsidP="00563728">
            <w:pPr>
              <w:jc w:val="right"/>
              <w:rPr>
                <w:rFonts w:ascii="Arial" w:hAnsi="Arial" w:cs="Arial"/>
                <w:b/>
                <w:bCs/>
                <w:color w:val="000000"/>
                <w:sz w:val="20"/>
                <w:szCs w:val="20"/>
              </w:rPr>
            </w:pPr>
            <w:r w:rsidRPr="00F82AB0">
              <w:rPr>
                <w:rFonts w:ascii="Arial" w:hAnsi="Arial" w:cs="Arial"/>
                <w:b/>
                <w:bCs/>
                <w:color w:val="000000"/>
                <w:sz w:val="20"/>
                <w:szCs w:val="20"/>
              </w:rPr>
              <w:t>1,028,060</w:t>
            </w:r>
          </w:p>
        </w:tc>
      </w:tr>
      <w:tr w:rsidR="0086693E" w:rsidRPr="00F82AB0" w:rsidTr="0003471D">
        <w:trPr>
          <w:trHeight w:val="450"/>
        </w:trPr>
        <w:tc>
          <w:tcPr>
            <w:tcW w:w="1080" w:type="dxa"/>
            <w:tcBorders>
              <w:top w:val="single" w:sz="4" w:space="0" w:color="auto"/>
              <w:left w:val="single" w:sz="4" w:space="0" w:color="auto"/>
              <w:bottom w:val="single" w:sz="4" w:space="0" w:color="auto"/>
              <w:right w:val="single" w:sz="4" w:space="0" w:color="auto"/>
            </w:tcBorders>
            <w:noWrap/>
          </w:tcPr>
          <w:p w:rsidR="0086693E" w:rsidRPr="00F82AB0" w:rsidRDefault="0086693E" w:rsidP="00F82AB0">
            <w:pPr>
              <w:jc w:val="center"/>
              <w:rPr>
                <w:rFonts w:ascii="Arial" w:hAnsi="Arial" w:cs="Arial"/>
                <w:b/>
                <w:bCs/>
                <w:sz w:val="20"/>
                <w:szCs w:val="20"/>
              </w:rPr>
            </w:pPr>
            <w:r w:rsidRPr="00F82AB0">
              <w:rPr>
                <w:rFonts w:ascii="Arial" w:hAnsi="Arial" w:cs="Arial"/>
                <w:b/>
                <w:bCs/>
                <w:sz w:val="20"/>
                <w:szCs w:val="20"/>
              </w:rPr>
              <w:t>8</w:t>
            </w:r>
          </w:p>
        </w:tc>
        <w:tc>
          <w:tcPr>
            <w:tcW w:w="4120" w:type="dxa"/>
            <w:tcBorders>
              <w:top w:val="single" w:sz="4" w:space="0" w:color="auto"/>
              <w:left w:val="nil"/>
              <w:bottom w:val="single" w:sz="4" w:space="0" w:color="auto"/>
              <w:right w:val="single" w:sz="4" w:space="0" w:color="auto"/>
            </w:tcBorders>
            <w:shd w:val="clear" w:color="000000" w:fill="FFFFFF"/>
          </w:tcPr>
          <w:p w:rsidR="0086693E" w:rsidRPr="00F82AB0" w:rsidRDefault="0086693E" w:rsidP="00F82AB0">
            <w:pPr>
              <w:rPr>
                <w:rFonts w:ascii="Arial" w:hAnsi="Arial" w:cs="Arial"/>
                <w:b/>
                <w:bCs/>
                <w:color w:val="000000"/>
                <w:sz w:val="20"/>
                <w:szCs w:val="20"/>
              </w:rPr>
            </w:pPr>
            <w:r w:rsidRPr="00F82AB0">
              <w:rPr>
                <w:rFonts w:ascii="Arial" w:hAnsi="Arial" w:cs="Arial"/>
                <w:b/>
                <w:bCs/>
                <w:color w:val="000000"/>
                <w:sz w:val="20"/>
                <w:szCs w:val="20"/>
              </w:rPr>
              <w:t>Agency Earned Interest Income</w:t>
            </w:r>
          </w:p>
        </w:tc>
        <w:tc>
          <w:tcPr>
            <w:tcW w:w="2400" w:type="dxa"/>
            <w:tcBorders>
              <w:top w:val="single" w:sz="4" w:space="0" w:color="auto"/>
              <w:left w:val="nil"/>
              <w:bottom w:val="single" w:sz="4" w:space="0" w:color="auto"/>
              <w:right w:val="single" w:sz="4" w:space="0" w:color="auto"/>
            </w:tcBorders>
            <w:noWrap/>
            <w:vAlign w:val="center"/>
          </w:tcPr>
          <w:p w:rsidR="0086693E" w:rsidRPr="00F82AB0" w:rsidRDefault="0086693E" w:rsidP="00563728">
            <w:pPr>
              <w:jc w:val="right"/>
              <w:rPr>
                <w:rFonts w:ascii="Arial" w:hAnsi="Arial" w:cs="Arial"/>
                <w:b/>
                <w:bCs/>
                <w:sz w:val="20"/>
                <w:szCs w:val="20"/>
              </w:rPr>
            </w:pPr>
            <w:r w:rsidRPr="00F82AB0">
              <w:rPr>
                <w:rFonts w:ascii="Arial" w:hAnsi="Arial" w:cs="Arial"/>
                <w:b/>
                <w:bCs/>
                <w:sz w:val="20"/>
                <w:szCs w:val="20"/>
              </w:rPr>
              <w:t> </w:t>
            </w:r>
          </w:p>
        </w:tc>
      </w:tr>
      <w:tr w:rsidR="0086693E" w:rsidRPr="00F82AB0" w:rsidTr="00C02DFB">
        <w:trPr>
          <w:trHeight w:val="458"/>
        </w:trPr>
        <w:tc>
          <w:tcPr>
            <w:tcW w:w="1080" w:type="dxa"/>
            <w:tcBorders>
              <w:top w:val="nil"/>
              <w:left w:val="single" w:sz="4" w:space="0" w:color="auto"/>
              <w:bottom w:val="single" w:sz="4" w:space="0" w:color="auto"/>
              <w:right w:val="single" w:sz="4" w:space="0" w:color="auto"/>
            </w:tcBorders>
            <w:noWrap/>
          </w:tcPr>
          <w:p w:rsidR="0086693E" w:rsidRPr="00F82AB0" w:rsidRDefault="0086693E" w:rsidP="00F82AB0">
            <w:pPr>
              <w:jc w:val="center"/>
              <w:rPr>
                <w:rFonts w:ascii="Arial" w:hAnsi="Arial" w:cs="Arial"/>
                <w:b/>
                <w:bCs/>
                <w:sz w:val="20"/>
                <w:szCs w:val="20"/>
              </w:rPr>
            </w:pPr>
            <w:r w:rsidRPr="00F82AB0">
              <w:rPr>
                <w:rFonts w:ascii="Arial" w:hAnsi="Arial" w:cs="Arial"/>
                <w:b/>
                <w:bCs/>
                <w:sz w:val="20"/>
                <w:szCs w:val="20"/>
              </w:rPr>
              <w:t>9</w:t>
            </w:r>
          </w:p>
        </w:tc>
        <w:tc>
          <w:tcPr>
            <w:tcW w:w="4120" w:type="dxa"/>
            <w:tcBorders>
              <w:top w:val="nil"/>
              <w:left w:val="nil"/>
              <w:bottom w:val="single" w:sz="4" w:space="0" w:color="auto"/>
              <w:right w:val="single" w:sz="4" w:space="0" w:color="auto"/>
            </w:tcBorders>
            <w:shd w:val="clear" w:color="000000" w:fill="FFFFFF"/>
          </w:tcPr>
          <w:p w:rsidR="0086693E" w:rsidRPr="00F82AB0" w:rsidRDefault="0086693E" w:rsidP="00CD09E1">
            <w:pPr>
              <w:rPr>
                <w:rFonts w:ascii="Arial" w:hAnsi="Arial" w:cs="Arial"/>
                <w:b/>
                <w:bCs/>
                <w:color w:val="000000"/>
                <w:sz w:val="20"/>
                <w:szCs w:val="20"/>
              </w:rPr>
            </w:pPr>
            <w:r w:rsidRPr="00F82AB0">
              <w:rPr>
                <w:rFonts w:ascii="Arial" w:hAnsi="Arial" w:cs="Arial"/>
                <w:b/>
                <w:bCs/>
                <w:color w:val="000000"/>
                <w:sz w:val="20"/>
                <w:szCs w:val="20"/>
              </w:rPr>
              <w:t>Balance as of December 2009</w:t>
            </w:r>
            <w:r>
              <w:rPr>
                <w:rFonts w:ascii="Arial" w:hAnsi="Arial" w:cs="Arial"/>
                <w:b/>
                <w:bCs/>
                <w:color w:val="000000"/>
                <w:sz w:val="20"/>
                <w:szCs w:val="20"/>
              </w:rPr>
              <w:t xml:space="preserve"> </w:t>
            </w:r>
          </w:p>
        </w:tc>
        <w:tc>
          <w:tcPr>
            <w:tcW w:w="2400" w:type="dxa"/>
            <w:tcBorders>
              <w:top w:val="nil"/>
              <w:left w:val="nil"/>
              <w:bottom w:val="single" w:sz="4" w:space="0" w:color="auto"/>
              <w:right w:val="single" w:sz="4" w:space="0" w:color="auto"/>
            </w:tcBorders>
            <w:noWrap/>
            <w:vAlign w:val="center"/>
          </w:tcPr>
          <w:p w:rsidR="0086693E" w:rsidRPr="00F82AB0" w:rsidRDefault="0086693E" w:rsidP="00563728">
            <w:pPr>
              <w:jc w:val="right"/>
              <w:rPr>
                <w:rFonts w:ascii="Arial" w:hAnsi="Arial" w:cs="Arial"/>
                <w:b/>
                <w:bCs/>
                <w:sz w:val="20"/>
                <w:szCs w:val="20"/>
              </w:rPr>
            </w:pPr>
            <w:r w:rsidRPr="00F82AB0">
              <w:rPr>
                <w:rFonts w:ascii="Arial" w:hAnsi="Arial" w:cs="Arial"/>
                <w:b/>
                <w:bCs/>
                <w:sz w:val="20"/>
                <w:szCs w:val="20"/>
              </w:rPr>
              <w:t>889,394.47</w:t>
            </w:r>
          </w:p>
        </w:tc>
      </w:tr>
    </w:tbl>
    <w:p w:rsidR="0086693E" w:rsidRDefault="0086693E" w:rsidP="0034693A">
      <w:pPr>
        <w:pStyle w:val="BodyText"/>
        <w:rPr>
          <w:rFonts w:ascii="Times New Roman" w:hAnsi="Times New Roman"/>
          <w:b/>
          <w:sz w:val="24"/>
        </w:rPr>
      </w:pPr>
    </w:p>
    <w:p w:rsidR="0086693E" w:rsidRDefault="0086693E" w:rsidP="0034693A">
      <w:pPr>
        <w:pStyle w:val="BodyText"/>
        <w:rPr>
          <w:rFonts w:ascii="Times New Roman" w:hAnsi="Times New Roman"/>
          <w:b/>
          <w:sz w:val="24"/>
        </w:rPr>
      </w:pPr>
    </w:p>
    <w:p w:rsidR="0086693E" w:rsidRDefault="0086693E" w:rsidP="0034693A">
      <w:pPr>
        <w:pStyle w:val="BodyText"/>
        <w:rPr>
          <w:rFonts w:ascii="Times New Roman" w:hAnsi="Times New Roman"/>
          <w:b/>
          <w:sz w:val="24"/>
        </w:rPr>
      </w:pPr>
    </w:p>
    <w:p w:rsidR="0086693E" w:rsidRPr="00234CC4" w:rsidRDefault="0086693E" w:rsidP="0034693A">
      <w:pPr>
        <w:pStyle w:val="BodyText"/>
        <w:rPr>
          <w:rFonts w:ascii="Times New Roman" w:hAnsi="Times New Roman"/>
          <w:b/>
          <w:sz w:val="24"/>
        </w:rPr>
      </w:pPr>
    </w:p>
    <w:p w:rsidR="0086693E" w:rsidRDefault="0086693E">
      <w:pPr>
        <w:spacing w:after="200" w:line="276" w:lineRule="auto"/>
        <w:rPr>
          <w:b/>
          <w:bCs/>
          <w:color w:val="365F91"/>
        </w:rPr>
      </w:pPr>
      <w:bookmarkStart w:id="11" w:name="_Toc249364485"/>
      <w:r>
        <w:br w:type="page"/>
      </w:r>
    </w:p>
    <w:p w:rsidR="0086693E" w:rsidRPr="00B32E35" w:rsidRDefault="0086693E" w:rsidP="0034693A">
      <w:pPr>
        <w:pStyle w:val="Heading1"/>
        <w:keepLines w:val="0"/>
        <w:numPr>
          <w:ilvl w:val="0"/>
          <w:numId w:val="1"/>
        </w:numPr>
        <w:tabs>
          <w:tab w:val="clear" w:pos="1080"/>
          <w:tab w:val="left" w:pos="360"/>
        </w:tabs>
        <w:spacing w:before="0"/>
        <w:ind w:left="360" w:hanging="360"/>
        <w:rPr>
          <w:rFonts w:ascii="Times New Roman" w:hAnsi="Times New Roman"/>
          <w:sz w:val="24"/>
          <w:szCs w:val="24"/>
        </w:rPr>
      </w:pPr>
      <w:r w:rsidRPr="00B32E35">
        <w:rPr>
          <w:rFonts w:ascii="Times New Roman" w:hAnsi="Times New Roman"/>
          <w:sz w:val="24"/>
          <w:szCs w:val="24"/>
        </w:rPr>
        <w:t>Implementation and Monitoring Arrangements</w:t>
      </w:r>
      <w:bookmarkEnd w:id="11"/>
    </w:p>
    <w:p w:rsidR="0086693E" w:rsidRDefault="0086693E" w:rsidP="00715E9A">
      <w:pPr>
        <w:ind w:left="360"/>
        <w:rPr>
          <w:rFonts w:cs="Arial"/>
          <w:szCs w:val="22"/>
        </w:rPr>
      </w:pPr>
    </w:p>
    <w:p w:rsidR="0086693E" w:rsidRPr="0003471D" w:rsidRDefault="0086693E" w:rsidP="0003471D">
      <w:pPr>
        <w:jc w:val="both"/>
        <w:rPr>
          <w:rFonts w:cs="Arial"/>
          <w:szCs w:val="20"/>
        </w:rPr>
      </w:pPr>
      <w:r>
        <w:rPr>
          <w:rFonts w:cs="Arial"/>
          <w:szCs w:val="20"/>
        </w:rPr>
        <w:t xml:space="preserve">The programme to </w:t>
      </w:r>
      <w:r w:rsidRPr="0003471D">
        <w:rPr>
          <w:rFonts w:cs="Arial"/>
          <w:szCs w:val="20"/>
        </w:rPr>
        <w:t xml:space="preserve">support the discharge and rehabilitating of disqualified minors </w:t>
      </w:r>
      <w:r>
        <w:rPr>
          <w:rFonts w:cs="Arial"/>
          <w:szCs w:val="20"/>
        </w:rPr>
        <w:t xml:space="preserve">was developed by UNICEF based on </w:t>
      </w:r>
      <w:r w:rsidRPr="0003471D">
        <w:rPr>
          <w:rFonts w:cs="Arial"/>
          <w:szCs w:val="20"/>
        </w:rPr>
        <w:t>the extensive networks and expertise of CAAFAG Working Group network, which includes district based partner NGOs and commun</w:t>
      </w:r>
      <w:r>
        <w:rPr>
          <w:rFonts w:cs="Arial"/>
          <w:szCs w:val="20"/>
        </w:rPr>
        <w:t>ity-based grassroots structures</w:t>
      </w:r>
      <w:r w:rsidRPr="0003471D">
        <w:rPr>
          <w:rFonts w:cs="Arial"/>
          <w:szCs w:val="20"/>
        </w:rPr>
        <w:t>.</w:t>
      </w:r>
      <w:r>
        <w:rPr>
          <w:rFonts w:cs="Arial"/>
          <w:szCs w:val="20"/>
        </w:rPr>
        <w:t xml:space="preserve"> The implementation plan focuses</w:t>
      </w:r>
      <w:r w:rsidRPr="0003471D">
        <w:rPr>
          <w:rFonts w:cs="Arial"/>
          <w:szCs w:val="20"/>
        </w:rPr>
        <w:t xml:space="preserve"> on supporting the return of the dischargees to their community, providing psychosocial support and facilitating access to UN supported rehabilitation packages.  The programme build</w:t>
      </w:r>
      <w:r>
        <w:rPr>
          <w:rFonts w:cs="Arial"/>
          <w:szCs w:val="20"/>
        </w:rPr>
        <w:t>s</w:t>
      </w:r>
      <w:r w:rsidRPr="0003471D">
        <w:rPr>
          <w:rFonts w:cs="Arial"/>
          <w:szCs w:val="20"/>
        </w:rPr>
        <w:t xml:space="preserve"> on past achievements and lessons learnt as UNICEF has already gained experience through the implementation of </w:t>
      </w:r>
      <w:r>
        <w:rPr>
          <w:rFonts w:cs="Arial"/>
          <w:szCs w:val="20"/>
        </w:rPr>
        <w:t xml:space="preserve">its </w:t>
      </w:r>
      <w:r w:rsidRPr="0003471D">
        <w:rPr>
          <w:rFonts w:cs="Arial"/>
          <w:szCs w:val="20"/>
        </w:rPr>
        <w:t xml:space="preserve">community based CAAFAG reintegration programme since 2007. </w:t>
      </w:r>
    </w:p>
    <w:p w:rsidR="0086693E" w:rsidRPr="0003471D" w:rsidRDefault="0086693E" w:rsidP="0003471D">
      <w:pPr>
        <w:pStyle w:val="BodyText"/>
        <w:jc w:val="both"/>
        <w:rPr>
          <w:rFonts w:ascii="Times New Roman" w:hAnsi="Times New Roman"/>
          <w:sz w:val="24"/>
        </w:rPr>
      </w:pPr>
    </w:p>
    <w:p w:rsidR="0086693E" w:rsidRPr="0003471D" w:rsidRDefault="0086693E" w:rsidP="0003471D">
      <w:pPr>
        <w:pStyle w:val="BodyText"/>
        <w:jc w:val="both"/>
        <w:rPr>
          <w:rFonts w:ascii="Times New Roman" w:hAnsi="Times New Roman"/>
          <w:sz w:val="24"/>
        </w:rPr>
      </w:pPr>
      <w:r>
        <w:rPr>
          <w:rFonts w:ascii="Times New Roman" w:hAnsi="Times New Roman"/>
          <w:sz w:val="24"/>
        </w:rPr>
        <w:t xml:space="preserve">Monitoring systems which has been </w:t>
      </w:r>
      <w:r w:rsidRPr="0003471D">
        <w:rPr>
          <w:rFonts w:ascii="Times New Roman" w:hAnsi="Times New Roman"/>
          <w:sz w:val="24"/>
        </w:rPr>
        <w:t xml:space="preserve">established to monitor the </w:t>
      </w:r>
      <w:r>
        <w:rPr>
          <w:rFonts w:ascii="Times New Roman" w:hAnsi="Times New Roman"/>
          <w:sz w:val="24"/>
        </w:rPr>
        <w:t xml:space="preserve">already </w:t>
      </w:r>
      <w:r w:rsidRPr="0003471D">
        <w:rPr>
          <w:rFonts w:ascii="Times New Roman" w:hAnsi="Times New Roman"/>
          <w:sz w:val="24"/>
        </w:rPr>
        <w:t xml:space="preserve">ongoing community based CAAFAG reintegration programme </w:t>
      </w:r>
      <w:r>
        <w:rPr>
          <w:rFonts w:ascii="Times New Roman" w:hAnsi="Times New Roman"/>
          <w:sz w:val="24"/>
        </w:rPr>
        <w:t>are</w:t>
      </w:r>
      <w:r w:rsidRPr="0003471D">
        <w:rPr>
          <w:rFonts w:ascii="Times New Roman" w:hAnsi="Times New Roman"/>
          <w:sz w:val="24"/>
        </w:rPr>
        <w:t xml:space="preserve"> used </w:t>
      </w:r>
      <w:r>
        <w:rPr>
          <w:rFonts w:ascii="Times New Roman" w:hAnsi="Times New Roman"/>
          <w:sz w:val="24"/>
        </w:rPr>
        <w:t xml:space="preserve">also </w:t>
      </w:r>
      <w:r w:rsidRPr="0003471D">
        <w:rPr>
          <w:rFonts w:ascii="Times New Roman" w:hAnsi="Times New Roman"/>
          <w:sz w:val="24"/>
        </w:rPr>
        <w:t xml:space="preserve">to support the implementation and monitoring of </w:t>
      </w:r>
      <w:r>
        <w:rPr>
          <w:rFonts w:ascii="Times New Roman" w:hAnsi="Times New Roman"/>
          <w:sz w:val="24"/>
        </w:rPr>
        <w:t xml:space="preserve">the release </w:t>
      </w:r>
      <w:r w:rsidRPr="0003471D">
        <w:rPr>
          <w:rFonts w:ascii="Times New Roman" w:hAnsi="Times New Roman"/>
          <w:sz w:val="24"/>
        </w:rPr>
        <w:t xml:space="preserve">and rehabilitation of </w:t>
      </w:r>
      <w:r>
        <w:rPr>
          <w:rFonts w:ascii="Times New Roman" w:hAnsi="Times New Roman"/>
          <w:sz w:val="24"/>
        </w:rPr>
        <w:t>the newly discharged caseload</w:t>
      </w:r>
      <w:r w:rsidRPr="0003471D">
        <w:rPr>
          <w:rFonts w:ascii="Times New Roman" w:hAnsi="Times New Roman"/>
          <w:sz w:val="24"/>
        </w:rPr>
        <w:t>. UNICEF regional field monitors</w:t>
      </w:r>
      <w:r>
        <w:rPr>
          <w:rFonts w:ascii="Times New Roman" w:hAnsi="Times New Roman"/>
          <w:sz w:val="24"/>
        </w:rPr>
        <w:t xml:space="preserve"> are</w:t>
      </w:r>
      <w:r w:rsidRPr="0003471D">
        <w:rPr>
          <w:rFonts w:ascii="Times New Roman" w:hAnsi="Times New Roman"/>
          <w:sz w:val="24"/>
        </w:rPr>
        <w:t xml:space="preserve"> responsible for direct monitoring of rehabilitation process</w:t>
      </w:r>
      <w:r>
        <w:rPr>
          <w:rFonts w:ascii="Times New Roman" w:hAnsi="Times New Roman"/>
          <w:sz w:val="24"/>
        </w:rPr>
        <w:t xml:space="preserve"> and </w:t>
      </w:r>
      <w:r w:rsidRPr="0003471D">
        <w:rPr>
          <w:rFonts w:ascii="Times New Roman" w:hAnsi="Times New Roman"/>
          <w:sz w:val="24"/>
        </w:rPr>
        <w:t xml:space="preserve">implementing partners </w:t>
      </w:r>
      <w:r>
        <w:rPr>
          <w:rFonts w:ascii="Times New Roman" w:hAnsi="Times New Roman"/>
          <w:sz w:val="24"/>
        </w:rPr>
        <w:t xml:space="preserve">are </w:t>
      </w:r>
      <w:r w:rsidRPr="0003471D">
        <w:rPr>
          <w:rFonts w:ascii="Times New Roman" w:hAnsi="Times New Roman"/>
          <w:sz w:val="24"/>
        </w:rPr>
        <w:t xml:space="preserve">used for case management of individuals supported by the UN rehabilitation programme, which includes regular assessment of individual cases and providing necessary support to facilitate their socio-economic reintegration.  </w:t>
      </w:r>
    </w:p>
    <w:p w:rsidR="0086693E" w:rsidRPr="00234CC4" w:rsidRDefault="0086693E" w:rsidP="0034693A">
      <w:pPr>
        <w:pStyle w:val="BodyText"/>
        <w:rPr>
          <w:rFonts w:ascii="Times New Roman" w:hAnsi="Times New Roman"/>
          <w:b/>
          <w:sz w:val="24"/>
        </w:rPr>
      </w:pPr>
    </w:p>
    <w:p w:rsidR="0086693E" w:rsidRDefault="0086693E" w:rsidP="0034693A">
      <w:pPr>
        <w:pStyle w:val="Heading1"/>
        <w:keepLines w:val="0"/>
        <w:numPr>
          <w:ilvl w:val="0"/>
          <w:numId w:val="1"/>
        </w:numPr>
        <w:tabs>
          <w:tab w:val="clear" w:pos="1080"/>
          <w:tab w:val="left" w:pos="360"/>
        </w:tabs>
        <w:spacing w:before="0"/>
        <w:ind w:left="360" w:hanging="360"/>
        <w:rPr>
          <w:rFonts w:ascii="Times New Roman" w:hAnsi="Times New Roman"/>
          <w:sz w:val="24"/>
          <w:szCs w:val="24"/>
        </w:rPr>
      </w:pPr>
      <w:bookmarkStart w:id="12" w:name="_Toc249364486"/>
      <w:r w:rsidRPr="00B32E35">
        <w:rPr>
          <w:rFonts w:ascii="Times New Roman" w:hAnsi="Times New Roman"/>
          <w:sz w:val="24"/>
          <w:szCs w:val="24"/>
        </w:rPr>
        <w:t>Results</w:t>
      </w:r>
      <w:bookmarkEnd w:id="12"/>
      <w:r w:rsidRPr="00B32E35">
        <w:rPr>
          <w:rFonts w:ascii="Times New Roman" w:hAnsi="Times New Roman"/>
          <w:sz w:val="24"/>
          <w:szCs w:val="24"/>
        </w:rPr>
        <w:t xml:space="preserve"> </w:t>
      </w:r>
    </w:p>
    <w:p w:rsidR="0086693E" w:rsidRDefault="0086693E" w:rsidP="00372054"/>
    <w:p w:rsidR="0086693E" w:rsidRPr="00510B9E" w:rsidRDefault="0086693E" w:rsidP="00510B9E">
      <w:pPr>
        <w:pStyle w:val="BodyText2"/>
        <w:spacing w:line="240" w:lineRule="auto"/>
        <w:rPr>
          <w:rFonts w:ascii="Times New Roman" w:hAnsi="Times New Roman"/>
          <w:sz w:val="24"/>
          <w:szCs w:val="24"/>
        </w:rPr>
      </w:pPr>
      <w:r w:rsidRPr="00510B9E">
        <w:rPr>
          <w:rFonts w:ascii="Times New Roman" w:hAnsi="Times New Roman"/>
          <w:sz w:val="24"/>
          <w:szCs w:val="24"/>
        </w:rPr>
        <w:t xml:space="preserve">The main constraint for </w:t>
      </w:r>
      <w:r>
        <w:rPr>
          <w:rFonts w:ascii="Times New Roman" w:hAnsi="Times New Roman"/>
          <w:sz w:val="24"/>
          <w:szCs w:val="24"/>
        </w:rPr>
        <w:t>the implementation of this project was</w:t>
      </w:r>
      <w:r w:rsidRPr="00510B9E">
        <w:rPr>
          <w:rFonts w:ascii="Times New Roman" w:hAnsi="Times New Roman"/>
          <w:sz w:val="24"/>
          <w:szCs w:val="24"/>
        </w:rPr>
        <w:t xml:space="preserve"> the delay in the release of the verified minors which meant that activities were focused mainly on advocacy instead of the envisaged reintegration support. Moreover, UNICEF did not have access to the cantonments sites during the reporting period which blocked any kind interaction or participatory process the verified minors.</w:t>
      </w:r>
    </w:p>
    <w:p w:rsidR="0086693E" w:rsidRPr="00372054" w:rsidRDefault="0086693E" w:rsidP="00372054">
      <w:pPr>
        <w:widowControl w:val="0"/>
        <w:adjustRightInd w:val="0"/>
        <w:jc w:val="both"/>
        <w:textAlignment w:val="baseline"/>
      </w:pPr>
      <w:r w:rsidRPr="00372054">
        <w:rPr>
          <w:lang w:eastAsia="zh-TW"/>
        </w:rPr>
        <w:t xml:space="preserve">Throughout the year the UN, in collaboration with UNMIN, engaged in joint advocacy and other activities to secure the release of </w:t>
      </w:r>
      <w:r w:rsidRPr="00372054">
        <w:t>the 4008 individuals who were identified as minors or late recruits in the UN led verification of the Maoist Army in 2007. UNCT, in particular UNDP, UNICEF and UNFPA,</w:t>
      </w:r>
      <w:r w:rsidRPr="00372054">
        <w:rPr>
          <w:lang w:eastAsia="zh-TW"/>
        </w:rPr>
        <w:t xml:space="preserve">  retained stand-by capacity to support the discharge and rehabilitation and worked closely together having weekly, sometimes even daily meetings, to ensure that planned activities were synchronised.</w:t>
      </w:r>
    </w:p>
    <w:p w:rsidR="0086693E" w:rsidRPr="00372054" w:rsidRDefault="0086693E" w:rsidP="00372054">
      <w:pPr>
        <w:widowControl w:val="0"/>
        <w:adjustRightInd w:val="0"/>
        <w:jc w:val="both"/>
        <w:textAlignment w:val="baseline"/>
      </w:pPr>
    </w:p>
    <w:p w:rsidR="0086693E" w:rsidRDefault="0086693E" w:rsidP="00372054">
      <w:pPr>
        <w:jc w:val="both"/>
        <w:rPr>
          <w:color w:val="000000"/>
        </w:rPr>
      </w:pPr>
      <w:r w:rsidRPr="00372054">
        <w:t xml:space="preserve">The discharge process picked up momentum after the summer when the Maoist leadership commenced to engage more actively with the MoPR in the planning process of the release. A High Level Steering Committee was formed to take political decision relating to the discharge process which included representation from the Maoists, the Ministry of Peace and Reconstruction, the RSG of UNMIN, the UN Resident Coordinator and UNICEF Country Representative.  </w:t>
      </w:r>
      <w:r w:rsidRPr="00372054">
        <w:rPr>
          <w:color w:val="000000"/>
        </w:rPr>
        <w:t>A Technical Committee was also formed which was responsible for the technical implementation of the discharge, including developing a plan for the process. The Technical Committee was comprised by representatives from the Maoists, MoPR and UNICEF, UNMIN, UNDP and UNFPA.</w:t>
      </w:r>
    </w:p>
    <w:p w:rsidR="0086693E" w:rsidRDefault="0086693E" w:rsidP="00372054">
      <w:pPr>
        <w:jc w:val="both"/>
        <w:rPr>
          <w:color w:val="000000"/>
        </w:rPr>
      </w:pPr>
    </w:p>
    <w:p w:rsidR="0086693E" w:rsidRDefault="0086693E" w:rsidP="00372054">
      <w:pPr>
        <w:jc w:val="both"/>
        <w:rPr>
          <w:color w:val="000000"/>
        </w:rPr>
      </w:pPr>
    </w:p>
    <w:p w:rsidR="0086693E" w:rsidRDefault="0086693E" w:rsidP="00FB596C">
      <w:pPr>
        <w:jc w:val="both"/>
        <w:rPr>
          <w:rFonts w:cs="Arial"/>
          <w:spacing w:val="-3"/>
          <w:szCs w:val="22"/>
        </w:rPr>
      </w:pPr>
      <w:r>
        <w:rPr>
          <w:color w:val="000000"/>
        </w:rPr>
        <w:t xml:space="preserve">The Technical Committee was able to provided technical assistance and facilitated discussion among government and Maoist representatives, highlighting minimum standards and global practices for discharge and rehabilitation. </w:t>
      </w:r>
    </w:p>
    <w:p w:rsidR="0086693E" w:rsidRDefault="0086693E" w:rsidP="00372054">
      <w:pPr>
        <w:jc w:val="both"/>
        <w:rPr>
          <w:color w:val="000000"/>
        </w:rPr>
      </w:pPr>
    </w:p>
    <w:p w:rsidR="0086693E" w:rsidRPr="00372054" w:rsidRDefault="0086693E" w:rsidP="00372054">
      <w:pPr>
        <w:jc w:val="both"/>
        <w:rPr>
          <w:color w:val="000000"/>
        </w:rPr>
      </w:pPr>
    </w:p>
    <w:p w:rsidR="0086693E" w:rsidRDefault="0086693E" w:rsidP="00372054">
      <w:pPr>
        <w:widowControl w:val="0"/>
        <w:adjustRightInd w:val="0"/>
        <w:jc w:val="both"/>
        <w:textAlignment w:val="baseline"/>
        <w:rPr>
          <w:rFonts w:eastAsia="PMingLiU"/>
          <w:lang w:eastAsia="zh-TW"/>
        </w:rPr>
      </w:pPr>
      <w:r w:rsidRPr="00372054">
        <w:t xml:space="preserve">In the end of the year the Maoist decided to discharge the disqualified “unilaterally”, but accepted UN support to and monitoring of the discharge process. During a visit of the Special Representative of the Secretary General for Children and Armed Conflict, Ms. Radhika Coomaraswamy,  an </w:t>
      </w:r>
      <w:r w:rsidRPr="00372054">
        <w:rPr>
          <w:rFonts w:eastAsia="PMingLiU"/>
          <w:lang w:eastAsia="zh-TW"/>
        </w:rPr>
        <w:t>Action Plan for the discharge of disqualified was signed by the GoN, UCPN-M and the UN on 16</w:t>
      </w:r>
      <w:r w:rsidRPr="00372054">
        <w:rPr>
          <w:rFonts w:eastAsia="PMingLiU"/>
          <w:vertAlign w:val="superscript"/>
          <w:lang w:eastAsia="zh-TW"/>
        </w:rPr>
        <w:t>th</w:t>
      </w:r>
      <w:r w:rsidRPr="00372054">
        <w:rPr>
          <w:rFonts w:eastAsia="PMingLiU"/>
          <w:lang w:eastAsia="zh-TW"/>
        </w:rPr>
        <w:t xml:space="preserve"> December 2009. </w:t>
      </w:r>
      <w:r>
        <w:rPr>
          <w:rFonts w:eastAsia="PMingLiU"/>
          <w:lang w:eastAsia="zh-TW"/>
        </w:rPr>
        <w:t xml:space="preserve">After the signing of the Action Plan for the discharge of disqualified Maoist combatants, UNICEF, a part of UNCT, developed an operational plan, to carry out the discharge process as per international practices. This was done in consultation with Maoist representatives. </w:t>
      </w:r>
    </w:p>
    <w:p w:rsidR="0086693E" w:rsidRDefault="0086693E" w:rsidP="00372054">
      <w:pPr>
        <w:widowControl w:val="0"/>
        <w:adjustRightInd w:val="0"/>
        <w:jc w:val="both"/>
        <w:textAlignment w:val="baseline"/>
        <w:rPr>
          <w:rFonts w:eastAsia="PMingLiU"/>
          <w:lang w:eastAsia="zh-TW"/>
        </w:rPr>
      </w:pPr>
    </w:p>
    <w:p w:rsidR="0086693E" w:rsidRPr="00372054" w:rsidRDefault="0086693E" w:rsidP="00372054">
      <w:pPr>
        <w:widowControl w:val="0"/>
        <w:adjustRightInd w:val="0"/>
        <w:jc w:val="both"/>
        <w:textAlignment w:val="baseline"/>
        <w:rPr>
          <w:lang w:eastAsia="zh-TW"/>
        </w:rPr>
      </w:pPr>
      <w:r>
        <w:rPr>
          <w:rFonts w:eastAsia="PMingLiU"/>
          <w:lang w:eastAsia="zh-TW"/>
        </w:rPr>
        <w:t>Due to the nature of activities that were undertaken during the year, i.e. mainly advocacy and preparations for the discharge, the main bulk of the funds spent were used for salaries of UNICEF staff both on national and field level. Funds were used to partly support one international programme coordinator and nine national officers. A smaller amount of the funds were used for orientation of implementing partners.</w:t>
      </w:r>
    </w:p>
    <w:p w:rsidR="0086693E" w:rsidRPr="00372054" w:rsidRDefault="0086693E" w:rsidP="00372054"/>
    <w:p w:rsidR="0086693E" w:rsidRPr="00234CC4" w:rsidRDefault="0086693E" w:rsidP="0034693A">
      <w:pPr>
        <w:pStyle w:val="BodyText"/>
        <w:ind w:left="360"/>
        <w:rPr>
          <w:rFonts w:ascii="Times New Roman" w:hAnsi="Times New Roman"/>
          <w:sz w:val="24"/>
        </w:rPr>
      </w:pPr>
    </w:p>
    <w:p w:rsidR="0086693E" w:rsidRPr="00B32E35" w:rsidRDefault="0086693E" w:rsidP="0034693A">
      <w:pPr>
        <w:pStyle w:val="Heading1"/>
        <w:keepLines w:val="0"/>
        <w:numPr>
          <w:ilvl w:val="0"/>
          <w:numId w:val="1"/>
        </w:numPr>
        <w:tabs>
          <w:tab w:val="clear" w:pos="1080"/>
          <w:tab w:val="left" w:pos="360"/>
        </w:tabs>
        <w:spacing w:before="0"/>
        <w:ind w:left="360" w:hanging="360"/>
        <w:rPr>
          <w:rFonts w:ascii="Times New Roman" w:hAnsi="Times New Roman"/>
          <w:sz w:val="24"/>
          <w:szCs w:val="24"/>
        </w:rPr>
      </w:pPr>
      <w:bookmarkStart w:id="13" w:name="_Toc249364487"/>
      <w:r w:rsidRPr="00B32E35">
        <w:rPr>
          <w:rFonts w:ascii="Times New Roman" w:hAnsi="Times New Roman"/>
          <w:sz w:val="24"/>
          <w:szCs w:val="24"/>
        </w:rPr>
        <w:t>Future Work Plan (if applicable)</w:t>
      </w:r>
      <w:bookmarkEnd w:id="13"/>
    </w:p>
    <w:p w:rsidR="0086693E" w:rsidRDefault="0086693E" w:rsidP="00D71AE0">
      <w:pPr>
        <w:pStyle w:val="BodyText"/>
        <w:tabs>
          <w:tab w:val="left" w:pos="360"/>
        </w:tabs>
        <w:ind w:left="720"/>
        <w:jc w:val="both"/>
        <w:rPr>
          <w:rFonts w:ascii="Times New Roman" w:hAnsi="Times New Roman"/>
          <w:bCs/>
          <w:sz w:val="24"/>
        </w:rPr>
      </w:pPr>
    </w:p>
    <w:p w:rsidR="0086693E" w:rsidRDefault="0086693E" w:rsidP="00D71AE0">
      <w:pPr>
        <w:pStyle w:val="BodyText"/>
        <w:tabs>
          <w:tab w:val="left" w:pos="360"/>
        </w:tabs>
        <w:jc w:val="both"/>
        <w:rPr>
          <w:rFonts w:ascii="Times New Roman" w:hAnsi="Times New Roman"/>
          <w:bCs/>
          <w:sz w:val="24"/>
        </w:rPr>
      </w:pPr>
      <w:r>
        <w:rPr>
          <w:rFonts w:ascii="Times New Roman" w:hAnsi="Times New Roman"/>
          <w:bCs/>
          <w:sz w:val="24"/>
        </w:rPr>
        <w:t xml:space="preserve">As indicated above the Maoist signed an Action Plan to release the verified minors in the beginning of 2010. It is therefore highly plausible that the project will be able to achieve its goal to support the discharge and reintegration of 2,973. </w:t>
      </w:r>
    </w:p>
    <w:p w:rsidR="0086693E" w:rsidRDefault="0086693E" w:rsidP="00D71AE0">
      <w:pPr>
        <w:pStyle w:val="BodyText"/>
        <w:tabs>
          <w:tab w:val="left" w:pos="360"/>
        </w:tabs>
        <w:jc w:val="both"/>
        <w:rPr>
          <w:rFonts w:ascii="Times New Roman" w:hAnsi="Times New Roman"/>
          <w:bCs/>
          <w:sz w:val="24"/>
        </w:rPr>
      </w:pPr>
    </w:p>
    <w:p w:rsidR="0086693E" w:rsidRDefault="0086693E" w:rsidP="00F5401B">
      <w:pPr>
        <w:widowControl w:val="0"/>
        <w:adjustRightInd w:val="0"/>
        <w:jc w:val="both"/>
        <w:textAlignment w:val="baseline"/>
        <w:rPr>
          <w:rFonts w:eastAsia="PMingLiU"/>
          <w:lang w:eastAsia="zh-TW"/>
        </w:rPr>
      </w:pPr>
      <w:r>
        <w:rPr>
          <w:rFonts w:eastAsia="PMingLiU"/>
          <w:lang w:eastAsia="zh-TW"/>
        </w:rPr>
        <w:t xml:space="preserve">Due to UNICEF’s and other partners in the </w:t>
      </w:r>
      <w:r w:rsidRPr="00372054">
        <w:rPr>
          <w:rFonts w:eastAsia="PMingLiU"/>
          <w:lang w:eastAsia="zh-TW"/>
        </w:rPr>
        <w:t>UNCT’s  high level of preparedness</w:t>
      </w:r>
      <w:r w:rsidRPr="00372054">
        <w:rPr>
          <w:lang w:eastAsia="zh-TW"/>
        </w:rPr>
        <w:t>,</w:t>
      </w:r>
      <w:r w:rsidRPr="00372054">
        <w:rPr>
          <w:rFonts w:eastAsia="PMingLiU"/>
          <w:lang w:eastAsia="zh-TW"/>
        </w:rPr>
        <w:t xml:space="preserve"> UN</w:t>
      </w:r>
      <w:r>
        <w:rPr>
          <w:rFonts w:eastAsia="PMingLiU"/>
          <w:lang w:eastAsia="zh-TW"/>
        </w:rPr>
        <w:t>CT</w:t>
      </w:r>
      <w:r w:rsidRPr="00372054">
        <w:rPr>
          <w:rFonts w:eastAsia="PMingLiU"/>
          <w:lang w:eastAsia="zh-TW"/>
        </w:rPr>
        <w:t xml:space="preserve"> was able to act swiftly once the Action Plan was signed, allowing the first discharge to take place three weeks after the date of the signing. The UN</w:t>
      </w:r>
      <w:r>
        <w:rPr>
          <w:rFonts w:eastAsia="PMingLiU"/>
          <w:lang w:eastAsia="zh-TW"/>
        </w:rPr>
        <w:t>ICEF and other partner in the UN</w:t>
      </w:r>
      <w:r w:rsidRPr="00372054">
        <w:rPr>
          <w:rFonts w:eastAsia="PMingLiU"/>
          <w:lang w:eastAsia="zh-TW"/>
        </w:rPr>
        <w:t xml:space="preserve">CT also made available a number of options for rehabilitation ranging from education support to skills trainings that will be available for the disqualified Maoist army personnel on a voluntary basis. </w:t>
      </w:r>
    </w:p>
    <w:p w:rsidR="0086693E" w:rsidRDefault="0086693E" w:rsidP="0034693A"/>
    <w:p w:rsidR="0086693E" w:rsidRPr="000E3E92" w:rsidRDefault="0086693E" w:rsidP="0034693A"/>
    <w:p w:rsidR="0086693E" w:rsidRDefault="0086693E" w:rsidP="0034693A">
      <w:pPr>
        <w:pStyle w:val="Heading1"/>
        <w:keepLines w:val="0"/>
        <w:numPr>
          <w:ilvl w:val="0"/>
          <w:numId w:val="1"/>
        </w:numPr>
        <w:tabs>
          <w:tab w:val="clear" w:pos="1080"/>
          <w:tab w:val="left" w:pos="360"/>
        </w:tabs>
        <w:spacing w:before="0"/>
        <w:ind w:left="360" w:hanging="360"/>
        <w:rPr>
          <w:rFonts w:ascii="Times New Roman" w:hAnsi="Times New Roman"/>
          <w:sz w:val="24"/>
          <w:szCs w:val="24"/>
        </w:rPr>
      </w:pPr>
      <w:r>
        <w:rPr>
          <w:rFonts w:ascii="Times New Roman" w:hAnsi="Times New Roman"/>
          <w:sz w:val="24"/>
          <w:szCs w:val="24"/>
        </w:rPr>
        <w:t>Abbreviations and Acronyms</w:t>
      </w:r>
    </w:p>
    <w:p w:rsidR="0086693E" w:rsidRDefault="0086693E" w:rsidP="00CD442E"/>
    <w:p w:rsidR="0086693E" w:rsidRDefault="0086693E" w:rsidP="00CD442E">
      <w:r>
        <w:t>CAAC</w:t>
      </w:r>
      <w:r>
        <w:tab/>
      </w:r>
      <w:r>
        <w:tab/>
        <w:t>Children Affected by Armed Conflict</w:t>
      </w:r>
    </w:p>
    <w:p w:rsidR="0086693E" w:rsidRDefault="0086693E" w:rsidP="00CD442E">
      <w:r>
        <w:t>CAAFAG</w:t>
      </w:r>
      <w:r>
        <w:tab/>
        <w:t>Children Associated with Armed Forces and Armed Groups</w:t>
      </w:r>
    </w:p>
    <w:p w:rsidR="0086693E" w:rsidRDefault="0086693E" w:rsidP="00CD442E">
      <w:r>
        <w:t>GoN</w:t>
      </w:r>
      <w:r>
        <w:tab/>
      </w:r>
      <w:r>
        <w:tab/>
        <w:t>Government of Nepal</w:t>
      </w:r>
    </w:p>
    <w:p w:rsidR="0086693E" w:rsidRDefault="0086693E" w:rsidP="00CD442E">
      <w:r>
        <w:t>OHCHR</w:t>
      </w:r>
      <w:r>
        <w:tab/>
        <w:t>Office of the High Commissioner for Human Rights</w:t>
      </w:r>
    </w:p>
    <w:p w:rsidR="0086693E" w:rsidRDefault="0086693E" w:rsidP="00CD442E">
      <w:r>
        <w:t>UCPN-M</w:t>
      </w:r>
      <w:r>
        <w:tab/>
        <w:t>United Communist Party of Nepal-Maoist</w:t>
      </w:r>
    </w:p>
    <w:p w:rsidR="0086693E" w:rsidRDefault="0086693E" w:rsidP="00CD442E">
      <w:r>
        <w:t>UNCT</w:t>
      </w:r>
      <w:r>
        <w:tab/>
      </w:r>
      <w:r>
        <w:tab/>
        <w:t>United Nations Country Team</w:t>
      </w:r>
    </w:p>
    <w:p w:rsidR="0086693E" w:rsidRPr="00CD442E" w:rsidRDefault="0086693E" w:rsidP="00CD442E"/>
    <w:sectPr w:rsidR="0086693E" w:rsidRPr="00CD442E" w:rsidSect="00C44B28">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93E" w:rsidRDefault="0086693E" w:rsidP="0034693A">
      <w:r>
        <w:separator/>
      </w:r>
    </w:p>
  </w:endnote>
  <w:endnote w:type="continuationSeparator" w:id="0">
    <w:p w:rsidR="0086693E" w:rsidRDefault="0086693E" w:rsidP="003469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Ps2OcuAe"/>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93E" w:rsidRDefault="0086693E" w:rsidP="0034693A">
      <w:r>
        <w:separator/>
      </w:r>
    </w:p>
  </w:footnote>
  <w:footnote w:type="continuationSeparator" w:id="0">
    <w:p w:rsidR="0086693E" w:rsidRDefault="0086693E" w:rsidP="0034693A">
      <w:r>
        <w:continuationSeparator/>
      </w:r>
    </w:p>
  </w:footnote>
  <w:footnote w:id="1">
    <w:p w:rsidR="0086693E" w:rsidRDefault="0086693E" w:rsidP="0034693A">
      <w:pPr>
        <w:pStyle w:val="FootnoteText"/>
      </w:pPr>
      <w:r>
        <w:rPr>
          <w:rStyle w:val="FootnoteReference"/>
        </w:rPr>
        <w:footnoteRef/>
      </w:r>
      <w:r>
        <w:t xml:space="preserve"> </w:t>
      </w:r>
      <w:r w:rsidRPr="00D4003B">
        <w:t xml:space="preserve">The term “programme” is used for </w:t>
      </w:r>
      <w:r>
        <w:t xml:space="preserve">programmes, </w:t>
      </w:r>
      <w:r w:rsidRPr="00D4003B">
        <w:t>joint programmes</w:t>
      </w:r>
      <w:r>
        <w:t xml:space="preserve"> and projects.</w:t>
      </w:r>
    </w:p>
  </w:footnote>
  <w:footnote w:id="2">
    <w:p w:rsidR="0086693E" w:rsidRDefault="0086693E" w:rsidP="0034693A">
      <w:pPr>
        <w:pStyle w:val="FootnoteText"/>
        <w:jc w:val="both"/>
      </w:pPr>
      <w:r>
        <w:rPr>
          <w:rStyle w:val="FootnoteReference"/>
        </w:rPr>
        <w:footnoteRef/>
      </w:r>
      <w:r>
        <w:t xml:space="preserve"> E.g. Priority Area for the</w:t>
      </w:r>
      <w:r w:rsidRPr="002A3031">
        <w:t xml:space="preserve"> </w:t>
      </w:r>
      <w:r>
        <w:t>Peacebuilding Fund; Thematic Window for the Millennium Development Goals Fund (</w:t>
      </w:r>
      <w:smartTag w:uri="urn:schemas-microsoft-com:office:smarttags" w:element="stockticker">
        <w:r>
          <w:t>MDG</w:t>
        </w:r>
      </w:smartTag>
      <w:r>
        <w:t xml:space="preserve">-F); etc. </w:t>
      </w:r>
    </w:p>
  </w:footnote>
  <w:footnote w:id="3">
    <w:p w:rsidR="0086693E" w:rsidRDefault="0086693E" w:rsidP="0034693A">
      <w:pPr>
        <w:pStyle w:val="FootnoteText"/>
      </w:pPr>
      <w:r>
        <w:rPr>
          <w:rStyle w:val="FootnoteReference"/>
        </w:rPr>
        <w:footnoteRef/>
      </w:r>
      <w:r>
        <w:t xml:space="preserve"> The start date is the date of the first transfer of funds from the MDTF Office as Administrative Agent.</w:t>
      </w:r>
    </w:p>
  </w:footnote>
  <w:footnote w:id="4">
    <w:p w:rsidR="0086693E" w:rsidRDefault="0086693E" w:rsidP="00C3621B">
      <w:pPr>
        <w:pStyle w:val="FootnoteText"/>
      </w:pPr>
      <w:r w:rsidRPr="000868A1">
        <w:rPr>
          <w:rStyle w:val="FootnoteReference"/>
        </w:rPr>
        <w:footnoteRef/>
      </w:r>
      <w:r w:rsidRPr="000868A1">
        <w:t xml:space="preserve"> </w:t>
      </w:r>
      <w:r w:rsidRPr="000868A1">
        <w:rPr>
          <w:color w:val="000000"/>
        </w:rPr>
        <w:t>For example, reports, prepared in accordance with the provisions of Security Council resolution 1612 (2005) have documented grave violations of children’s rights.  See (S/2006/1007), and (S/2008/259).</w:t>
      </w:r>
    </w:p>
  </w:footnote>
  <w:footnote w:id="5">
    <w:p w:rsidR="0086693E" w:rsidRDefault="0086693E" w:rsidP="00EB69BD">
      <w:pPr>
        <w:pStyle w:val="FootnoteText"/>
      </w:pPr>
      <w:r w:rsidRPr="008F1896">
        <w:rPr>
          <w:rStyle w:val="FootnoteReference"/>
        </w:rPr>
        <w:footnoteRef/>
      </w:r>
      <w:r w:rsidRPr="00897B5B">
        <w:t xml:space="preserve"> The Code of Conduct </w:t>
      </w:r>
      <w:r>
        <w:t>for</w:t>
      </w:r>
      <w:r w:rsidRPr="00897B5B">
        <w:t xml:space="preserve"> the peace agreement between </w:t>
      </w:r>
      <w:r w:rsidRPr="0055419F">
        <w:t xml:space="preserve">the </w:t>
      </w:r>
      <w:r>
        <w:t>CPN (</w:t>
      </w:r>
      <w:r w:rsidRPr="0055419F">
        <w:t>M</w:t>
      </w:r>
      <w:r>
        <w:t>)</w:t>
      </w:r>
      <w:r w:rsidRPr="0055419F">
        <w:t xml:space="preserve"> and</w:t>
      </w:r>
      <w:r w:rsidRPr="00897B5B">
        <w:t xml:space="preserve"> the Government of Nepal was agreed upon on the 25 May 2006.</w:t>
      </w:r>
    </w:p>
  </w:footnote>
  <w:footnote w:id="6">
    <w:p w:rsidR="0086693E" w:rsidRDefault="0086693E" w:rsidP="00EB69BD">
      <w:pPr>
        <w:pStyle w:val="FootnoteText"/>
      </w:pPr>
      <w:r>
        <w:rPr>
          <w:rStyle w:val="FootnoteReference"/>
        </w:rPr>
        <w:footnoteRef/>
      </w:r>
      <w:r>
        <w:t xml:space="preserve"> </w:t>
      </w:r>
      <w:hyperlink r:id="rId1" w:history="1">
        <w:r w:rsidRPr="00807B06">
          <w:rPr>
            <w:rStyle w:val="Hyperlink"/>
          </w:rPr>
          <w:t>http://www.undg.org/docs/8362/UNDAF.pdf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D7A70"/>
    <w:multiLevelType w:val="hybridMultilevel"/>
    <w:tmpl w:val="1F9CF9B0"/>
    <w:lvl w:ilvl="0" w:tplc="F34C3634">
      <w:start w:val="1"/>
      <w:numFmt w:val="bullet"/>
      <w:pStyle w:val="bulletnormal"/>
      <w:lvlText w:val="●"/>
      <w:lvlJc w:val="left"/>
      <w:pPr>
        <w:tabs>
          <w:tab w:val="num" w:pos="357"/>
        </w:tabs>
        <w:ind w:left="357" w:hanging="357"/>
      </w:pPr>
      <w:rPr>
        <w:rFonts w:ascii="Times New Roman" w:hAnsi="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223764"/>
    <w:multiLevelType w:val="hybridMultilevel"/>
    <w:tmpl w:val="6A4EA52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B5570"/>
    <w:multiLevelType w:val="hybridMultilevel"/>
    <w:tmpl w:val="012092BC"/>
    <w:lvl w:ilvl="0" w:tplc="A0624842">
      <w:start w:val="1"/>
      <w:numFmt w:val="upperRoman"/>
      <w:lvlText w:val="%1."/>
      <w:lvlJc w:val="left"/>
      <w:pPr>
        <w:tabs>
          <w:tab w:val="num" w:pos="1080"/>
        </w:tabs>
        <w:ind w:left="1080" w:hanging="720"/>
      </w:pPr>
      <w:rPr>
        <w:rFonts w:cs="Times New Roman" w:hint="default"/>
      </w:rPr>
    </w:lvl>
    <w:lvl w:ilvl="1" w:tplc="862A952A">
      <w:numFmt w:val="none"/>
      <w:lvlText w:val=""/>
      <w:lvlJc w:val="left"/>
      <w:pPr>
        <w:tabs>
          <w:tab w:val="num" w:pos="360"/>
        </w:tabs>
      </w:pPr>
      <w:rPr>
        <w:rFonts w:cs="Times New Roman"/>
      </w:rPr>
    </w:lvl>
    <w:lvl w:ilvl="2" w:tplc="E7485428">
      <w:numFmt w:val="none"/>
      <w:lvlText w:val=""/>
      <w:lvlJc w:val="left"/>
      <w:pPr>
        <w:tabs>
          <w:tab w:val="num" w:pos="360"/>
        </w:tabs>
      </w:pPr>
      <w:rPr>
        <w:rFonts w:cs="Times New Roman"/>
      </w:rPr>
    </w:lvl>
    <w:lvl w:ilvl="3" w:tplc="FD789764">
      <w:numFmt w:val="none"/>
      <w:lvlText w:val=""/>
      <w:lvlJc w:val="left"/>
      <w:pPr>
        <w:tabs>
          <w:tab w:val="num" w:pos="360"/>
        </w:tabs>
      </w:pPr>
      <w:rPr>
        <w:rFonts w:cs="Times New Roman"/>
      </w:rPr>
    </w:lvl>
    <w:lvl w:ilvl="4" w:tplc="5EFA0FBC">
      <w:numFmt w:val="none"/>
      <w:lvlText w:val=""/>
      <w:lvlJc w:val="left"/>
      <w:pPr>
        <w:tabs>
          <w:tab w:val="num" w:pos="360"/>
        </w:tabs>
      </w:pPr>
      <w:rPr>
        <w:rFonts w:cs="Times New Roman"/>
      </w:rPr>
    </w:lvl>
    <w:lvl w:ilvl="5" w:tplc="1336440C">
      <w:numFmt w:val="none"/>
      <w:lvlText w:val=""/>
      <w:lvlJc w:val="left"/>
      <w:pPr>
        <w:tabs>
          <w:tab w:val="num" w:pos="360"/>
        </w:tabs>
      </w:pPr>
      <w:rPr>
        <w:rFonts w:cs="Times New Roman"/>
      </w:rPr>
    </w:lvl>
    <w:lvl w:ilvl="6" w:tplc="D87228D2">
      <w:numFmt w:val="none"/>
      <w:lvlText w:val=""/>
      <w:lvlJc w:val="left"/>
      <w:pPr>
        <w:tabs>
          <w:tab w:val="num" w:pos="360"/>
        </w:tabs>
      </w:pPr>
      <w:rPr>
        <w:rFonts w:cs="Times New Roman"/>
      </w:rPr>
    </w:lvl>
    <w:lvl w:ilvl="7" w:tplc="49E6716E">
      <w:numFmt w:val="none"/>
      <w:lvlText w:val=""/>
      <w:lvlJc w:val="left"/>
      <w:pPr>
        <w:tabs>
          <w:tab w:val="num" w:pos="360"/>
        </w:tabs>
      </w:pPr>
      <w:rPr>
        <w:rFonts w:cs="Times New Roman"/>
      </w:rPr>
    </w:lvl>
    <w:lvl w:ilvl="8" w:tplc="035EA2D6">
      <w:numFmt w:val="none"/>
      <w:lvlText w:val=""/>
      <w:lvlJc w:val="left"/>
      <w:pPr>
        <w:tabs>
          <w:tab w:val="num" w:pos="360"/>
        </w:tabs>
      </w:pPr>
      <w:rPr>
        <w:rFonts w:cs="Times New Roman"/>
      </w:rPr>
    </w:lvl>
  </w:abstractNum>
  <w:abstractNum w:abstractNumId="4">
    <w:nsid w:val="1B025CAF"/>
    <w:multiLevelType w:val="hybridMultilevel"/>
    <w:tmpl w:val="08E0D94C"/>
    <w:lvl w:ilvl="0" w:tplc="506251E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E97AB0"/>
    <w:multiLevelType w:val="hybridMultilevel"/>
    <w:tmpl w:val="14426B1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7D34EE"/>
    <w:multiLevelType w:val="hybridMultilevel"/>
    <w:tmpl w:val="9190DDD0"/>
    <w:lvl w:ilvl="0" w:tplc="23E6BC1A">
      <w:start w:val="1"/>
      <w:numFmt w:val="bullet"/>
      <w:pStyle w:val="tabletext"/>
      <w:lvlText w:val="●"/>
      <w:lvlJc w:val="left"/>
      <w:pPr>
        <w:tabs>
          <w:tab w:val="num" w:pos="357"/>
        </w:tabs>
        <w:ind w:left="357" w:hanging="357"/>
      </w:pPr>
      <w:rPr>
        <w:rFonts w:ascii="Times New Roman" w:hAnsi="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6BC6EC2"/>
    <w:multiLevelType w:val="hybridMultilevel"/>
    <w:tmpl w:val="D3F298F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7"/>
  </w:num>
  <w:num w:numId="6">
    <w:abstractNumId w:val="10"/>
  </w:num>
  <w:num w:numId="7">
    <w:abstractNumId w:val="2"/>
  </w:num>
  <w:num w:numId="8">
    <w:abstractNumId w:val="6"/>
  </w:num>
  <w:num w:numId="9">
    <w:abstractNumId w:val="8"/>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693A"/>
    <w:rsid w:val="000032B5"/>
    <w:rsid w:val="00015EB4"/>
    <w:rsid w:val="0003471D"/>
    <w:rsid w:val="00037493"/>
    <w:rsid w:val="00047823"/>
    <w:rsid w:val="000868A1"/>
    <w:rsid w:val="000925E0"/>
    <w:rsid w:val="000B68BB"/>
    <w:rsid w:val="000B7E9C"/>
    <w:rsid w:val="000C630E"/>
    <w:rsid w:val="000E3E92"/>
    <w:rsid w:val="00110E62"/>
    <w:rsid w:val="00160D97"/>
    <w:rsid w:val="00180B9A"/>
    <w:rsid w:val="001F52CC"/>
    <w:rsid w:val="002243C4"/>
    <w:rsid w:val="00234CC4"/>
    <w:rsid w:val="00235D63"/>
    <w:rsid w:val="002565E5"/>
    <w:rsid w:val="0028616C"/>
    <w:rsid w:val="002948B8"/>
    <w:rsid w:val="002A3031"/>
    <w:rsid w:val="002D46E5"/>
    <w:rsid w:val="002E7E72"/>
    <w:rsid w:val="0030678F"/>
    <w:rsid w:val="00315BDB"/>
    <w:rsid w:val="00327FCF"/>
    <w:rsid w:val="0034693A"/>
    <w:rsid w:val="00372054"/>
    <w:rsid w:val="00382FAB"/>
    <w:rsid w:val="003A419D"/>
    <w:rsid w:val="003B29D2"/>
    <w:rsid w:val="003D339C"/>
    <w:rsid w:val="003F24C7"/>
    <w:rsid w:val="004029DA"/>
    <w:rsid w:val="00412031"/>
    <w:rsid w:val="004658BE"/>
    <w:rsid w:val="004A6D57"/>
    <w:rsid w:val="004F7039"/>
    <w:rsid w:val="00502799"/>
    <w:rsid w:val="00503226"/>
    <w:rsid w:val="00510B9E"/>
    <w:rsid w:val="00521254"/>
    <w:rsid w:val="005509EA"/>
    <w:rsid w:val="0055419F"/>
    <w:rsid w:val="00557988"/>
    <w:rsid w:val="00563728"/>
    <w:rsid w:val="0057122D"/>
    <w:rsid w:val="005A50D5"/>
    <w:rsid w:val="005B0B56"/>
    <w:rsid w:val="005B7CE3"/>
    <w:rsid w:val="005C6A49"/>
    <w:rsid w:val="005F19C1"/>
    <w:rsid w:val="0060562D"/>
    <w:rsid w:val="00612AE0"/>
    <w:rsid w:val="00655699"/>
    <w:rsid w:val="006678FF"/>
    <w:rsid w:val="0067113D"/>
    <w:rsid w:val="00675DCC"/>
    <w:rsid w:val="00683A89"/>
    <w:rsid w:val="006A3E27"/>
    <w:rsid w:val="006D0C8A"/>
    <w:rsid w:val="006D15B6"/>
    <w:rsid w:val="006D7E5D"/>
    <w:rsid w:val="006E3392"/>
    <w:rsid w:val="00715E9A"/>
    <w:rsid w:val="00755085"/>
    <w:rsid w:val="007809CD"/>
    <w:rsid w:val="007A058C"/>
    <w:rsid w:val="007A0A9B"/>
    <w:rsid w:val="007E31DE"/>
    <w:rsid w:val="007F64A8"/>
    <w:rsid w:val="00807B06"/>
    <w:rsid w:val="0086693E"/>
    <w:rsid w:val="00866C58"/>
    <w:rsid w:val="00892409"/>
    <w:rsid w:val="00897B5B"/>
    <w:rsid w:val="008B4BF0"/>
    <w:rsid w:val="008D00F1"/>
    <w:rsid w:val="008F1896"/>
    <w:rsid w:val="00901EA6"/>
    <w:rsid w:val="00970CD5"/>
    <w:rsid w:val="009821F9"/>
    <w:rsid w:val="009B2091"/>
    <w:rsid w:val="009E3552"/>
    <w:rsid w:val="00A46681"/>
    <w:rsid w:val="00A51A10"/>
    <w:rsid w:val="00A82808"/>
    <w:rsid w:val="00A97295"/>
    <w:rsid w:val="00A97592"/>
    <w:rsid w:val="00AA0C70"/>
    <w:rsid w:val="00AB6CB7"/>
    <w:rsid w:val="00B22C79"/>
    <w:rsid w:val="00B32E35"/>
    <w:rsid w:val="00B632CF"/>
    <w:rsid w:val="00B7725A"/>
    <w:rsid w:val="00B974A3"/>
    <w:rsid w:val="00BB77B5"/>
    <w:rsid w:val="00BB7F78"/>
    <w:rsid w:val="00BE7383"/>
    <w:rsid w:val="00C02DFB"/>
    <w:rsid w:val="00C0541A"/>
    <w:rsid w:val="00C3621B"/>
    <w:rsid w:val="00C44B28"/>
    <w:rsid w:val="00C47581"/>
    <w:rsid w:val="00C653DF"/>
    <w:rsid w:val="00C85961"/>
    <w:rsid w:val="00C87C40"/>
    <w:rsid w:val="00CD09E1"/>
    <w:rsid w:val="00CD442E"/>
    <w:rsid w:val="00CF77F3"/>
    <w:rsid w:val="00D16870"/>
    <w:rsid w:val="00D16882"/>
    <w:rsid w:val="00D4003B"/>
    <w:rsid w:val="00D43572"/>
    <w:rsid w:val="00D67A21"/>
    <w:rsid w:val="00D71AE0"/>
    <w:rsid w:val="00D95DF9"/>
    <w:rsid w:val="00DA5E79"/>
    <w:rsid w:val="00E26B78"/>
    <w:rsid w:val="00E312AE"/>
    <w:rsid w:val="00E37C09"/>
    <w:rsid w:val="00E674F9"/>
    <w:rsid w:val="00E77EC9"/>
    <w:rsid w:val="00EB0312"/>
    <w:rsid w:val="00EB69BD"/>
    <w:rsid w:val="00EC74B8"/>
    <w:rsid w:val="00EF1C6B"/>
    <w:rsid w:val="00F17CA5"/>
    <w:rsid w:val="00F43486"/>
    <w:rsid w:val="00F5401B"/>
    <w:rsid w:val="00F614F9"/>
    <w:rsid w:val="00F72D86"/>
    <w:rsid w:val="00F7637C"/>
    <w:rsid w:val="00F82AB0"/>
    <w:rsid w:val="00F84A94"/>
    <w:rsid w:val="00FB596C"/>
    <w:rsid w:val="00FD1A4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93A"/>
    <w:rPr>
      <w:rFonts w:eastAsia="Times New Roman"/>
      <w:sz w:val="24"/>
      <w:szCs w:val="24"/>
      <w:lang w:val="en-US" w:eastAsia="en-US"/>
    </w:rPr>
  </w:style>
  <w:style w:type="paragraph" w:styleId="Heading1">
    <w:name w:val="heading 1"/>
    <w:basedOn w:val="Normal"/>
    <w:next w:val="Normal"/>
    <w:link w:val="Heading1Char"/>
    <w:uiPriority w:val="99"/>
    <w:qFormat/>
    <w:rsid w:val="003B29D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4693A"/>
    <w:pPr>
      <w:keepNext/>
      <w:outlineLvl w:val="1"/>
    </w:pPr>
    <w:rPr>
      <w:b/>
      <w:bCs/>
      <w:sz w:val="26"/>
    </w:rPr>
  </w:style>
  <w:style w:type="paragraph" w:styleId="Heading3">
    <w:name w:val="heading 3"/>
    <w:basedOn w:val="Normal"/>
    <w:next w:val="Normal"/>
    <w:link w:val="Heading3Char"/>
    <w:uiPriority w:val="99"/>
    <w:qFormat/>
    <w:rsid w:val="00EB69B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EB69BD"/>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29D2"/>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4693A"/>
    <w:rPr>
      <w:rFonts w:eastAsia="Times New Roman" w:cs="Times New Roman"/>
      <w:b/>
      <w:bCs/>
      <w:sz w:val="26"/>
      <w:lang w:val="en-US"/>
    </w:rPr>
  </w:style>
  <w:style w:type="character" w:customStyle="1" w:styleId="Heading3Char">
    <w:name w:val="Heading 3 Char"/>
    <w:basedOn w:val="DefaultParagraphFont"/>
    <w:link w:val="Heading3"/>
    <w:uiPriority w:val="99"/>
    <w:semiHidden/>
    <w:locked/>
    <w:rsid w:val="00EB69BD"/>
    <w:rPr>
      <w:rFonts w:ascii="Cambria" w:hAnsi="Cambria" w:cs="Times New Roman"/>
      <w:b/>
      <w:bCs/>
      <w:color w:val="4F81BD"/>
      <w:lang w:val="en-US"/>
    </w:rPr>
  </w:style>
  <w:style w:type="character" w:customStyle="1" w:styleId="Heading4Char">
    <w:name w:val="Heading 4 Char"/>
    <w:basedOn w:val="DefaultParagraphFont"/>
    <w:link w:val="Heading4"/>
    <w:uiPriority w:val="99"/>
    <w:semiHidden/>
    <w:locked/>
    <w:rsid w:val="00EB69BD"/>
    <w:rPr>
      <w:rFonts w:ascii="Cambria" w:hAnsi="Cambria" w:cs="Times New Roman"/>
      <w:b/>
      <w:bCs/>
      <w:i/>
      <w:iCs/>
      <w:color w:val="4F81BD"/>
      <w:lang w:val="en-US"/>
    </w:rPr>
  </w:style>
  <w:style w:type="character" w:styleId="Hyperlink">
    <w:name w:val="Hyperlink"/>
    <w:basedOn w:val="DefaultParagraphFont"/>
    <w:uiPriority w:val="99"/>
    <w:rsid w:val="0034693A"/>
    <w:rPr>
      <w:rFonts w:cs="Times New Roman"/>
      <w:color w:val="0000FF"/>
      <w:u w:val="single"/>
    </w:rPr>
  </w:style>
  <w:style w:type="paragraph" w:styleId="BodyText">
    <w:name w:val="Body Text"/>
    <w:basedOn w:val="Normal"/>
    <w:link w:val="BodyTextChar"/>
    <w:uiPriority w:val="99"/>
    <w:rsid w:val="0034693A"/>
    <w:rPr>
      <w:rFonts w:ascii="Arial" w:hAnsi="Arial" w:cs="Arial"/>
      <w:sz w:val="20"/>
      <w:szCs w:val="20"/>
    </w:rPr>
  </w:style>
  <w:style w:type="character" w:customStyle="1" w:styleId="BodyTextChar">
    <w:name w:val="Body Text Char"/>
    <w:basedOn w:val="DefaultParagraphFont"/>
    <w:link w:val="BodyText"/>
    <w:uiPriority w:val="99"/>
    <w:locked/>
    <w:rsid w:val="0034693A"/>
    <w:rPr>
      <w:rFonts w:ascii="Arial" w:hAnsi="Arial" w:cs="Arial"/>
      <w:sz w:val="20"/>
      <w:szCs w:val="20"/>
      <w:lang w:val="en-US"/>
    </w:rPr>
  </w:style>
  <w:style w:type="paragraph" w:styleId="FootnoteText">
    <w:name w:val="footnote text"/>
    <w:basedOn w:val="Normal"/>
    <w:link w:val="FootnoteTextChar"/>
    <w:uiPriority w:val="99"/>
    <w:rsid w:val="0034693A"/>
    <w:rPr>
      <w:sz w:val="20"/>
      <w:szCs w:val="20"/>
    </w:rPr>
  </w:style>
  <w:style w:type="character" w:customStyle="1" w:styleId="FootnoteTextChar">
    <w:name w:val="Footnote Text Char"/>
    <w:basedOn w:val="DefaultParagraphFont"/>
    <w:link w:val="FootnoteText"/>
    <w:uiPriority w:val="99"/>
    <w:locked/>
    <w:rsid w:val="0034693A"/>
    <w:rPr>
      <w:rFonts w:eastAsia="Times New Roman" w:cs="Times New Roman"/>
      <w:sz w:val="20"/>
      <w:szCs w:val="20"/>
      <w:lang w:val="en-US"/>
    </w:rPr>
  </w:style>
  <w:style w:type="character" w:styleId="FootnoteReference">
    <w:name w:val="footnote reference"/>
    <w:basedOn w:val="DefaultParagraphFont"/>
    <w:uiPriority w:val="99"/>
    <w:rsid w:val="0034693A"/>
    <w:rPr>
      <w:rFonts w:cs="Times New Roman"/>
      <w:vertAlign w:val="superscript"/>
    </w:rPr>
  </w:style>
  <w:style w:type="paragraph" w:styleId="BalloonText">
    <w:name w:val="Balloon Text"/>
    <w:basedOn w:val="Normal"/>
    <w:link w:val="BalloonTextChar"/>
    <w:uiPriority w:val="99"/>
    <w:semiHidden/>
    <w:rsid w:val="003469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693A"/>
    <w:rPr>
      <w:rFonts w:ascii="Tahoma" w:hAnsi="Tahoma" w:cs="Tahoma"/>
      <w:sz w:val="16"/>
      <w:szCs w:val="16"/>
      <w:lang w:val="en-US"/>
    </w:rPr>
  </w:style>
  <w:style w:type="paragraph" w:customStyle="1" w:styleId="bulletnormal">
    <w:name w:val="bullet normal"/>
    <w:basedOn w:val="Normal"/>
    <w:link w:val="bulletnormalChar"/>
    <w:uiPriority w:val="99"/>
    <w:rsid w:val="00C3621B"/>
    <w:pPr>
      <w:numPr>
        <w:numId w:val="10"/>
      </w:numPr>
      <w:spacing w:after="120"/>
      <w:jc w:val="both"/>
    </w:pPr>
    <w:rPr>
      <w:lang w:val="en-GB"/>
    </w:rPr>
  </w:style>
  <w:style w:type="character" w:customStyle="1" w:styleId="bulletnormalChar">
    <w:name w:val="bullet normal Char"/>
    <w:basedOn w:val="DefaultParagraphFont"/>
    <w:link w:val="bulletnormal"/>
    <w:uiPriority w:val="99"/>
    <w:locked/>
    <w:rsid w:val="00EB69BD"/>
    <w:rPr>
      <w:rFonts w:eastAsia="Times New Roman" w:cs="Times New Roman"/>
    </w:rPr>
  </w:style>
  <w:style w:type="paragraph" w:customStyle="1" w:styleId="tabletext">
    <w:name w:val="table text"/>
    <w:basedOn w:val="Normal"/>
    <w:uiPriority w:val="99"/>
    <w:rsid w:val="00EB69BD"/>
    <w:pPr>
      <w:numPr>
        <w:numId w:val="11"/>
      </w:numPr>
      <w:tabs>
        <w:tab w:val="clear" w:pos="357"/>
      </w:tabs>
      <w:spacing w:before="60" w:after="60"/>
      <w:ind w:left="0" w:firstLine="0"/>
    </w:pPr>
    <w:rPr>
      <w:rFonts w:ascii="Arial" w:hAnsi="Arial" w:cs="Arial"/>
      <w:sz w:val="20"/>
      <w:szCs w:val="22"/>
      <w:lang w:val="en-GB"/>
    </w:rPr>
  </w:style>
  <w:style w:type="paragraph" w:styleId="BodyText2">
    <w:name w:val="Body Text 2"/>
    <w:basedOn w:val="Normal"/>
    <w:link w:val="BodyText2Char"/>
    <w:uiPriority w:val="99"/>
    <w:rsid w:val="00510B9E"/>
    <w:pPr>
      <w:spacing w:after="120" w:line="480" w:lineRule="auto"/>
      <w:jc w:val="both"/>
    </w:pPr>
    <w:rPr>
      <w:rFonts w:ascii="Arial" w:hAnsi="Arial"/>
      <w:sz w:val="22"/>
      <w:szCs w:val="22"/>
      <w:lang w:val="en-GB"/>
    </w:rPr>
  </w:style>
  <w:style w:type="character" w:customStyle="1" w:styleId="BodyText2Char">
    <w:name w:val="Body Text 2 Char"/>
    <w:basedOn w:val="DefaultParagraphFont"/>
    <w:link w:val="BodyText2"/>
    <w:uiPriority w:val="99"/>
    <w:locked/>
    <w:rsid w:val="00510B9E"/>
    <w:rPr>
      <w:rFonts w:ascii="Arial" w:hAnsi="Arial" w:cs="Times New Roman"/>
      <w:sz w:val="22"/>
      <w:szCs w:val="22"/>
    </w:rPr>
  </w:style>
  <w:style w:type="paragraph" w:styleId="ListParagraph">
    <w:name w:val="List Paragraph"/>
    <w:basedOn w:val="Normal"/>
    <w:uiPriority w:val="99"/>
    <w:qFormat/>
    <w:rsid w:val="003D339C"/>
    <w:pPr>
      <w:ind w:left="720"/>
      <w:contextualSpacing/>
    </w:pPr>
  </w:style>
  <w:style w:type="character" w:styleId="CommentReference">
    <w:name w:val="annotation reference"/>
    <w:basedOn w:val="DefaultParagraphFont"/>
    <w:uiPriority w:val="99"/>
    <w:semiHidden/>
    <w:rsid w:val="00F614F9"/>
    <w:rPr>
      <w:rFonts w:cs="Times New Roman"/>
      <w:sz w:val="16"/>
      <w:szCs w:val="16"/>
    </w:rPr>
  </w:style>
  <w:style w:type="paragraph" w:styleId="CommentText">
    <w:name w:val="annotation text"/>
    <w:basedOn w:val="Normal"/>
    <w:link w:val="CommentTextChar"/>
    <w:uiPriority w:val="99"/>
    <w:semiHidden/>
    <w:rsid w:val="00F614F9"/>
    <w:rPr>
      <w:sz w:val="20"/>
      <w:szCs w:val="20"/>
    </w:rPr>
  </w:style>
  <w:style w:type="character" w:customStyle="1" w:styleId="CommentTextChar">
    <w:name w:val="Comment Text Char"/>
    <w:basedOn w:val="DefaultParagraphFont"/>
    <w:link w:val="CommentText"/>
    <w:uiPriority w:val="99"/>
    <w:semiHidden/>
    <w:locked/>
    <w:rsid w:val="00F614F9"/>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rsid w:val="00F614F9"/>
    <w:rPr>
      <w:b/>
      <w:bCs/>
    </w:rPr>
  </w:style>
  <w:style w:type="character" w:customStyle="1" w:styleId="CommentSubjectChar">
    <w:name w:val="Comment Subject Char"/>
    <w:basedOn w:val="CommentTextChar"/>
    <w:link w:val="CommentSubject"/>
    <w:uiPriority w:val="99"/>
    <w:semiHidden/>
    <w:locked/>
    <w:rsid w:val="00F614F9"/>
    <w:rPr>
      <w:b/>
      <w:bCs/>
    </w:rPr>
  </w:style>
</w:styles>
</file>

<file path=word/webSettings.xml><?xml version="1.0" encoding="utf-8"?>
<w:webSettings xmlns:r="http://schemas.openxmlformats.org/officeDocument/2006/relationships" xmlns:w="http://schemas.openxmlformats.org/wordprocessingml/2006/main">
  <w:divs>
    <w:div w:id="917129879">
      <w:marLeft w:val="0"/>
      <w:marRight w:val="0"/>
      <w:marTop w:val="0"/>
      <w:marBottom w:val="0"/>
      <w:divBdr>
        <w:top w:val="none" w:sz="0" w:space="0" w:color="auto"/>
        <w:left w:val="none" w:sz="0" w:space="0" w:color="auto"/>
        <w:bottom w:val="none" w:sz="0" w:space="0" w:color="auto"/>
        <w:right w:val="none" w:sz="0" w:space="0" w:color="auto"/>
      </w:divBdr>
    </w:div>
    <w:div w:id="9171298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mellsop@unicef.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dg.org/docs/8362/UNDA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1989</Words>
  <Characters>11338</Characters>
  <Application>Microsoft Office Outlook</Application>
  <DocSecurity>0</DocSecurity>
  <Lines>0</Lines>
  <Paragraphs>0</Paragraphs>
  <ScaleCrop>false</ScaleCrop>
  <Company>UN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alyth</dc:creator>
  <cp:keywords/>
  <dc:description/>
  <cp:lastModifiedBy>ben.reese</cp:lastModifiedBy>
  <cp:revision>4</cp:revision>
  <dcterms:created xsi:type="dcterms:W3CDTF">2010-04-20T08:00:00Z</dcterms:created>
  <dcterms:modified xsi:type="dcterms:W3CDTF">2010-04-20T12:57:00Z</dcterms:modified>
</cp:coreProperties>
</file>